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jc w:val="center"/>
        <w:tblLayout w:type="fixed"/>
        <w:tblLook w:val="0000" w:firstRow="0" w:lastRow="0" w:firstColumn="0" w:lastColumn="0" w:noHBand="0" w:noVBand="0"/>
      </w:tblPr>
      <w:tblGrid>
        <w:gridCol w:w="2410"/>
        <w:gridCol w:w="6662"/>
        <w:gridCol w:w="108"/>
      </w:tblGrid>
      <w:tr w:rsidR="00322F62" w:rsidRPr="00DA070F" w14:paraId="60EEBB52" w14:textId="77777777" w:rsidTr="00E41089">
        <w:trPr>
          <w:gridAfter w:val="1"/>
          <w:wAfter w:w="108" w:type="dxa"/>
          <w:jc w:val="center"/>
        </w:trPr>
        <w:tc>
          <w:tcPr>
            <w:tcW w:w="2410" w:type="dxa"/>
            <w:shd w:val="pct5" w:color="auto" w:fill="FFFFFF"/>
            <w:vAlign w:val="center"/>
          </w:tcPr>
          <w:p w14:paraId="79A5139F" w14:textId="77777777" w:rsidR="00322F62" w:rsidRPr="00DA070F" w:rsidRDefault="00322F62" w:rsidP="00322F62">
            <w:pPr>
              <w:pStyle w:val="Nadpis5"/>
              <w:spacing w:before="60" w:after="60"/>
              <w:jc w:val="left"/>
              <w:rPr>
                <w:sz w:val="18"/>
                <w:szCs w:val="18"/>
                <w:lang w:val="cs-CZ" w:eastAsia="cs-CZ"/>
              </w:rPr>
            </w:pPr>
            <w:r w:rsidRPr="00DA070F">
              <w:rPr>
                <w:sz w:val="18"/>
                <w:szCs w:val="18"/>
                <w:lang w:val="cs-CZ" w:eastAsia="cs-CZ"/>
              </w:rPr>
              <w:t>Pojistitel:</w:t>
            </w:r>
          </w:p>
        </w:tc>
        <w:tc>
          <w:tcPr>
            <w:tcW w:w="6662" w:type="dxa"/>
            <w:vAlign w:val="center"/>
          </w:tcPr>
          <w:p w14:paraId="4CEEA289" w14:textId="77777777" w:rsidR="00D05728" w:rsidRPr="00DA070F" w:rsidRDefault="00D05728" w:rsidP="00D05728">
            <w:pPr>
              <w:spacing w:before="120" w:after="120"/>
              <w:rPr>
                <w:sz w:val="18"/>
                <w:szCs w:val="18"/>
              </w:rPr>
            </w:pPr>
            <w:r w:rsidRPr="00DA070F">
              <w:rPr>
                <w:b/>
                <w:sz w:val="18"/>
                <w:szCs w:val="18"/>
              </w:rPr>
              <w:t xml:space="preserve">Colonnade Insurance </w:t>
            </w:r>
            <w:proofErr w:type="gramStart"/>
            <w:r w:rsidRPr="00DA070F">
              <w:rPr>
                <w:b/>
                <w:sz w:val="18"/>
                <w:szCs w:val="18"/>
              </w:rPr>
              <w:t>S.A.</w:t>
            </w:r>
            <w:proofErr w:type="gramEnd"/>
            <w:r w:rsidRPr="00DA070F">
              <w:rPr>
                <w:sz w:val="18"/>
                <w:szCs w:val="18"/>
              </w:rPr>
              <w:t xml:space="preserve">, se sídlem </w:t>
            </w:r>
            <w:r w:rsidR="007C411E" w:rsidRPr="00DA070F">
              <w:rPr>
                <w:sz w:val="18"/>
                <w:szCs w:val="18"/>
              </w:rPr>
              <w:t>L-2350 Lucemburk, rue Jean Piret 1, Lucemburské velkovévodství</w:t>
            </w:r>
            <w:r w:rsidRPr="00DA070F">
              <w:rPr>
                <w:sz w:val="18"/>
                <w:szCs w:val="18"/>
              </w:rPr>
              <w:t xml:space="preserve">, zapsaná v lucemburském Registre de Commerce et des Sociétés, registrační číslo B61605, jednající prostřednictvím </w:t>
            </w:r>
          </w:p>
          <w:p w14:paraId="79DE51A2" w14:textId="7C301FDC" w:rsidR="00322F62" w:rsidRPr="00DA070F" w:rsidRDefault="00D05728" w:rsidP="00321E8D">
            <w:pPr>
              <w:spacing w:after="60"/>
              <w:rPr>
                <w:sz w:val="18"/>
                <w:szCs w:val="18"/>
              </w:rPr>
            </w:pPr>
            <w:r w:rsidRPr="00DA070F">
              <w:rPr>
                <w:b/>
                <w:sz w:val="18"/>
                <w:szCs w:val="18"/>
              </w:rPr>
              <w:t xml:space="preserve">Colonnade Insurance </w:t>
            </w:r>
            <w:proofErr w:type="gramStart"/>
            <w:r w:rsidRPr="00DA070F">
              <w:rPr>
                <w:b/>
                <w:sz w:val="18"/>
                <w:szCs w:val="18"/>
              </w:rPr>
              <w:t>S.A</w:t>
            </w:r>
            <w:r w:rsidRPr="00DA070F">
              <w:rPr>
                <w:sz w:val="18"/>
                <w:szCs w:val="18"/>
              </w:rPr>
              <w:t>.</w:t>
            </w:r>
            <w:proofErr w:type="gramEnd"/>
            <w:r w:rsidRPr="00DA070F">
              <w:rPr>
                <w:sz w:val="18"/>
                <w:szCs w:val="18"/>
              </w:rPr>
              <w:t xml:space="preserve">, organizační složka, se sídlem Na Pankráci 1683/127, 140 00 Praha 4, Česká republika, </w:t>
            </w:r>
            <w:r w:rsidR="00321E8D" w:rsidRPr="00DA070F">
              <w:rPr>
                <w:sz w:val="18"/>
                <w:szCs w:val="18"/>
              </w:rPr>
              <w:t>IČ</w:t>
            </w:r>
            <w:r w:rsidR="009E6676" w:rsidRPr="00DA070F">
              <w:rPr>
                <w:sz w:val="18"/>
                <w:szCs w:val="18"/>
              </w:rPr>
              <w:t>O</w:t>
            </w:r>
            <w:r w:rsidRPr="00DA070F">
              <w:rPr>
                <w:sz w:val="18"/>
                <w:szCs w:val="18"/>
              </w:rPr>
              <w:t xml:space="preserve"> 044 85 297, zapsan</w:t>
            </w:r>
            <w:r w:rsidR="00321E8D" w:rsidRPr="00DA070F">
              <w:rPr>
                <w:sz w:val="18"/>
                <w:szCs w:val="18"/>
              </w:rPr>
              <w:t>á</w:t>
            </w:r>
            <w:r w:rsidRPr="00DA070F">
              <w:rPr>
                <w:sz w:val="18"/>
                <w:szCs w:val="18"/>
              </w:rPr>
              <w:t xml:space="preserve"> v obchodním rejstříku vedeném Městským soudem v Praze, oddíl A, vložka 77229.</w:t>
            </w:r>
          </w:p>
        </w:tc>
      </w:tr>
      <w:tr w:rsidR="00322F62" w:rsidRPr="00043DBE" w14:paraId="06F6138C" w14:textId="77777777" w:rsidTr="00E41089">
        <w:tblPrEx>
          <w:jc w:val="left"/>
        </w:tblPrEx>
        <w:tc>
          <w:tcPr>
            <w:tcW w:w="2410" w:type="dxa"/>
            <w:shd w:val="pct5" w:color="auto" w:fill="FFFFFF"/>
          </w:tcPr>
          <w:p w14:paraId="41952237" w14:textId="77777777" w:rsidR="00322F62" w:rsidRPr="00DA070F" w:rsidRDefault="00D05728" w:rsidP="00322F62">
            <w:pPr>
              <w:spacing w:before="60" w:after="60"/>
              <w:rPr>
                <w:b/>
                <w:sz w:val="18"/>
                <w:szCs w:val="18"/>
              </w:rPr>
            </w:pPr>
            <w:r w:rsidRPr="00DA070F">
              <w:rPr>
                <w:b/>
                <w:sz w:val="18"/>
                <w:szCs w:val="18"/>
              </w:rPr>
              <w:t>Korespondenční adresa</w:t>
            </w:r>
            <w:r w:rsidR="00322F62" w:rsidRPr="00DA070F">
              <w:rPr>
                <w:b/>
                <w:sz w:val="18"/>
                <w:szCs w:val="18"/>
              </w:rPr>
              <w:t xml:space="preserve">: </w:t>
            </w:r>
          </w:p>
        </w:tc>
        <w:tc>
          <w:tcPr>
            <w:tcW w:w="6770" w:type="dxa"/>
            <w:gridSpan w:val="2"/>
          </w:tcPr>
          <w:p w14:paraId="114E6143" w14:textId="77777777" w:rsidR="00322F62" w:rsidRPr="00DA070F" w:rsidRDefault="00BD61F0" w:rsidP="00BD61F0">
            <w:pPr>
              <w:spacing w:before="60" w:after="60"/>
              <w:rPr>
                <w:sz w:val="18"/>
                <w:szCs w:val="18"/>
              </w:rPr>
            </w:pPr>
            <w:r w:rsidRPr="00DA070F">
              <w:rPr>
                <w:sz w:val="18"/>
                <w:szCs w:val="18"/>
              </w:rPr>
              <w:t>Na Pankráci 1683/127, 140 00 Praha 4</w:t>
            </w:r>
          </w:p>
        </w:tc>
      </w:tr>
      <w:tr w:rsidR="00322F62" w:rsidRPr="00043DBE" w14:paraId="6B90CC98" w14:textId="77777777" w:rsidTr="005C3C7E">
        <w:tblPrEx>
          <w:jc w:val="left"/>
        </w:tblPrEx>
        <w:tc>
          <w:tcPr>
            <w:tcW w:w="2410" w:type="dxa"/>
            <w:shd w:val="pct5" w:color="auto" w:fill="FFFFFF"/>
          </w:tcPr>
          <w:p w14:paraId="29588AEC" w14:textId="77777777" w:rsidR="00322F62" w:rsidRPr="00DA070F" w:rsidRDefault="00322F62" w:rsidP="00322F62">
            <w:pPr>
              <w:spacing w:before="60" w:after="60"/>
              <w:rPr>
                <w:b/>
                <w:sz w:val="18"/>
                <w:szCs w:val="18"/>
              </w:rPr>
            </w:pPr>
            <w:r w:rsidRPr="00DA070F">
              <w:rPr>
                <w:b/>
                <w:sz w:val="18"/>
                <w:szCs w:val="18"/>
              </w:rPr>
              <w:t>Zastoupen:</w:t>
            </w:r>
          </w:p>
        </w:tc>
        <w:tc>
          <w:tcPr>
            <w:tcW w:w="6770" w:type="dxa"/>
            <w:gridSpan w:val="2"/>
          </w:tcPr>
          <w:p w14:paraId="44D647E4" w14:textId="3A85ABCF" w:rsidR="00322F62" w:rsidRPr="00DA070F" w:rsidRDefault="000D6989" w:rsidP="00840847">
            <w:pPr>
              <w:spacing w:before="60" w:after="60"/>
              <w:rPr>
                <w:sz w:val="18"/>
                <w:szCs w:val="18"/>
              </w:rPr>
            </w:pPr>
            <w:r>
              <w:rPr>
                <w:sz w:val="18"/>
                <w:szCs w:val="18"/>
              </w:rPr>
              <w:t>XXX</w:t>
            </w:r>
          </w:p>
        </w:tc>
      </w:tr>
      <w:tr w:rsidR="008A6184" w:rsidRPr="008A6184" w14:paraId="38F9E97F" w14:textId="77777777" w:rsidTr="00E41089">
        <w:tblPrEx>
          <w:jc w:val="left"/>
          <w:tblCellMar>
            <w:left w:w="85" w:type="dxa"/>
            <w:right w:w="85" w:type="dxa"/>
          </w:tblCellMar>
        </w:tblPrEx>
        <w:trPr>
          <w:trHeight w:val="472"/>
        </w:trPr>
        <w:tc>
          <w:tcPr>
            <w:tcW w:w="2410" w:type="dxa"/>
            <w:shd w:val="clear" w:color="auto" w:fill="FFFFFF"/>
          </w:tcPr>
          <w:p w14:paraId="2D05CA19" w14:textId="77777777" w:rsidR="008A6184" w:rsidRPr="00DA070F" w:rsidRDefault="008A6184" w:rsidP="00450E59">
            <w:pPr>
              <w:spacing w:before="60" w:after="60"/>
              <w:jc w:val="left"/>
              <w:rPr>
                <w:b/>
                <w:sz w:val="18"/>
                <w:szCs w:val="18"/>
              </w:rPr>
            </w:pPr>
          </w:p>
        </w:tc>
        <w:tc>
          <w:tcPr>
            <w:tcW w:w="6770" w:type="dxa"/>
            <w:gridSpan w:val="2"/>
            <w:shd w:val="clear" w:color="auto" w:fill="FFFFFF"/>
            <w:vAlign w:val="center"/>
          </w:tcPr>
          <w:p w14:paraId="5226E3B1" w14:textId="77777777" w:rsidR="008A6184" w:rsidRPr="00DA070F" w:rsidRDefault="008A6184" w:rsidP="008A6184">
            <w:pPr>
              <w:tabs>
                <w:tab w:val="center" w:pos="2019"/>
              </w:tabs>
              <w:spacing w:before="60" w:after="60"/>
              <w:rPr>
                <w:b/>
                <w:sz w:val="18"/>
                <w:szCs w:val="18"/>
              </w:rPr>
            </w:pPr>
            <w:r w:rsidRPr="00DA070F">
              <w:rPr>
                <w:sz w:val="18"/>
                <w:szCs w:val="18"/>
              </w:rPr>
              <w:tab/>
            </w:r>
            <w:r w:rsidRPr="00DA070F">
              <w:rPr>
                <w:b/>
                <w:sz w:val="18"/>
                <w:szCs w:val="18"/>
              </w:rPr>
              <w:t>a</w:t>
            </w:r>
          </w:p>
        </w:tc>
      </w:tr>
      <w:tr w:rsidR="0081101E" w:rsidRPr="00D177D8" w14:paraId="3EFC9969" w14:textId="77777777" w:rsidTr="00070EF5">
        <w:tblPrEx>
          <w:jc w:val="left"/>
          <w:tblCellMar>
            <w:left w:w="85" w:type="dxa"/>
            <w:right w:w="85" w:type="dxa"/>
          </w:tblCellMar>
        </w:tblPrEx>
        <w:trPr>
          <w:trHeight w:val="471"/>
        </w:trPr>
        <w:tc>
          <w:tcPr>
            <w:tcW w:w="2410" w:type="dxa"/>
            <w:shd w:val="pct5" w:color="auto" w:fill="FFFFFF"/>
            <w:vAlign w:val="center"/>
          </w:tcPr>
          <w:p w14:paraId="667F9210" w14:textId="77777777" w:rsidR="0081101E" w:rsidRPr="00DA070F" w:rsidRDefault="0081101E" w:rsidP="0081101E">
            <w:pPr>
              <w:spacing w:before="60" w:after="60"/>
              <w:jc w:val="left"/>
              <w:rPr>
                <w:b/>
                <w:sz w:val="18"/>
                <w:szCs w:val="18"/>
              </w:rPr>
            </w:pPr>
            <w:r w:rsidRPr="00DA070F">
              <w:rPr>
                <w:b/>
                <w:sz w:val="18"/>
                <w:szCs w:val="18"/>
              </w:rPr>
              <w:br w:type="page"/>
              <w:t>Pojistník, pojištěný, oprávněná osoba</w:t>
            </w:r>
          </w:p>
        </w:tc>
        <w:tc>
          <w:tcPr>
            <w:tcW w:w="6770" w:type="dxa"/>
            <w:gridSpan w:val="2"/>
          </w:tcPr>
          <w:p w14:paraId="3B742435" w14:textId="77777777" w:rsidR="0081101E" w:rsidRPr="0081101E" w:rsidRDefault="0081101E" w:rsidP="0081101E">
            <w:pPr>
              <w:spacing w:before="60" w:after="60"/>
            </w:pPr>
            <w:bookmarkStart w:id="0" w:name="CLIENT_NAME"/>
            <w:r w:rsidRPr="0081101E">
              <w:rPr>
                <w:b/>
              </w:rPr>
              <w:t>Brněnské vodárny a kanalizace, a.s.</w:t>
            </w:r>
            <w:bookmarkEnd w:id="0"/>
            <w:r w:rsidRPr="0081101E">
              <w:t xml:space="preserve">, </w:t>
            </w:r>
            <w:bookmarkStart w:id="1" w:name="CLIENT_REGISTER"/>
          </w:p>
          <w:p w14:paraId="719DE263" w14:textId="77777777" w:rsidR="0081101E" w:rsidRPr="0081101E" w:rsidRDefault="0081101E" w:rsidP="0081101E">
            <w:pPr>
              <w:spacing w:before="60" w:after="60"/>
              <w:rPr>
                <w:sz w:val="16"/>
                <w:szCs w:val="16"/>
              </w:rPr>
            </w:pPr>
            <w:r w:rsidRPr="0081101E">
              <w:rPr>
                <w:sz w:val="16"/>
                <w:szCs w:val="16"/>
              </w:rPr>
              <w:t>zapsána v obchodním rejstříku vedeném Krajským soudem v Brně B 783</w:t>
            </w:r>
            <w:bookmarkEnd w:id="1"/>
            <w:r w:rsidRPr="0081101E">
              <w:rPr>
                <w:sz w:val="16"/>
                <w:szCs w:val="16"/>
              </w:rPr>
              <w:t xml:space="preserve">, </w:t>
            </w:r>
          </w:p>
          <w:p w14:paraId="584A8C7E" w14:textId="5102E7B3" w:rsidR="0081101E" w:rsidRPr="0081101E" w:rsidRDefault="0081101E" w:rsidP="0081101E">
            <w:pPr>
              <w:jc w:val="left"/>
            </w:pPr>
            <w:r w:rsidRPr="0081101E">
              <w:t xml:space="preserve">IČO: </w:t>
            </w:r>
            <w:bookmarkStart w:id="2" w:name="CLIENT_ID"/>
            <w:r w:rsidRPr="0081101E">
              <w:t>463 47 275</w:t>
            </w:r>
            <w:bookmarkEnd w:id="2"/>
          </w:p>
        </w:tc>
      </w:tr>
      <w:tr w:rsidR="0081101E" w:rsidRPr="00D177D8" w14:paraId="091D5E9D" w14:textId="77777777" w:rsidTr="00E41089">
        <w:tblPrEx>
          <w:jc w:val="left"/>
          <w:tblCellMar>
            <w:left w:w="85" w:type="dxa"/>
            <w:right w:w="85" w:type="dxa"/>
          </w:tblCellMar>
        </w:tblPrEx>
        <w:trPr>
          <w:trHeight w:val="85"/>
        </w:trPr>
        <w:tc>
          <w:tcPr>
            <w:tcW w:w="2410" w:type="dxa"/>
            <w:shd w:val="pct5" w:color="auto" w:fill="FFFFFF"/>
            <w:vAlign w:val="center"/>
          </w:tcPr>
          <w:p w14:paraId="7B96309A" w14:textId="77777777" w:rsidR="0081101E" w:rsidRPr="00DA070F" w:rsidRDefault="0081101E" w:rsidP="0081101E">
            <w:pPr>
              <w:spacing w:before="60" w:after="60"/>
              <w:jc w:val="left"/>
              <w:rPr>
                <w:b/>
                <w:sz w:val="18"/>
                <w:szCs w:val="18"/>
              </w:rPr>
            </w:pPr>
            <w:r w:rsidRPr="00DA070F">
              <w:rPr>
                <w:b/>
                <w:sz w:val="18"/>
                <w:szCs w:val="18"/>
              </w:rPr>
              <w:t>Se sídlem:</w:t>
            </w:r>
          </w:p>
        </w:tc>
        <w:tc>
          <w:tcPr>
            <w:tcW w:w="6770" w:type="dxa"/>
            <w:gridSpan w:val="2"/>
            <w:vAlign w:val="center"/>
          </w:tcPr>
          <w:p w14:paraId="4BD36D85" w14:textId="7678DFBB" w:rsidR="0081101E" w:rsidRPr="0081101E" w:rsidRDefault="0081101E" w:rsidP="0081101E">
            <w:pPr>
              <w:pStyle w:val="Textkomente"/>
              <w:jc w:val="left"/>
            </w:pPr>
            <w:bookmarkStart w:id="3" w:name="CLIENT_COMP_FULLADDRESS"/>
            <w:r w:rsidRPr="0081101E">
              <w:t>Pisárecká 555/1a, Pisárky, 603 00 Brno</w:t>
            </w:r>
            <w:bookmarkEnd w:id="3"/>
          </w:p>
        </w:tc>
      </w:tr>
      <w:tr w:rsidR="0081101E" w:rsidRPr="00D177D8" w14:paraId="7B7CBA7C" w14:textId="77777777" w:rsidTr="00E41089">
        <w:tblPrEx>
          <w:jc w:val="left"/>
          <w:tblCellMar>
            <w:left w:w="85" w:type="dxa"/>
            <w:right w:w="85" w:type="dxa"/>
          </w:tblCellMar>
        </w:tblPrEx>
        <w:trPr>
          <w:trHeight w:val="190"/>
        </w:trPr>
        <w:tc>
          <w:tcPr>
            <w:tcW w:w="2410" w:type="dxa"/>
            <w:shd w:val="pct5" w:color="auto" w:fill="FFFFFF"/>
            <w:vAlign w:val="center"/>
          </w:tcPr>
          <w:p w14:paraId="46C3519A" w14:textId="77777777" w:rsidR="0081101E" w:rsidRPr="00DA070F" w:rsidRDefault="0081101E" w:rsidP="0081101E">
            <w:pPr>
              <w:spacing w:before="60" w:after="60"/>
              <w:jc w:val="left"/>
              <w:rPr>
                <w:b/>
                <w:sz w:val="18"/>
                <w:szCs w:val="18"/>
              </w:rPr>
            </w:pPr>
            <w:r w:rsidRPr="00DA070F">
              <w:rPr>
                <w:b/>
                <w:sz w:val="18"/>
                <w:szCs w:val="18"/>
              </w:rPr>
              <w:t>Zastoupen:</w:t>
            </w:r>
          </w:p>
        </w:tc>
        <w:tc>
          <w:tcPr>
            <w:tcW w:w="6770" w:type="dxa"/>
            <w:gridSpan w:val="2"/>
            <w:vAlign w:val="center"/>
          </w:tcPr>
          <w:p w14:paraId="4E1E4CFF" w14:textId="7F8008D2" w:rsidR="0081101E" w:rsidRPr="0081101E" w:rsidRDefault="000D6989" w:rsidP="0081101E">
            <w:pPr>
              <w:pStyle w:val="Textkomente"/>
              <w:jc w:val="left"/>
            </w:pPr>
            <w:r>
              <w:t>XXX</w:t>
            </w:r>
          </w:p>
        </w:tc>
      </w:tr>
      <w:tr w:rsidR="0081101E" w:rsidRPr="00D177D8" w14:paraId="6FAB5FD8" w14:textId="77777777" w:rsidTr="00E41089">
        <w:tblPrEx>
          <w:jc w:val="left"/>
          <w:tblCellMar>
            <w:left w:w="85" w:type="dxa"/>
            <w:right w:w="85" w:type="dxa"/>
          </w:tblCellMar>
        </w:tblPrEx>
        <w:trPr>
          <w:trHeight w:val="137"/>
        </w:trPr>
        <w:tc>
          <w:tcPr>
            <w:tcW w:w="2410" w:type="dxa"/>
            <w:shd w:val="pct5" w:color="auto" w:fill="FFFFFF"/>
            <w:vAlign w:val="center"/>
          </w:tcPr>
          <w:p w14:paraId="7B0B1DCE" w14:textId="77777777" w:rsidR="0081101E" w:rsidRPr="00DA070F" w:rsidRDefault="0081101E" w:rsidP="0081101E">
            <w:pPr>
              <w:spacing w:before="60" w:after="60"/>
              <w:jc w:val="left"/>
              <w:rPr>
                <w:b/>
                <w:sz w:val="18"/>
                <w:szCs w:val="18"/>
              </w:rPr>
            </w:pPr>
            <w:r w:rsidRPr="00DA070F">
              <w:rPr>
                <w:b/>
                <w:sz w:val="18"/>
                <w:szCs w:val="18"/>
              </w:rPr>
              <w:t>Adresa pro doručování:</w:t>
            </w:r>
          </w:p>
        </w:tc>
        <w:tc>
          <w:tcPr>
            <w:tcW w:w="6770" w:type="dxa"/>
            <w:gridSpan w:val="2"/>
            <w:vAlign w:val="center"/>
          </w:tcPr>
          <w:p w14:paraId="7483644A" w14:textId="34192B1A" w:rsidR="0081101E" w:rsidRPr="0081101E" w:rsidRDefault="0081101E" w:rsidP="0081101E">
            <w:pPr>
              <w:spacing w:before="60" w:after="60"/>
              <w:jc w:val="left"/>
            </w:pPr>
            <w:r w:rsidRPr="0081101E">
              <w:t>Pisárecká 555/1a, Pisárky, 603 00 Brno</w:t>
            </w:r>
          </w:p>
        </w:tc>
      </w:tr>
      <w:tr w:rsidR="008A6184" w:rsidRPr="008A6184" w14:paraId="3AE3CE60" w14:textId="77777777" w:rsidTr="00E41089">
        <w:tblPrEx>
          <w:jc w:val="left"/>
          <w:tblCellMar>
            <w:left w:w="85" w:type="dxa"/>
            <w:right w:w="85" w:type="dxa"/>
          </w:tblCellMar>
        </w:tblPrEx>
        <w:trPr>
          <w:trHeight w:val="546"/>
        </w:trPr>
        <w:tc>
          <w:tcPr>
            <w:tcW w:w="2410" w:type="dxa"/>
            <w:shd w:val="clear" w:color="auto" w:fill="FFFFFF"/>
          </w:tcPr>
          <w:p w14:paraId="1C88D024" w14:textId="77777777" w:rsidR="008A6184" w:rsidRPr="00DA070F" w:rsidRDefault="008A6184" w:rsidP="008A6184">
            <w:pPr>
              <w:spacing w:before="60" w:after="60"/>
              <w:jc w:val="left"/>
              <w:rPr>
                <w:b/>
                <w:sz w:val="18"/>
                <w:szCs w:val="18"/>
              </w:rPr>
            </w:pPr>
          </w:p>
        </w:tc>
        <w:tc>
          <w:tcPr>
            <w:tcW w:w="6770" w:type="dxa"/>
            <w:gridSpan w:val="2"/>
            <w:shd w:val="clear" w:color="auto" w:fill="FFFFFF"/>
            <w:vAlign w:val="center"/>
          </w:tcPr>
          <w:p w14:paraId="47A5B37E" w14:textId="77777777" w:rsidR="008A6184" w:rsidRPr="00DA070F" w:rsidRDefault="008A6184" w:rsidP="008A6184">
            <w:pPr>
              <w:tabs>
                <w:tab w:val="center" w:pos="2019"/>
              </w:tabs>
              <w:spacing w:before="60" w:after="60"/>
              <w:rPr>
                <w:b/>
                <w:sz w:val="18"/>
                <w:szCs w:val="18"/>
              </w:rPr>
            </w:pPr>
            <w:r w:rsidRPr="00DA070F">
              <w:rPr>
                <w:sz w:val="18"/>
                <w:szCs w:val="18"/>
              </w:rPr>
              <w:tab/>
            </w:r>
            <w:r w:rsidRPr="00DA070F">
              <w:rPr>
                <w:b/>
                <w:sz w:val="18"/>
                <w:szCs w:val="18"/>
              </w:rPr>
              <w:t>uzavírají prostřednictvím</w:t>
            </w:r>
          </w:p>
        </w:tc>
      </w:tr>
      <w:tr w:rsidR="0081101E" w:rsidRPr="00D177D8" w14:paraId="2F8F74AA" w14:textId="77777777" w:rsidTr="0081101E">
        <w:tblPrEx>
          <w:jc w:val="left"/>
          <w:tblCellMar>
            <w:left w:w="85" w:type="dxa"/>
            <w:right w:w="85" w:type="dxa"/>
          </w:tblCellMar>
        </w:tblPrEx>
        <w:trPr>
          <w:trHeight w:val="471"/>
        </w:trPr>
        <w:tc>
          <w:tcPr>
            <w:tcW w:w="2410" w:type="dxa"/>
            <w:shd w:val="pct5" w:color="auto" w:fill="FFFFFF"/>
            <w:vAlign w:val="center"/>
          </w:tcPr>
          <w:p w14:paraId="50711E67" w14:textId="77777777" w:rsidR="0081101E" w:rsidRPr="00DA070F" w:rsidRDefault="0081101E" w:rsidP="0081101E">
            <w:pPr>
              <w:spacing w:before="60" w:after="60"/>
              <w:jc w:val="left"/>
              <w:rPr>
                <w:b/>
                <w:sz w:val="18"/>
                <w:szCs w:val="18"/>
              </w:rPr>
            </w:pPr>
            <w:r w:rsidRPr="00DA070F">
              <w:rPr>
                <w:b/>
                <w:sz w:val="18"/>
                <w:szCs w:val="18"/>
              </w:rPr>
              <w:br w:type="page"/>
              <w:t>Zplnomocněného makléře:</w:t>
            </w:r>
          </w:p>
        </w:tc>
        <w:tc>
          <w:tcPr>
            <w:tcW w:w="6770" w:type="dxa"/>
            <w:gridSpan w:val="2"/>
            <w:vAlign w:val="center"/>
          </w:tcPr>
          <w:p w14:paraId="2C083C8B" w14:textId="77777777" w:rsidR="0081101E" w:rsidRDefault="0081101E" w:rsidP="0081101E">
            <w:pPr>
              <w:ind w:right="113"/>
              <w:jc w:val="left"/>
              <w:rPr>
                <w:b/>
                <w:sz w:val="18"/>
                <w:szCs w:val="18"/>
              </w:rPr>
            </w:pPr>
            <w:bookmarkStart w:id="4" w:name="BROKER_NAME"/>
            <w:proofErr w:type="spellStart"/>
            <w:r w:rsidRPr="00AA644C">
              <w:rPr>
                <w:b/>
                <w:sz w:val="18"/>
                <w:szCs w:val="18"/>
              </w:rPr>
              <w:t>Eurovalley</w:t>
            </w:r>
            <w:proofErr w:type="spellEnd"/>
            <w:r w:rsidRPr="00AA644C">
              <w:rPr>
                <w:b/>
                <w:sz w:val="18"/>
                <w:szCs w:val="18"/>
              </w:rPr>
              <w:t xml:space="preserve"> s.r.o.</w:t>
            </w:r>
            <w:bookmarkEnd w:id="4"/>
            <w:r w:rsidRPr="00AA644C">
              <w:rPr>
                <w:b/>
                <w:sz w:val="18"/>
                <w:szCs w:val="18"/>
              </w:rPr>
              <w:t xml:space="preserve">,  </w:t>
            </w:r>
            <w:bookmarkStart w:id="5" w:name="BROKER_REGISTER"/>
          </w:p>
          <w:p w14:paraId="425770CE" w14:textId="219CFD25" w:rsidR="0081101E" w:rsidRPr="00DA070F" w:rsidRDefault="0081101E" w:rsidP="0081101E">
            <w:pPr>
              <w:jc w:val="left"/>
              <w:rPr>
                <w:b/>
                <w:sz w:val="18"/>
                <w:szCs w:val="18"/>
              </w:rPr>
            </w:pPr>
            <w:r w:rsidRPr="00F71884">
              <w:rPr>
                <w:sz w:val="16"/>
                <w:szCs w:val="16"/>
              </w:rPr>
              <w:t>zapsána v obchodním rejstříku vedeném Krajským soudem v Brně, oddíl C, vložka 75913</w:t>
            </w:r>
            <w:bookmarkEnd w:id="5"/>
            <w:r w:rsidRPr="00AA644C">
              <w:rPr>
                <w:sz w:val="18"/>
                <w:szCs w:val="18"/>
              </w:rPr>
              <w:t>, IČ</w:t>
            </w:r>
            <w:r>
              <w:rPr>
                <w:sz w:val="18"/>
                <w:szCs w:val="18"/>
              </w:rPr>
              <w:t>O</w:t>
            </w:r>
            <w:r w:rsidRPr="00AA644C">
              <w:rPr>
                <w:sz w:val="18"/>
                <w:szCs w:val="18"/>
              </w:rPr>
              <w:t xml:space="preserve">: </w:t>
            </w:r>
            <w:bookmarkStart w:id="6" w:name="BROKER_ID"/>
            <w:r w:rsidRPr="00AA644C">
              <w:rPr>
                <w:sz w:val="18"/>
                <w:szCs w:val="18"/>
              </w:rPr>
              <w:t>293 68 324</w:t>
            </w:r>
            <w:bookmarkEnd w:id="6"/>
          </w:p>
        </w:tc>
      </w:tr>
      <w:tr w:rsidR="0081101E" w:rsidRPr="00D177D8" w14:paraId="400A8F6C" w14:textId="77777777" w:rsidTr="0081101E">
        <w:tblPrEx>
          <w:jc w:val="left"/>
          <w:tblCellMar>
            <w:left w:w="85" w:type="dxa"/>
            <w:right w:w="85" w:type="dxa"/>
          </w:tblCellMar>
        </w:tblPrEx>
        <w:trPr>
          <w:trHeight w:val="85"/>
        </w:trPr>
        <w:tc>
          <w:tcPr>
            <w:tcW w:w="2410" w:type="dxa"/>
            <w:shd w:val="pct5" w:color="auto" w:fill="FFFFFF"/>
            <w:vAlign w:val="center"/>
          </w:tcPr>
          <w:p w14:paraId="2D7B71D4" w14:textId="77777777" w:rsidR="0081101E" w:rsidRPr="00DA070F" w:rsidRDefault="0081101E" w:rsidP="0081101E">
            <w:pPr>
              <w:spacing w:before="60" w:after="60"/>
              <w:jc w:val="left"/>
              <w:rPr>
                <w:b/>
                <w:sz w:val="18"/>
                <w:szCs w:val="18"/>
              </w:rPr>
            </w:pPr>
            <w:r w:rsidRPr="00DA070F">
              <w:rPr>
                <w:b/>
                <w:sz w:val="18"/>
                <w:szCs w:val="18"/>
              </w:rPr>
              <w:t>Se sídlem:</w:t>
            </w:r>
          </w:p>
        </w:tc>
        <w:tc>
          <w:tcPr>
            <w:tcW w:w="6770" w:type="dxa"/>
            <w:gridSpan w:val="2"/>
            <w:vAlign w:val="center"/>
          </w:tcPr>
          <w:p w14:paraId="73CAA436" w14:textId="1EA83A80" w:rsidR="0081101E" w:rsidRPr="00DA070F" w:rsidRDefault="0081101E" w:rsidP="0081101E">
            <w:pPr>
              <w:pStyle w:val="Textkomente"/>
              <w:jc w:val="left"/>
              <w:rPr>
                <w:sz w:val="18"/>
                <w:szCs w:val="18"/>
              </w:rPr>
            </w:pPr>
            <w:bookmarkStart w:id="7" w:name="BROKER_COMP_FULLADDRESS"/>
            <w:r w:rsidRPr="00AA644C">
              <w:rPr>
                <w:rStyle w:val="platne"/>
                <w:sz w:val="18"/>
                <w:szCs w:val="18"/>
              </w:rPr>
              <w:t>Příkop 6, 602 00 Brno</w:t>
            </w:r>
            <w:bookmarkEnd w:id="7"/>
          </w:p>
        </w:tc>
      </w:tr>
      <w:tr w:rsidR="0081101E" w:rsidRPr="00D177D8" w14:paraId="00B9EA02" w14:textId="77777777" w:rsidTr="0081101E">
        <w:tblPrEx>
          <w:jc w:val="left"/>
          <w:tblCellMar>
            <w:left w:w="85" w:type="dxa"/>
            <w:right w:w="85" w:type="dxa"/>
          </w:tblCellMar>
        </w:tblPrEx>
        <w:trPr>
          <w:trHeight w:val="137"/>
        </w:trPr>
        <w:tc>
          <w:tcPr>
            <w:tcW w:w="2410" w:type="dxa"/>
            <w:shd w:val="pct5" w:color="auto" w:fill="FFFFFF"/>
            <w:vAlign w:val="center"/>
          </w:tcPr>
          <w:p w14:paraId="702CF9F9" w14:textId="77777777" w:rsidR="0081101E" w:rsidRPr="00DA070F" w:rsidRDefault="0081101E" w:rsidP="0081101E">
            <w:pPr>
              <w:spacing w:before="60" w:after="60"/>
              <w:jc w:val="left"/>
              <w:rPr>
                <w:b/>
                <w:sz w:val="18"/>
                <w:szCs w:val="18"/>
              </w:rPr>
            </w:pPr>
            <w:r w:rsidRPr="00DA070F">
              <w:rPr>
                <w:b/>
                <w:sz w:val="18"/>
                <w:szCs w:val="18"/>
              </w:rPr>
              <w:t>Adresa pro doručování:</w:t>
            </w:r>
          </w:p>
        </w:tc>
        <w:tc>
          <w:tcPr>
            <w:tcW w:w="6770" w:type="dxa"/>
            <w:gridSpan w:val="2"/>
            <w:vAlign w:val="center"/>
          </w:tcPr>
          <w:p w14:paraId="087EBA33" w14:textId="2E8BF60D" w:rsidR="0081101E" w:rsidRPr="00DA070F" w:rsidRDefault="0081101E" w:rsidP="0081101E">
            <w:pPr>
              <w:spacing w:before="60" w:after="60"/>
              <w:jc w:val="left"/>
              <w:rPr>
                <w:sz w:val="18"/>
                <w:szCs w:val="18"/>
              </w:rPr>
            </w:pPr>
            <w:r w:rsidRPr="00AA644C">
              <w:rPr>
                <w:rStyle w:val="platne"/>
                <w:sz w:val="18"/>
                <w:szCs w:val="18"/>
              </w:rPr>
              <w:t>Příkop 6, 602 00 Brno</w:t>
            </w:r>
          </w:p>
        </w:tc>
      </w:tr>
    </w:tbl>
    <w:p w14:paraId="5DD05A89" w14:textId="77777777" w:rsidR="0081101E" w:rsidRDefault="0081101E" w:rsidP="00322F62">
      <w:pPr>
        <w:pStyle w:val="Nadpis1"/>
        <w:spacing w:before="240"/>
        <w:rPr>
          <w:color w:val="auto"/>
          <w:sz w:val="28"/>
        </w:rPr>
      </w:pPr>
    </w:p>
    <w:p w14:paraId="7752FA08" w14:textId="7ED55140" w:rsidR="00322F62" w:rsidRPr="00043DBE" w:rsidRDefault="00322F62" w:rsidP="00322F62">
      <w:pPr>
        <w:pStyle w:val="Nadpis1"/>
        <w:spacing w:before="240"/>
        <w:rPr>
          <w:color w:val="auto"/>
          <w:sz w:val="28"/>
        </w:rPr>
      </w:pPr>
      <w:r w:rsidRPr="00043DBE">
        <w:rPr>
          <w:color w:val="auto"/>
          <w:sz w:val="28"/>
        </w:rPr>
        <w:t xml:space="preserve">Pojistnou smlouvu č. </w:t>
      </w:r>
      <w:r w:rsidR="005C4210">
        <w:rPr>
          <w:color w:val="auto"/>
          <w:sz w:val="28"/>
        </w:rPr>
        <w:t>3601 0044 24</w:t>
      </w:r>
    </w:p>
    <w:p w14:paraId="454F04A9" w14:textId="33F439DF" w:rsidR="00322F62" w:rsidRPr="00043DBE" w:rsidRDefault="00322F62" w:rsidP="00322F62">
      <w:pPr>
        <w:pStyle w:val="Nadpis2"/>
        <w:spacing w:before="0"/>
        <w:rPr>
          <w:color w:val="auto"/>
          <w:sz w:val="28"/>
        </w:rPr>
      </w:pPr>
      <w:r w:rsidRPr="00043DBE">
        <w:rPr>
          <w:color w:val="auto"/>
          <w:sz w:val="28"/>
        </w:rPr>
        <w:t xml:space="preserve">POJIŠTĚNÍ </w:t>
      </w:r>
      <w:r w:rsidR="009E6676">
        <w:rPr>
          <w:color w:val="auto"/>
          <w:sz w:val="28"/>
        </w:rPr>
        <w:t>NÁSILNOSTÍ</w:t>
      </w:r>
    </w:p>
    <w:p w14:paraId="0372A13D" w14:textId="77777777" w:rsidR="00460BC4" w:rsidRPr="0081101E" w:rsidRDefault="004453F3" w:rsidP="00460BC4">
      <w:pPr>
        <w:pStyle w:val="Zkladntext"/>
        <w:rPr>
          <w:sz w:val="16"/>
          <w:szCs w:val="16"/>
        </w:rPr>
      </w:pPr>
      <w:r w:rsidRPr="0081101E">
        <w:rPr>
          <w:sz w:val="16"/>
          <w:szCs w:val="16"/>
        </w:rPr>
        <w:t>Podpisy vyjadřují smluvní strany souhlas s dále uvedenou</w:t>
      </w:r>
      <w:r w:rsidRPr="0081101E">
        <w:rPr>
          <w:i/>
          <w:sz w:val="16"/>
          <w:szCs w:val="16"/>
        </w:rPr>
        <w:t xml:space="preserve"> pojistnou smlouvou</w:t>
      </w:r>
      <w:r w:rsidRPr="0081101E">
        <w:rPr>
          <w:sz w:val="16"/>
          <w:szCs w:val="16"/>
        </w:rPr>
        <w:t xml:space="preserve"> a</w:t>
      </w:r>
      <w:r w:rsidRPr="0081101E">
        <w:rPr>
          <w:i/>
          <w:sz w:val="16"/>
          <w:szCs w:val="16"/>
        </w:rPr>
        <w:t xml:space="preserve"> pojistník </w:t>
      </w:r>
      <w:r w:rsidRPr="0081101E">
        <w:rPr>
          <w:sz w:val="16"/>
          <w:szCs w:val="16"/>
        </w:rPr>
        <w:t>potvrzuje, že</w:t>
      </w:r>
      <w:r w:rsidRPr="0081101E">
        <w:rPr>
          <w:i/>
          <w:sz w:val="16"/>
          <w:szCs w:val="16"/>
        </w:rPr>
        <w:t xml:space="preserve"> </w:t>
      </w:r>
      <w:r w:rsidRPr="0081101E">
        <w:rPr>
          <w:sz w:val="16"/>
          <w:szCs w:val="16"/>
        </w:rPr>
        <w:t xml:space="preserve">byl seznámen s přiloženými pojistnými podmínkami a že s nimi souhlasí. </w:t>
      </w:r>
      <w:r w:rsidR="00460BC4" w:rsidRPr="0081101E">
        <w:rPr>
          <w:i/>
          <w:sz w:val="16"/>
          <w:szCs w:val="16"/>
        </w:rPr>
        <w:t>Pojistník</w:t>
      </w:r>
      <w:r w:rsidR="00460BC4" w:rsidRPr="0081101E">
        <w:rPr>
          <w:sz w:val="16"/>
          <w:szCs w:val="16"/>
        </w:rPr>
        <w:t xml:space="preserve"> prohlašuje, že akceptuje návrh této </w:t>
      </w:r>
      <w:r w:rsidR="00460BC4" w:rsidRPr="0081101E">
        <w:rPr>
          <w:i/>
          <w:sz w:val="16"/>
          <w:szCs w:val="16"/>
        </w:rPr>
        <w:t>pojistné</w:t>
      </w:r>
      <w:r w:rsidR="00460BC4" w:rsidRPr="0081101E">
        <w:rPr>
          <w:sz w:val="16"/>
          <w:szCs w:val="16"/>
        </w:rPr>
        <w:t xml:space="preserve"> </w:t>
      </w:r>
      <w:r w:rsidR="00460BC4" w:rsidRPr="0081101E">
        <w:rPr>
          <w:i/>
          <w:sz w:val="16"/>
          <w:szCs w:val="16"/>
        </w:rPr>
        <w:t>smlouvy</w:t>
      </w:r>
      <w:r w:rsidR="00460BC4" w:rsidRPr="0081101E">
        <w:rPr>
          <w:sz w:val="16"/>
          <w:szCs w:val="16"/>
        </w:rPr>
        <w:t xml:space="preserve"> v plném rozsahu; přijetí nabídky s dodatky či odchylkami, byť nepodstatnými, se za akceptaci nepovažuje</w:t>
      </w:r>
      <w:r w:rsidR="00794656" w:rsidRPr="0081101E">
        <w:rPr>
          <w:sz w:val="16"/>
          <w:szCs w:val="16"/>
          <w:lang w:val="cs-CZ"/>
        </w:rPr>
        <w:t>.</w:t>
      </w:r>
      <w:r w:rsidR="00460BC4" w:rsidRPr="0081101E">
        <w:rPr>
          <w:sz w:val="16"/>
          <w:szCs w:val="16"/>
        </w:rPr>
        <w:t xml:space="preserve"> </w:t>
      </w:r>
      <w:r w:rsidRPr="0081101E">
        <w:rPr>
          <w:sz w:val="16"/>
          <w:szCs w:val="16"/>
        </w:rPr>
        <w:t xml:space="preserve">Vzhledem k tomu, že bylo pojištění sjednáno na základě informací poskytnutých pojišťovacím makléřem, </w:t>
      </w:r>
      <w:r w:rsidRPr="0081101E">
        <w:rPr>
          <w:i/>
          <w:sz w:val="16"/>
          <w:szCs w:val="16"/>
        </w:rPr>
        <w:t>pojistník</w:t>
      </w:r>
      <w:r w:rsidRPr="0081101E">
        <w:rPr>
          <w:sz w:val="16"/>
          <w:szCs w:val="16"/>
        </w:rPr>
        <w:t xml:space="preserve"> souhlasí, že tyto informace budou stranami považovány za odpovědi na písemné dotazy </w:t>
      </w:r>
      <w:r w:rsidRPr="0081101E">
        <w:rPr>
          <w:i/>
          <w:sz w:val="16"/>
          <w:szCs w:val="16"/>
        </w:rPr>
        <w:t>pojistitele</w:t>
      </w:r>
      <w:r w:rsidRPr="0081101E">
        <w:rPr>
          <w:sz w:val="16"/>
          <w:szCs w:val="16"/>
        </w:rPr>
        <w:t>.</w:t>
      </w:r>
      <w:r w:rsidR="00A600BB" w:rsidRPr="0081101E">
        <w:rPr>
          <w:sz w:val="16"/>
          <w:szCs w:val="16"/>
        </w:rPr>
        <w:t xml:space="preserve"> Pokud se v textu vyskytují pojmy psané </w:t>
      </w:r>
      <w:r w:rsidR="00A600BB" w:rsidRPr="0081101E">
        <w:rPr>
          <w:i/>
          <w:sz w:val="16"/>
          <w:szCs w:val="16"/>
        </w:rPr>
        <w:t>kurzívou</w:t>
      </w:r>
      <w:r w:rsidR="00A600BB" w:rsidRPr="0081101E">
        <w:rPr>
          <w:sz w:val="16"/>
          <w:szCs w:val="16"/>
        </w:rPr>
        <w:t>, potom mají tyto pojmy význam definovaný v přiložených pojistných podmínkách.</w:t>
      </w:r>
      <w:r w:rsidR="00460BC4" w:rsidRPr="0081101E">
        <w:rPr>
          <w:sz w:val="16"/>
          <w:szCs w:val="16"/>
        </w:rPr>
        <w:t xml:space="preserve"> V případě, že </w:t>
      </w:r>
      <w:r w:rsidR="00460BC4" w:rsidRPr="0081101E">
        <w:rPr>
          <w:i/>
          <w:sz w:val="16"/>
          <w:szCs w:val="16"/>
        </w:rPr>
        <w:t>pojistník</w:t>
      </w:r>
      <w:r w:rsidR="00460BC4" w:rsidRPr="0081101E">
        <w:rPr>
          <w:sz w:val="16"/>
          <w:szCs w:val="16"/>
        </w:rPr>
        <w:t xml:space="preserve"> je podnikatelem, vylučuje se užití ustanovení o smlouvách uzavíraných adhezním způsobem podle příslušných ustanovení </w:t>
      </w:r>
      <w:r w:rsidR="00460BC4" w:rsidRPr="0081101E">
        <w:rPr>
          <w:i/>
          <w:sz w:val="16"/>
          <w:szCs w:val="16"/>
        </w:rPr>
        <w:t>zákonných norem</w:t>
      </w:r>
      <w:r w:rsidR="00460BC4" w:rsidRPr="0081101E">
        <w:rPr>
          <w:sz w:val="16"/>
          <w:szCs w:val="16"/>
        </w:rPr>
        <w:t>.</w:t>
      </w:r>
    </w:p>
    <w:p w14:paraId="5FA04C78" w14:textId="77777777" w:rsidR="004453F3" w:rsidRPr="00D177D8" w:rsidRDefault="004453F3" w:rsidP="004453F3">
      <w:pPr>
        <w:pStyle w:val="Zkladntext"/>
        <w:rPr>
          <w:sz w:val="18"/>
          <w:szCs w:val="18"/>
        </w:rPr>
      </w:pPr>
    </w:p>
    <w:tbl>
      <w:tblPr>
        <w:tblW w:w="9322" w:type="dxa"/>
        <w:tblLayout w:type="fixed"/>
        <w:tblLook w:val="0000" w:firstRow="0" w:lastRow="0" w:firstColumn="0" w:lastColumn="0" w:noHBand="0" w:noVBand="0"/>
      </w:tblPr>
      <w:tblGrid>
        <w:gridCol w:w="5353"/>
        <w:gridCol w:w="3969"/>
      </w:tblGrid>
      <w:tr w:rsidR="004453F3" w:rsidRPr="00D177D8" w14:paraId="754914AE" w14:textId="77777777" w:rsidTr="00A600BB">
        <w:trPr>
          <w:trHeight w:val="413"/>
        </w:trPr>
        <w:tc>
          <w:tcPr>
            <w:tcW w:w="5353" w:type="dxa"/>
          </w:tcPr>
          <w:p w14:paraId="23A270FC" w14:textId="77777777" w:rsidR="004453F3" w:rsidRPr="00D177D8" w:rsidRDefault="004453F3" w:rsidP="008F45ED">
            <w:pPr>
              <w:spacing w:before="120" w:after="120"/>
              <w:rPr>
                <w:sz w:val="18"/>
                <w:szCs w:val="18"/>
              </w:rPr>
            </w:pPr>
            <w:r w:rsidRPr="004F35D0">
              <w:rPr>
                <w:i/>
                <w:sz w:val="18"/>
                <w:szCs w:val="18"/>
              </w:rPr>
              <w:t>Pojistník</w:t>
            </w:r>
            <w:r w:rsidRPr="00D177D8">
              <w:rPr>
                <w:sz w:val="18"/>
                <w:szCs w:val="18"/>
              </w:rPr>
              <w:t>:</w:t>
            </w:r>
          </w:p>
        </w:tc>
        <w:tc>
          <w:tcPr>
            <w:tcW w:w="3969" w:type="dxa"/>
          </w:tcPr>
          <w:p w14:paraId="29D541C6" w14:textId="77777777" w:rsidR="004453F3" w:rsidRPr="00D177D8" w:rsidRDefault="004453F3" w:rsidP="008F45ED">
            <w:pPr>
              <w:spacing w:before="120" w:after="120"/>
              <w:rPr>
                <w:sz w:val="18"/>
                <w:szCs w:val="18"/>
              </w:rPr>
            </w:pPr>
            <w:r w:rsidRPr="00F42D6C">
              <w:rPr>
                <w:i/>
                <w:sz w:val="18"/>
                <w:szCs w:val="18"/>
              </w:rPr>
              <w:t>Pojistitel</w:t>
            </w:r>
            <w:r w:rsidRPr="00D177D8">
              <w:rPr>
                <w:sz w:val="18"/>
                <w:szCs w:val="18"/>
              </w:rPr>
              <w:t>:</w:t>
            </w:r>
          </w:p>
        </w:tc>
      </w:tr>
      <w:tr w:rsidR="004453F3" w:rsidRPr="00D177D8" w14:paraId="3C1EAB12" w14:textId="77777777" w:rsidTr="008F45ED">
        <w:trPr>
          <w:trHeight w:val="606"/>
        </w:trPr>
        <w:tc>
          <w:tcPr>
            <w:tcW w:w="5353" w:type="dxa"/>
          </w:tcPr>
          <w:p w14:paraId="0FAB498E" w14:textId="233BD69A" w:rsidR="004453F3" w:rsidRPr="00D177D8" w:rsidRDefault="004453F3" w:rsidP="00756453">
            <w:pPr>
              <w:spacing w:before="120" w:after="120"/>
              <w:rPr>
                <w:sz w:val="18"/>
                <w:szCs w:val="18"/>
              </w:rPr>
            </w:pPr>
            <w:r w:rsidRPr="00D177D8">
              <w:rPr>
                <w:sz w:val="18"/>
                <w:szCs w:val="18"/>
              </w:rPr>
              <w:t>V</w:t>
            </w:r>
            <w:r w:rsidR="000D6989">
              <w:rPr>
                <w:sz w:val="18"/>
                <w:szCs w:val="18"/>
              </w:rPr>
              <w:t xml:space="preserve"> Brně</w:t>
            </w:r>
            <w:r w:rsidR="00756453">
              <w:rPr>
                <w:sz w:val="18"/>
                <w:szCs w:val="18"/>
              </w:rPr>
              <w:t xml:space="preserve">, </w:t>
            </w:r>
            <w:r w:rsidRPr="00D177D8">
              <w:rPr>
                <w:sz w:val="18"/>
                <w:szCs w:val="18"/>
              </w:rPr>
              <w:t>dne</w:t>
            </w:r>
            <w:r w:rsidR="000D6989">
              <w:rPr>
                <w:sz w:val="18"/>
                <w:szCs w:val="18"/>
              </w:rPr>
              <w:t xml:space="preserve"> 20. 12. 2023</w:t>
            </w:r>
          </w:p>
        </w:tc>
        <w:tc>
          <w:tcPr>
            <w:tcW w:w="3969" w:type="dxa"/>
          </w:tcPr>
          <w:p w14:paraId="1EFD2107" w14:textId="40B7DCB7" w:rsidR="004453F3" w:rsidRDefault="004453F3" w:rsidP="008F45ED">
            <w:pPr>
              <w:spacing w:before="120" w:after="120"/>
              <w:rPr>
                <w:sz w:val="18"/>
                <w:szCs w:val="18"/>
              </w:rPr>
            </w:pPr>
            <w:r w:rsidRPr="00D177D8">
              <w:rPr>
                <w:sz w:val="18"/>
                <w:szCs w:val="18"/>
              </w:rPr>
              <w:t>V Praze</w:t>
            </w:r>
            <w:r w:rsidR="00A600BB" w:rsidRPr="00D177D8">
              <w:rPr>
                <w:sz w:val="18"/>
                <w:szCs w:val="18"/>
              </w:rPr>
              <w:t>,</w:t>
            </w:r>
            <w:r w:rsidRPr="00D177D8">
              <w:rPr>
                <w:sz w:val="18"/>
                <w:szCs w:val="18"/>
              </w:rPr>
              <w:t xml:space="preserve"> dne </w:t>
            </w:r>
            <w:r w:rsidR="000D6989">
              <w:rPr>
                <w:sz w:val="18"/>
                <w:szCs w:val="18"/>
              </w:rPr>
              <w:t>14. 12. 2023</w:t>
            </w:r>
          </w:p>
          <w:p w14:paraId="39318741" w14:textId="4325DF87" w:rsidR="005F6415" w:rsidRPr="00D177D8" w:rsidRDefault="005F6415" w:rsidP="008F45ED">
            <w:pPr>
              <w:spacing w:before="120" w:after="120"/>
              <w:rPr>
                <w:sz w:val="18"/>
                <w:szCs w:val="18"/>
              </w:rPr>
            </w:pPr>
          </w:p>
        </w:tc>
      </w:tr>
    </w:tbl>
    <w:p w14:paraId="7F959EF0" w14:textId="77777777" w:rsidR="004453F3" w:rsidRPr="00D177D8" w:rsidRDefault="004453F3" w:rsidP="004453F3">
      <w:pPr>
        <w:rPr>
          <w:sz w:val="18"/>
          <w:szCs w:val="18"/>
        </w:rPr>
      </w:pPr>
    </w:p>
    <w:tbl>
      <w:tblPr>
        <w:tblW w:w="9605" w:type="dxa"/>
        <w:tblLayout w:type="fixed"/>
        <w:tblLook w:val="0000" w:firstRow="0" w:lastRow="0" w:firstColumn="0" w:lastColumn="0" w:noHBand="0" w:noVBand="0"/>
      </w:tblPr>
      <w:tblGrid>
        <w:gridCol w:w="1384"/>
        <w:gridCol w:w="3969"/>
        <w:gridCol w:w="283"/>
        <w:gridCol w:w="3969"/>
      </w:tblGrid>
      <w:tr w:rsidR="00322F62" w:rsidRPr="00043DBE" w14:paraId="0F65776A" w14:textId="77777777" w:rsidTr="00322F62">
        <w:trPr>
          <w:trHeight w:val="690"/>
        </w:trPr>
        <w:tc>
          <w:tcPr>
            <w:tcW w:w="1384" w:type="dxa"/>
          </w:tcPr>
          <w:p w14:paraId="29FF4F61" w14:textId="77777777" w:rsidR="00322F62" w:rsidRPr="00043DBE" w:rsidRDefault="00322F62" w:rsidP="00322F62">
            <w:pPr>
              <w:spacing w:before="360" w:after="240"/>
              <w:rPr>
                <w:sz w:val="18"/>
                <w:szCs w:val="18"/>
              </w:rPr>
            </w:pPr>
            <w:r w:rsidRPr="00043DBE">
              <w:rPr>
                <w:sz w:val="18"/>
                <w:szCs w:val="18"/>
              </w:rPr>
              <w:t>Podpis:</w:t>
            </w:r>
          </w:p>
        </w:tc>
        <w:tc>
          <w:tcPr>
            <w:tcW w:w="3969" w:type="dxa"/>
            <w:tcBorders>
              <w:bottom w:val="single" w:sz="4" w:space="0" w:color="auto"/>
            </w:tcBorders>
          </w:tcPr>
          <w:p w14:paraId="42950F2F" w14:textId="77777777" w:rsidR="00322F62" w:rsidRPr="00043DBE" w:rsidRDefault="00322F62" w:rsidP="00322F62">
            <w:pPr>
              <w:spacing w:before="360" w:after="240"/>
              <w:ind w:left="175"/>
              <w:jc w:val="center"/>
              <w:rPr>
                <w:sz w:val="18"/>
                <w:szCs w:val="18"/>
              </w:rPr>
            </w:pPr>
          </w:p>
        </w:tc>
        <w:tc>
          <w:tcPr>
            <w:tcW w:w="283" w:type="dxa"/>
          </w:tcPr>
          <w:p w14:paraId="6B745AD5" w14:textId="77777777" w:rsidR="00322F62" w:rsidRPr="00043DBE" w:rsidRDefault="00322F62" w:rsidP="00322F62">
            <w:pPr>
              <w:spacing w:before="360" w:after="240"/>
              <w:rPr>
                <w:sz w:val="18"/>
                <w:szCs w:val="18"/>
              </w:rPr>
            </w:pPr>
          </w:p>
        </w:tc>
        <w:tc>
          <w:tcPr>
            <w:tcW w:w="3969" w:type="dxa"/>
          </w:tcPr>
          <w:p w14:paraId="69CD98A2" w14:textId="77777777" w:rsidR="00322F62" w:rsidRPr="00043DBE" w:rsidRDefault="00322F62" w:rsidP="00322F62">
            <w:pPr>
              <w:spacing w:before="360" w:after="240"/>
              <w:rPr>
                <w:sz w:val="18"/>
                <w:szCs w:val="18"/>
              </w:rPr>
            </w:pPr>
          </w:p>
        </w:tc>
      </w:tr>
      <w:tr w:rsidR="00C17033" w:rsidRPr="00043DBE" w14:paraId="386BF453" w14:textId="77777777" w:rsidTr="00CB2BE2">
        <w:trPr>
          <w:trHeight w:val="243"/>
        </w:trPr>
        <w:tc>
          <w:tcPr>
            <w:tcW w:w="1384" w:type="dxa"/>
            <w:shd w:val="clear" w:color="auto" w:fill="auto"/>
          </w:tcPr>
          <w:p w14:paraId="42A2DAF3" w14:textId="77777777" w:rsidR="00C17033" w:rsidRPr="00043DBE" w:rsidRDefault="00C17033" w:rsidP="00C17033">
            <w:pPr>
              <w:spacing w:before="60" w:after="60"/>
              <w:ind w:right="-250"/>
              <w:rPr>
                <w:sz w:val="18"/>
                <w:szCs w:val="18"/>
              </w:rPr>
            </w:pPr>
            <w:r w:rsidRPr="00043DBE">
              <w:rPr>
                <w:sz w:val="18"/>
                <w:szCs w:val="18"/>
              </w:rPr>
              <w:t>Jméno:</w:t>
            </w:r>
          </w:p>
        </w:tc>
        <w:tc>
          <w:tcPr>
            <w:tcW w:w="3969" w:type="dxa"/>
            <w:tcBorders>
              <w:top w:val="single" w:sz="4" w:space="0" w:color="auto"/>
            </w:tcBorders>
          </w:tcPr>
          <w:p w14:paraId="7CB67404" w14:textId="26E2DB8A" w:rsidR="00C17033" w:rsidRPr="002D4490" w:rsidRDefault="000D6989" w:rsidP="002D4490">
            <w:pPr>
              <w:spacing w:before="60" w:after="60"/>
              <w:ind w:left="175"/>
              <w:jc w:val="center"/>
              <w:rPr>
                <w:bCs/>
              </w:rPr>
            </w:pPr>
            <w:r>
              <w:rPr>
                <w:bCs/>
              </w:rPr>
              <w:t>XXX</w:t>
            </w:r>
          </w:p>
        </w:tc>
        <w:tc>
          <w:tcPr>
            <w:tcW w:w="283" w:type="dxa"/>
            <w:vMerge w:val="restart"/>
          </w:tcPr>
          <w:p w14:paraId="7E8DB230" w14:textId="77777777" w:rsidR="00C17033" w:rsidRPr="00043DBE" w:rsidRDefault="00C17033" w:rsidP="00C17033">
            <w:pPr>
              <w:spacing w:before="60" w:after="60"/>
              <w:rPr>
                <w:sz w:val="18"/>
                <w:szCs w:val="18"/>
              </w:rPr>
            </w:pPr>
          </w:p>
        </w:tc>
        <w:tc>
          <w:tcPr>
            <w:tcW w:w="3969" w:type="dxa"/>
            <w:tcBorders>
              <w:top w:val="single" w:sz="4" w:space="0" w:color="auto"/>
            </w:tcBorders>
            <w:shd w:val="clear" w:color="auto" w:fill="auto"/>
          </w:tcPr>
          <w:p w14:paraId="1CF9DBA4" w14:textId="4F48C2CC" w:rsidR="00C17033" w:rsidRPr="00043DBE" w:rsidRDefault="000D6989" w:rsidP="00C17033">
            <w:pPr>
              <w:spacing w:before="60" w:after="60"/>
              <w:jc w:val="center"/>
            </w:pPr>
            <w:r>
              <w:t>XXX</w:t>
            </w:r>
          </w:p>
        </w:tc>
      </w:tr>
      <w:tr w:rsidR="00C17033" w:rsidRPr="00043DBE" w14:paraId="1748FE3F" w14:textId="77777777" w:rsidTr="00322F62">
        <w:trPr>
          <w:trHeight w:val="165"/>
        </w:trPr>
        <w:tc>
          <w:tcPr>
            <w:tcW w:w="1384" w:type="dxa"/>
            <w:shd w:val="clear" w:color="auto" w:fill="auto"/>
          </w:tcPr>
          <w:p w14:paraId="2088F483" w14:textId="77777777" w:rsidR="00C17033" w:rsidRPr="00043DBE" w:rsidRDefault="00C17033" w:rsidP="00C17033">
            <w:pPr>
              <w:spacing w:before="60" w:after="60"/>
              <w:ind w:right="-250"/>
              <w:rPr>
                <w:sz w:val="18"/>
                <w:szCs w:val="18"/>
              </w:rPr>
            </w:pPr>
            <w:r w:rsidRPr="00043DBE">
              <w:rPr>
                <w:sz w:val="18"/>
                <w:szCs w:val="18"/>
              </w:rPr>
              <w:t>Funkce:</w:t>
            </w:r>
          </w:p>
        </w:tc>
        <w:tc>
          <w:tcPr>
            <w:tcW w:w="3969" w:type="dxa"/>
            <w:shd w:val="clear" w:color="auto" w:fill="auto"/>
          </w:tcPr>
          <w:p w14:paraId="41190FB2" w14:textId="4A471370" w:rsidR="00C17033" w:rsidRPr="00DA070F" w:rsidRDefault="000D6989" w:rsidP="00C17033">
            <w:pPr>
              <w:spacing w:after="60"/>
              <w:ind w:left="176"/>
              <w:jc w:val="center"/>
              <w:rPr>
                <w:sz w:val="16"/>
                <w:szCs w:val="16"/>
              </w:rPr>
            </w:pPr>
            <w:r>
              <w:rPr>
                <w:sz w:val="16"/>
                <w:szCs w:val="16"/>
              </w:rPr>
              <w:t>XXX</w:t>
            </w:r>
          </w:p>
        </w:tc>
        <w:tc>
          <w:tcPr>
            <w:tcW w:w="283" w:type="dxa"/>
            <w:vMerge/>
          </w:tcPr>
          <w:p w14:paraId="797BEBCA" w14:textId="77777777" w:rsidR="00C17033" w:rsidRPr="00043DBE" w:rsidRDefault="00C17033" w:rsidP="00C17033">
            <w:pPr>
              <w:spacing w:before="60" w:after="60"/>
              <w:rPr>
                <w:sz w:val="18"/>
                <w:szCs w:val="18"/>
              </w:rPr>
            </w:pPr>
          </w:p>
        </w:tc>
        <w:tc>
          <w:tcPr>
            <w:tcW w:w="3969" w:type="dxa"/>
            <w:shd w:val="clear" w:color="auto" w:fill="auto"/>
          </w:tcPr>
          <w:p w14:paraId="22119334" w14:textId="3E9D3C57" w:rsidR="00C17033" w:rsidRPr="00043DBE" w:rsidRDefault="000D6989" w:rsidP="00C17033">
            <w:pPr>
              <w:spacing w:before="20" w:after="60"/>
              <w:jc w:val="center"/>
              <w:rPr>
                <w:sz w:val="16"/>
                <w:szCs w:val="16"/>
              </w:rPr>
            </w:pPr>
            <w:r>
              <w:rPr>
                <w:sz w:val="16"/>
                <w:szCs w:val="16"/>
              </w:rPr>
              <w:t>XXX</w:t>
            </w:r>
          </w:p>
        </w:tc>
      </w:tr>
    </w:tbl>
    <w:p w14:paraId="61600C46" w14:textId="430A9C4F" w:rsidR="00A527B9" w:rsidRPr="00482AD0" w:rsidRDefault="00D300F4" w:rsidP="0052076E">
      <w:pPr>
        <w:widowControl w:val="0"/>
        <w:jc w:val="center"/>
      </w:pPr>
      <w:r>
        <w:rPr>
          <w:b/>
          <w:caps/>
          <w:sz w:val="24"/>
        </w:rPr>
        <w:br w:type="page"/>
      </w:r>
      <w:bookmarkStart w:id="8" w:name="_Hlk51245106"/>
      <w:bookmarkStart w:id="9" w:name="_Hlk51567864"/>
    </w:p>
    <w:bookmarkEnd w:id="8"/>
    <w:bookmarkEnd w:id="9"/>
    <w:p w14:paraId="10B96718" w14:textId="77777777" w:rsidR="002D4490" w:rsidRPr="00C92154" w:rsidRDefault="002D4490" w:rsidP="002D4490">
      <w:pPr>
        <w:tabs>
          <w:tab w:val="left" w:pos="5387"/>
        </w:tabs>
        <w:rPr>
          <w:b/>
          <w:sz w:val="22"/>
          <w:szCs w:val="22"/>
          <w:u w:val="single"/>
        </w:rPr>
      </w:pPr>
      <w:r>
        <w:rPr>
          <w:b/>
          <w:sz w:val="22"/>
          <w:szCs w:val="22"/>
          <w:u w:val="single"/>
        </w:rPr>
        <w:lastRenderedPageBreak/>
        <w:t>Ujednání o věrnostním bonusu</w:t>
      </w:r>
    </w:p>
    <w:p w14:paraId="33B4B95E" w14:textId="4406D864" w:rsidR="002D4490" w:rsidRDefault="002D4490" w:rsidP="002D4490">
      <w:pPr>
        <w:tabs>
          <w:tab w:val="left" w:pos="5387"/>
        </w:tabs>
      </w:pPr>
      <w:r>
        <w:t>Procentní sleva z pojistného:                                            </w:t>
      </w:r>
      <w:r>
        <w:tab/>
        <w:t>20 %</w:t>
      </w:r>
    </w:p>
    <w:p w14:paraId="37382716" w14:textId="4F649D29" w:rsidR="002D4490" w:rsidRDefault="002D4490" w:rsidP="002D4490">
      <w:pPr>
        <w:tabs>
          <w:tab w:val="left" w:pos="5387"/>
        </w:tabs>
        <w:rPr>
          <w:sz w:val="22"/>
          <w:szCs w:val="22"/>
        </w:rPr>
      </w:pPr>
      <w:r>
        <w:t>Počátek  platnosti tohoto ujednání:                  </w:t>
      </w:r>
      <w:r>
        <w:tab/>
      </w:r>
      <w:proofErr w:type="gramStart"/>
      <w:r>
        <w:t>01.01.2024</w:t>
      </w:r>
      <w:proofErr w:type="gramEnd"/>
      <w:r>
        <w:t>                    </w:t>
      </w:r>
      <w:r>
        <w:tab/>
      </w:r>
    </w:p>
    <w:p w14:paraId="00404BF7" w14:textId="2DB5B932" w:rsidR="002D4490" w:rsidRDefault="002D4490" w:rsidP="002D4490">
      <w:pPr>
        <w:tabs>
          <w:tab w:val="left" w:pos="5387"/>
        </w:tabs>
      </w:pPr>
      <w:r>
        <w:t>Konec platnosti tohoto ujednání:                                          </w:t>
      </w:r>
      <w:r>
        <w:tab/>
      </w:r>
      <w:proofErr w:type="gramStart"/>
      <w:r>
        <w:t>31.12.2027</w:t>
      </w:r>
      <w:proofErr w:type="gramEnd"/>
      <w:r>
        <w:t xml:space="preserve"> </w:t>
      </w:r>
    </w:p>
    <w:p w14:paraId="3DAEF575" w14:textId="77777777" w:rsidR="002D4490" w:rsidRDefault="002D4490" w:rsidP="002D4490"/>
    <w:p w14:paraId="7C0B6238" w14:textId="77777777" w:rsidR="002D4490" w:rsidRDefault="002D4490" w:rsidP="002D4490"/>
    <w:p w14:paraId="5BC3E8F7" w14:textId="77777777" w:rsidR="002D4490" w:rsidRDefault="002D4490" w:rsidP="002D4490">
      <w:r>
        <w:t xml:space="preserve">Pojistitel na základě tohoto Ujednání poskytne pojistníkovi uvedenou slevu na pojistném za každý pojistný rok během trvání tohoto ujednání. </w:t>
      </w:r>
    </w:p>
    <w:p w14:paraId="05CD37DB" w14:textId="77777777" w:rsidR="002D4490" w:rsidRDefault="002D4490" w:rsidP="002D4490">
      <w:r>
        <w:t>Pojištění musí být obnoveno ze strany pojistníka na následující pojistný rok na základě sjednaných podmínek pojištění na konci expirující doby pojištění/pojistného roku.</w:t>
      </w:r>
    </w:p>
    <w:p w14:paraId="2CE48428" w14:textId="77777777" w:rsidR="002D4490" w:rsidRDefault="002D4490" w:rsidP="002D4490">
      <w:r>
        <w:t xml:space="preserve">Pojistitel je oprávněn upravovat podmínky pojištění, pojistné sazby, případně ukončit platnost tohoto Ujednání nebo pojistné smlouvy, a to písemnou formou v souladu s podmínkami pojistné smlouvy resp. zákonných norem. </w:t>
      </w:r>
    </w:p>
    <w:p w14:paraId="55AEC3D4" w14:textId="77777777" w:rsidR="002D4490" w:rsidRDefault="002D4490" w:rsidP="002D4490">
      <w:r>
        <w:t xml:space="preserve">Pokud bude pojištění ukončeno pojistitelem během platnosti tohoto Ujednání z důvodu neplacení pojistného, je pojistitel oprávněn k vratce </w:t>
      </w:r>
      <w:proofErr w:type="gramStart"/>
      <w:r>
        <w:t>slevy</w:t>
      </w:r>
      <w:proofErr w:type="gramEnd"/>
      <w:r>
        <w:t xml:space="preserve"> od pojistníka poskytnuté za každý rok platnosti tohoto Ujednání.</w:t>
      </w:r>
    </w:p>
    <w:p w14:paraId="2C9B78EE" w14:textId="77777777" w:rsidR="002D4490" w:rsidRDefault="002D4490" w:rsidP="002D4490">
      <w:r>
        <w:t xml:space="preserve">Pokud bude pojištění ukončeno pojistitelem během platnosti tohoto Ujednání z jiného důvodu než neplacení pojistného, potom pojistitel není oprávněn k vrácení poskytnutých slev z titulu tohoto Ujednání. </w:t>
      </w:r>
    </w:p>
    <w:p w14:paraId="637AFEED" w14:textId="77777777" w:rsidR="002D4490" w:rsidRDefault="002D4490" w:rsidP="002D4490"/>
    <w:p w14:paraId="0092BA58" w14:textId="77777777" w:rsidR="002D4490" w:rsidRDefault="002D4490" w:rsidP="002D4490">
      <w:r>
        <w:rPr>
          <w:u w:val="single"/>
        </w:rPr>
        <w:t>Pozn. 1:</w:t>
      </w:r>
      <w:r>
        <w:t xml:space="preserve"> Toto ujednání v žádném případě neupravuje trvání pojistné doby uvedené v pojistné smlouvě. Výše uvedená doba platnosti tohoto ujednání stanovuje období, během kterého je za případný dlouhodobý pojistný vztah poskytována sleva. </w:t>
      </w:r>
    </w:p>
    <w:p w14:paraId="18037932" w14:textId="77777777" w:rsidR="002D4490" w:rsidRDefault="002D4490" w:rsidP="002D4490"/>
    <w:p w14:paraId="584D219F" w14:textId="77777777" w:rsidR="002D4490" w:rsidRPr="00EA5376" w:rsidRDefault="002D4490" w:rsidP="002D4490">
      <w:r>
        <w:rPr>
          <w:u w:val="single"/>
        </w:rPr>
        <w:t>Pozn. 2:</w:t>
      </w:r>
      <w:r>
        <w:t xml:space="preserve"> Pokud pojistitel upraví podmínky pojištění na následující pojistný rok a pojistník z tohoto důvodu pojistnou smlouvu neobnoví, potom pojistitel není oprávněn k vrácení poskytnutých slev z titulu tohoto Ujednání.</w:t>
      </w:r>
      <w:r w:rsidRPr="00EA5376">
        <w:t xml:space="preserve"> </w:t>
      </w:r>
    </w:p>
    <w:p w14:paraId="0B1EBCF7" w14:textId="77777777" w:rsidR="002D4490" w:rsidRDefault="002D4490">
      <w:pPr>
        <w:jc w:val="left"/>
        <w:rPr>
          <w:b/>
          <w:sz w:val="22"/>
        </w:rPr>
      </w:pPr>
      <w:r>
        <w:rPr>
          <w:caps/>
          <w:sz w:val="22"/>
        </w:rPr>
        <w:br w:type="page"/>
      </w:r>
    </w:p>
    <w:p w14:paraId="08093101" w14:textId="2F8E8F5D" w:rsidR="000D4012" w:rsidRPr="00EA5376" w:rsidRDefault="000D4012" w:rsidP="000D4012">
      <w:pPr>
        <w:pStyle w:val="Nadpis2"/>
        <w:spacing w:before="240"/>
        <w:jc w:val="left"/>
        <w:rPr>
          <w:caps w:val="0"/>
          <w:color w:val="auto"/>
          <w:sz w:val="22"/>
        </w:rPr>
      </w:pPr>
      <w:r w:rsidRPr="00EA5376">
        <w:rPr>
          <w:caps w:val="0"/>
          <w:color w:val="auto"/>
          <w:sz w:val="22"/>
        </w:rPr>
        <w:lastRenderedPageBreak/>
        <w:t>Pojistná doba</w:t>
      </w:r>
    </w:p>
    <w:tbl>
      <w:tblPr>
        <w:tblW w:w="92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30" w:type="dxa"/>
          <w:right w:w="30" w:type="dxa"/>
        </w:tblCellMar>
        <w:tblLook w:val="0000" w:firstRow="0" w:lastRow="0" w:firstColumn="0" w:lastColumn="0" w:noHBand="0" w:noVBand="0"/>
      </w:tblPr>
      <w:tblGrid>
        <w:gridCol w:w="2587"/>
        <w:gridCol w:w="1417"/>
        <w:gridCol w:w="3544"/>
        <w:gridCol w:w="1666"/>
      </w:tblGrid>
      <w:tr w:rsidR="000D4012" w:rsidRPr="00EA5376" w14:paraId="7EFF3170" w14:textId="77777777" w:rsidTr="00D157AF">
        <w:trPr>
          <w:trHeight w:val="374"/>
        </w:trPr>
        <w:tc>
          <w:tcPr>
            <w:tcW w:w="9214" w:type="dxa"/>
            <w:gridSpan w:val="4"/>
            <w:shd w:val="clear" w:color="auto" w:fill="auto"/>
          </w:tcPr>
          <w:p w14:paraId="17A6DC98" w14:textId="77777777" w:rsidR="00C20049" w:rsidRDefault="00C20049" w:rsidP="005117CA">
            <w:pPr>
              <w:spacing w:before="60" w:after="60"/>
              <w:ind w:left="112"/>
            </w:pPr>
            <w:r w:rsidRPr="00C20049">
              <w:t xml:space="preserve">Pojistná smlouva se sjednává na dobu určitou. </w:t>
            </w:r>
          </w:p>
          <w:p w14:paraId="235E69CA" w14:textId="77777777" w:rsidR="00C20049" w:rsidRDefault="00C20049" w:rsidP="005117CA">
            <w:pPr>
              <w:spacing w:before="60" w:after="60"/>
              <w:ind w:left="112"/>
            </w:pPr>
            <w:r w:rsidRPr="00C20049">
              <w:t xml:space="preserve">Pojistným obdobím je jeden rok. </w:t>
            </w:r>
          </w:p>
          <w:p w14:paraId="63A9AA82" w14:textId="7011B1C1" w:rsidR="000D4012" w:rsidRPr="00EA5376" w:rsidRDefault="00C20049" w:rsidP="005117CA">
            <w:pPr>
              <w:spacing w:before="60" w:after="60"/>
              <w:ind w:left="112"/>
              <w:rPr>
                <w:b/>
                <w:snapToGrid w:val="0"/>
                <w:lang w:eastAsia="en-US"/>
              </w:rPr>
            </w:pPr>
            <w:r w:rsidRPr="00C20049">
              <w:t xml:space="preserve">Pojistitel i pojistník mohou vypovědět pojistnou smlouvu k </w:t>
            </w:r>
            <w:proofErr w:type="gramStart"/>
            <w:r>
              <w:t>0</w:t>
            </w:r>
            <w:r w:rsidRPr="00C20049">
              <w:t>1.</w:t>
            </w:r>
            <w:r>
              <w:t>0</w:t>
            </w:r>
            <w:r w:rsidRPr="00C20049">
              <w:t>1.202</w:t>
            </w:r>
            <w:r>
              <w:t>5</w:t>
            </w:r>
            <w:proofErr w:type="gramEnd"/>
            <w:r w:rsidR="00C80663">
              <w:t xml:space="preserve">, 01.01.2026 </w:t>
            </w:r>
            <w:r w:rsidRPr="00C20049">
              <w:t xml:space="preserve"> a </w:t>
            </w:r>
            <w:r>
              <w:t>0</w:t>
            </w:r>
            <w:r w:rsidRPr="00C20049">
              <w:t>1.</w:t>
            </w:r>
            <w:r>
              <w:t>0</w:t>
            </w:r>
            <w:r w:rsidRPr="00C20049">
              <w:t>1.202</w:t>
            </w:r>
            <w:r w:rsidR="00C80663">
              <w:t>7</w:t>
            </w:r>
            <w:r w:rsidRPr="00C20049">
              <w:t xml:space="preserve"> a to nejméně 6 týdnů před uvedenými daty.</w:t>
            </w:r>
            <w:r w:rsidR="000D4012" w:rsidRPr="00EA5376">
              <w:t xml:space="preserve">. </w:t>
            </w:r>
          </w:p>
        </w:tc>
      </w:tr>
      <w:tr w:rsidR="000D4012" w:rsidRPr="00EA5376" w14:paraId="56376B4A" w14:textId="77777777" w:rsidTr="00D157AF">
        <w:trPr>
          <w:trHeight w:val="374"/>
        </w:trPr>
        <w:tc>
          <w:tcPr>
            <w:tcW w:w="2587" w:type="dxa"/>
            <w:shd w:val="clear" w:color="auto" w:fill="auto"/>
            <w:vAlign w:val="center"/>
          </w:tcPr>
          <w:p w14:paraId="1F188B54" w14:textId="77777777" w:rsidR="000D4012" w:rsidRPr="00EA5376" w:rsidRDefault="000D4012" w:rsidP="00D157AF">
            <w:pPr>
              <w:spacing w:before="60" w:after="60"/>
              <w:ind w:left="142"/>
              <w:jc w:val="center"/>
              <w:rPr>
                <w:snapToGrid w:val="0"/>
                <w:lang w:eastAsia="en-US"/>
              </w:rPr>
            </w:pPr>
            <w:r w:rsidRPr="00EA5376">
              <w:rPr>
                <w:snapToGrid w:val="0"/>
                <w:lang w:eastAsia="en-US"/>
              </w:rPr>
              <w:t>Pojištění vznikne dnem</w:t>
            </w:r>
          </w:p>
        </w:tc>
        <w:tc>
          <w:tcPr>
            <w:tcW w:w="1417" w:type="dxa"/>
            <w:shd w:val="clear" w:color="auto" w:fill="auto"/>
            <w:vAlign w:val="center"/>
          </w:tcPr>
          <w:p w14:paraId="0BA5CFE3" w14:textId="63ED87D4" w:rsidR="000D4012" w:rsidRPr="00EA5376" w:rsidRDefault="00C20049" w:rsidP="00D157AF">
            <w:pPr>
              <w:spacing w:before="60" w:after="60"/>
              <w:jc w:val="center"/>
              <w:rPr>
                <w:b/>
                <w:snapToGrid w:val="0"/>
                <w:lang w:eastAsia="en-US"/>
              </w:rPr>
            </w:pPr>
            <w:proofErr w:type="gramStart"/>
            <w:r>
              <w:rPr>
                <w:b/>
                <w:snapToGrid w:val="0"/>
                <w:lang w:eastAsia="en-US"/>
              </w:rPr>
              <w:t>01.01</w:t>
            </w:r>
            <w:r w:rsidR="00192F39">
              <w:rPr>
                <w:b/>
                <w:snapToGrid w:val="0"/>
                <w:lang w:eastAsia="en-US"/>
              </w:rPr>
              <w:t>.</w:t>
            </w:r>
            <w:r w:rsidR="007A6ECE">
              <w:rPr>
                <w:b/>
                <w:snapToGrid w:val="0"/>
                <w:lang w:eastAsia="en-US"/>
              </w:rPr>
              <w:t>20</w:t>
            </w:r>
            <w:r w:rsidR="00942AA7">
              <w:rPr>
                <w:b/>
                <w:snapToGrid w:val="0"/>
                <w:lang w:eastAsia="en-US"/>
              </w:rPr>
              <w:t>2</w:t>
            </w:r>
            <w:r>
              <w:rPr>
                <w:b/>
                <w:snapToGrid w:val="0"/>
                <w:lang w:eastAsia="en-US"/>
              </w:rPr>
              <w:t>4</w:t>
            </w:r>
            <w:proofErr w:type="gramEnd"/>
          </w:p>
        </w:tc>
        <w:tc>
          <w:tcPr>
            <w:tcW w:w="3544" w:type="dxa"/>
            <w:shd w:val="clear" w:color="auto" w:fill="auto"/>
            <w:vAlign w:val="center"/>
          </w:tcPr>
          <w:p w14:paraId="7324FE0B" w14:textId="77777777" w:rsidR="000D4012" w:rsidRPr="00EA5376" w:rsidRDefault="000D4012" w:rsidP="00D157AF">
            <w:pPr>
              <w:spacing w:before="60" w:after="60"/>
              <w:ind w:left="142"/>
              <w:jc w:val="center"/>
              <w:rPr>
                <w:snapToGrid w:val="0"/>
                <w:lang w:eastAsia="en-US"/>
              </w:rPr>
            </w:pPr>
            <w:r w:rsidRPr="00EA5376">
              <w:rPr>
                <w:snapToGrid w:val="0"/>
                <w:lang w:eastAsia="en-US"/>
              </w:rPr>
              <w:t>a je sjednáno na pojistnou dobu, která skončí dnem</w:t>
            </w:r>
          </w:p>
        </w:tc>
        <w:tc>
          <w:tcPr>
            <w:tcW w:w="1666" w:type="dxa"/>
            <w:shd w:val="clear" w:color="auto" w:fill="auto"/>
            <w:vAlign w:val="center"/>
          </w:tcPr>
          <w:p w14:paraId="6D32F03E" w14:textId="3C1801D0" w:rsidR="000D4012" w:rsidRPr="00EA5376" w:rsidRDefault="00C20049" w:rsidP="00D157AF">
            <w:pPr>
              <w:spacing w:before="60" w:after="60"/>
              <w:jc w:val="center"/>
              <w:rPr>
                <w:b/>
                <w:snapToGrid w:val="0"/>
                <w:lang w:eastAsia="en-US"/>
              </w:rPr>
            </w:pPr>
            <w:proofErr w:type="gramStart"/>
            <w:r>
              <w:rPr>
                <w:b/>
                <w:snapToGrid w:val="0"/>
                <w:lang w:eastAsia="en-US"/>
              </w:rPr>
              <w:t>31.12.2027</w:t>
            </w:r>
            <w:proofErr w:type="gramEnd"/>
          </w:p>
        </w:tc>
      </w:tr>
    </w:tbl>
    <w:p w14:paraId="1C8679C7" w14:textId="262E8991" w:rsidR="00EC46C8" w:rsidRPr="00407D8A" w:rsidRDefault="00EC46C8">
      <w:pPr>
        <w:pStyle w:val="Nadpis2"/>
        <w:spacing w:before="240"/>
        <w:jc w:val="left"/>
        <w:rPr>
          <w:caps w:val="0"/>
          <w:color w:val="auto"/>
          <w:sz w:val="22"/>
        </w:rPr>
      </w:pPr>
      <w:r w:rsidRPr="00407D8A">
        <w:rPr>
          <w:caps w:val="0"/>
          <w:color w:val="auto"/>
          <w:sz w:val="22"/>
        </w:rPr>
        <w:t>Podnikatelská činnost pojištěného</w:t>
      </w: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1E0" w:firstRow="1" w:lastRow="1" w:firstColumn="1" w:lastColumn="1" w:noHBand="0" w:noVBand="0"/>
      </w:tblPr>
      <w:tblGrid>
        <w:gridCol w:w="9214"/>
      </w:tblGrid>
      <w:tr w:rsidR="00EC46C8" w:rsidRPr="00D177D8" w14:paraId="3DD462C6" w14:textId="77777777" w:rsidTr="00D157AF">
        <w:tc>
          <w:tcPr>
            <w:tcW w:w="9214" w:type="dxa"/>
            <w:shd w:val="pct5" w:color="auto" w:fill="auto"/>
          </w:tcPr>
          <w:p w14:paraId="6DFA7E83" w14:textId="77777777" w:rsidR="00EC46C8" w:rsidRPr="00D177D8" w:rsidRDefault="00EC46C8">
            <w:pPr>
              <w:spacing w:before="60" w:after="60"/>
            </w:pPr>
            <w:r w:rsidRPr="00D177D8">
              <w:t xml:space="preserve">Činnosti uvedené v přiloženém výpisu z obchodního rejstříku </w:t>
            </w:r>
            <w:r w:rsidRPr="00D177D8">
              <w:rPr>
                <w:i/>
              </w:rPr>
              <w:t>pojištěného</w:t>
            </w:r>
            <w:r w:rsidRPr="00D177D8">
              <w:t xml:space="preserve">. </w:t>
            </w:r>
          </w:p>
        </w:tc>
      </w:tr>
    </w:tbl>
    <w:p w14:paraId="17DE1116" w14:textId="77777777" w:rsidR="00EC46C8" w:rsidRPr="00407D8A" w:rsidRDefault="00EC46C8">
      <w:pPr>
        <w:pStyle w:val="Nadpis2"/>
        <w:spacing w:before="240"/>
        <w:jc w:val="left"/>
        <w:rPr>
          <w:caps w:val="0"/>
          <w:color w:val="auto"/>
          <w:sz w:val="22"/>
        </w:rPr>
      </w:pPr>
      <w:r w:rsidRPr="00407D8A">
        <w:rPr>
          <w:caps w:val="0"/>
          <w:color w:val="auto"/>
          <w:sz w:val="22"/>
        </w:rPr>
        <w:t>Pojistná událost, pojistné nebezpečí</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214"/>
      </w:tblGrid>
      <w:tr w:rsidR="005C4F7C" w:rsidRPr="000D4012" w14:paraId="2FC1DCFB" w14:textId="77777777" w:rsidTr="00D157AF">
        <w:tc>
          <w:tcPr>
            <w:tcW w:w="9214" w:type="dxa"/>
            <w:shd w:val="clear" w:color="auto" w:fill="auto"/>
          </w:tcPr>
          <w:p w14:paraId="3D423396" w14:textId="77777777" w:rsidR="005C4F7C" w:rsidRPr="00D177D8" w:rsidRDefault="005C4F7C" w:rsidP="000D4012">
            <w:pPr>
              <w:spacing w:before="60" w:after="60"/>
              <w:jc w:val="left"/>
            </w:pPr>
            <w:r w:rsidRPr="000D4012">
              <w:t xml:space="preserve">Pojistná událost </w:t>
            </w:r>
            <w:r w:rsidRPr="00D177D8">
              <w:t>je definována v článku 2.2</w:t>
            </w:r>
            <w:r w:rsidRPr="000D4012">
              <w:t xml:space="preserve"> podmínek</w:t>
            </w:r>
            <w:r w:rsidRPr="00D177D8">
              <w:t>.</w:t>
            </w:r>
          </w:p>
        </w:tc>
      </w:tr>
      <w:tr w:rsidR="00953CF7" w:rsidRPr="009E6676" w14:paraId="49D89BA6" w14:textId="77777777" w:rsidTr="00D157AF">
        <w:tc>
          <w:tcPr>
            <w:tcW w:w="9214" w:type="dxa"/>
            <w:shd w:val="clear" w:color="auto" w:fill="auto"/>
          </w:tcPr>
          <w:p w14:paraId="01AE283F" w14:textId="01BC1FB7" w:rsidR="00953CF7" w:rsidRPr="009E6676" w:rsidRDefault="00953CF7" w:rsidP="00953CF7">
            <w:pPr>
              <w:spacing w:after="60"/>
              <w:jc w:val="left"/>
              <w:rPr>
                <w:rFonts w:cs="Arial"/>
              </w:rPr>
            </w:pPr>
            <w:r w:rsidRPr="009E6676">
              <w:rPr>
                <w:rFonts w:cs="Arial"/>
              </w:rPr>
              <w:t>Pojištění násilností se sjednává proti násled</w:t>
            </w:r>
            <w:r w:rsidR="0079102F" w:rsidRPr="009E6676">
              <w:rPr>
                <w:rFonts w:cs="Arial"/>
              </w:rPr>
              <w:t>ujícímu</w:t>
            </w:r>
            <w:r w:rsidRPr="009E6676">
              <w:rPr>
                <w:rFonts w:cs="Arial"/>
              </w:rPr>
              <w:t xml:space="preserve"> pojistnému nebezpečí (viz odst. 2.3.1 podmínek</w:t>
            </w:r>
            <w:r w:rsidRPr="009E6676">
              <w:rPr>
                <w:rFonts w:cs="Arial"/>
                <w:snapToGrid w:val="0"/>
                <w:lang w:eastAsia="en-US"/>
              </w:rPr>
              <w:t xml:space="preserve"> PTS 01-05/2017</w:t>
            </w:r>
            <w:r w:rsidRPr="009E6676">
              <w:rPr>
                <w:rFonts w:cs="Arial"/>
              </w:rPr>
              <w:t>)</w:t>
            </w:r>
          </w:p>
          <w:p w14:paraId="29F21524" w14:textId="77777777" w:rsidR="0079102F" w:rsidRDefault="0079102F" w:rsidP="00810362">
            <w:pPr>
              <w:jc w:val="left"/>
              <w:rPr>
                <w:iCs/>
              </w:rPr>
            </w:pPr>
            <w:r w:rsidRPr="009E6676">
              <w:t>- písm</w:t>
            </w:r>
            <w:r w:rsidR="00810362">
              <w:t>eno</w:t>
            </w:r>
            <w:r w:rsidRPr="009E6676">
              <w:t xml:space="preserve"> a) </w:t>
            </w:r>
            <w:r w:rsidRPr="009E6676">
              <w:rPr>
                <w:iCs/>
              </w:rPr>
              <w:t xml:space="preserve">terorismus </w:t>
            </w:r>
          </w:p>
          <w:p w14:paraId="70A01F2B" w14:textId="5C1C4C8E" w:rsidR="00C20049" w:rsidRPr="009E6676" w:rsidRDefault="00C20049" w:rsidP="00C20049">
            <w:pPr>
              <w:jc w:val="left"/>
            </w:pPr>
            <w:r w:rsidRPr="009E6676">
              <w:t>- písm</w:t>
            </w:r>
            <w:r>
              <w:t>eno</w:t>
            </w:r>
            <w:r w:rsidRPr="009E6676">
              <w:t xml:space="preserve"> </w:t>
            </w:r>
            <w:r w:rsidR="00931B37">
              <w:t>b</w:t>
            </w:r>
            <w:r w:rsidRPr="009E6676">
              <w:t xml:space="preserve">) </w:t>
            </w:r>
            <w:r w:rsidR="00931B37">
              <w:rPr>
                <w:iCs/>
              </w:rPr>
              <w:t>sabotáž</w:t>
            </w:r>
            <w:r w:rsidRPr="009E6676">
              <w:rPr>
                <w:iCs/>
              </w:rPr>
              <w:t xml:space="preserve"> </w:t>
            </w:r>
          </w:p>
        </w:tc>
      </w:tr>
    </w:tbl>
    <w:p w14:paraId="41079DFB" w14:textId="77777777" w:rsidR="00EC46C8" w:rsidRPr="005C4F7C" w:rsidRDefault="004F35D0">
      <w:pPr>
        <w:pStyle w:val="Nadpis2"/>
        <w:spacing w:before="240"/>
        <w:jc w:val="left"/>
        <w:rPr>
          <w:caps w:val="0"/>
          <w:color w:val="auto"/>
          <w:sz w:val="22"/>
        </w:rPr>
      </w:pPr>
      <w:r w:rsidRPr="005C4F7C">
        <w:rPr>
          <w:caps w:val="0"/>
          <w:color w:val="auto"/>
          <w:sz w:val="22"/>
        </w:rPr>
        <w:t>M</w:t>
      </w:r>
      <w:r w:rsidR="00EC46C8" w:rsidRPr="005C4F7C">
        <w:rPr>
          <w:caps w:val="0"/>
          <w:color w:val="auto"/>
          <w:sz w:val="22"/>
        </w:rPr>
        <w:t>ísta pojištění</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214"/>
      </w:tblGrid>
      <w:tr w:rsidR="00EC46C8" w:rsidRPr="00F01301" w14:paraId="2BF4789E" w14:textId="77777777" w:rsidTr="00D157AF">
        <w:tc>
          <w:tcPr>
            <w:tcW w:w="9214" w:type="dxa"/>
            <w:shd w:val="clear" w:color="auto" w:fill="auto"/>
          </w:tcPr>
          <w:p w14:paraId="4A6BFDCD" w14:textId="14B3AC30" w:rsidR="007010B7" w:rsidRPr="0052076E" w:rsidRDefault="00931B37" w:rsidP="007010B7">
            <w:pPr>
              <w:autoSpaceDE w:val="0"/>
              <w:autoSpaceDN w:val="0"/>
              <w:jc w:val="left"/>
              <w:rPr>
                <w:sz w:val="18"/>
                <w:szCs w:val="18"/>
              </w:rPr>
            </w:pPr>
            <w:r w:rsidRPr="00931B37">
              <w:t>Jako místo pojištění se sjednávají všechny lokality vlastněné, po právu užívané nebo provozované pojištěným na základě smluvních vztahů na území České republiky. Všechna místa pojištění musí být v případě pojistné události písemně doložitelná (např. listem vlastnictví, nájemní smlouvou, evidencí majetku atd.).</w:t>
            </w:r>
          </w:p>
        </w:tc>
      </w:tr>
    </w:tbl>
    <w:p w14:paraId="669C8A9F" w14:textId="77777777" w:rsidR="00EC46C8" w:rsidRPr="005C4F7C" w:rsidRDefault="00EC46C8">
      <w:pPr>
        <w:pStyle w:val="Nadpis2"/>
        <w:spacing w:before="240"/>
        <w:jc w:val="left"/>
        <w:rPr>
          <w:caps w:val="0"/>
          <w:color w:val="auto"/>
          <w:sz w:val="22"/>
        </w:rPr>
      </w:pPr>
      <w:r w:rsidRPr="005C4F7C">
        <w:rPr>
          <w:caps w:val="0"/>
          <w:color w:val="auto"/>
          <w:sz w:val="22"/>
        </w:rPr>
        <w:t xml:space="preserve">Rozsah pojištění </w:t>
      </w:r>
    </w:p>
    <w:tbl>
      <w:tblPr>
        <w:tblW w:w="921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7021"/>
        <w:gridCol w:w="2193"/>
      </w:tblGrid>
      <w:tr w:rsidR="00953CF7" w:rsidRPr="009E6676" w14:paraId="5A9B36ED" w14:textId="77777777" w:rsidTr="00D157AF">
        <w:tc>
          <w:tcPr>
            <w:tcW w:w="7021" w:type="dxa"/>
            <w:tcBorders>
              <w:top w:val="single" w:sz="4" w:space="0" w:color="808080"/>
              <w:left w:val="single" w:sz="4" w:space="0" w:color="808080"/>
              <w:bottom w:val="single" w:sz="4" w:space="0" w:color="808080"/>
              <w:right w:val="single" w:sz="4" w:space="0" w:color="808080"/>
            </w:tcBorders>
            <w:shd w:val="clear" w:color="auto" w:fill="auto"/>
          </w:tcPr>
          <w:p w14:paraId="4AA5A786" w14:textId="77777777" w:rsidR="00953CF7" w:rsidRPr="009E6676" w:rsidRDefault="00953CF7" w:rsidP="00B74252">
            <w:pPr>
              <w:spacing w:before="60" w:after="60"/>
              <w:rPr>
                <w:rFonts w:cs="Arial"/>
              </w:rPr>
            </w:pPr>
            <w:r w:rsidRPr="009E6676">
              <w:rPr>
                <w:rFonts w:cs="Arial"/>
              </w:rPr>
              <w:t>Pojištění věcných škod – pojištění násilností (článek 3 podmínek)</w:t>
            </w:r>
          </w:p>
        </w:tc>
        <w:tc>
          <w:tcPr>
            <w:tcW w:w="2193" w:type="dxa"/>
            <w:tcBorders>
              <w:top w:val="single" w:sz="4" w:space="0" w:color="808080"/>
              <w:left w:val="single" w:sz="4" w:space="0" w:color="808080"/>
              <w:bottom w:val="single" w:sz="4" w:space="0" w:color="808080"/>
              <w:right w:val="single" w:sz="4" w:space="0" w:color="808080"/>
            </w:tcBorders>
            <w:shd w:val="clear" w:color="auto" w:fill="auto"/>
          </w:tcPr>
          <w:p w14:paraId="50189865" w14:textId="77777777" w:rsidR="00953CF7" w:rsidRPr="009E6676" w:rsidRDefault="00953CF7" w:rsidP="00B74252">
            <w:pPr>
              <w:spacing w:before="60" w:after="60"/>
              <w:ind w:left="112"/>
              <w:rPr>
                <w:rFonts w:cs="Arial"/>
              </w:rPr>
            </w:pPr>
            <w:r w:rsidRPr="009E6676">
              <w:rPr>
                <w:rFonts w:cs="Arial"/>
              </w:rPr>
              <w:t>sjednává se</w:t>
            </w:r>
          </w:p>
        </w:tc>
      </w:tr>
      <w:tr w:rsidR="00953CF7" w:rsidRPr="009E6676" w14:paraId="71E188BE" w14:textId="77777777" w:rsidTr="00D157AF">
        <w:tc>
          <w:tcPr>
            <w:tcW w:w="7021" w:type="dxa"/>
            <w:tcBorders>
              <w:top w:val="single" w:sz="4" w:space="0" w:color="808080"/>
              <w:left w:val="single" w:sz="4" w:space="0" w:color="808080"/>
              <w:bottom w:val="single" w:sz="4" w:space="0" w:color="808080"/>
              <w:right w:val="single" w:sz="4" w:space="0" w:color="808080"/>
            </w:tcBorders>
            <w:shd w:val="clear" w:color="auto" w:fill="auto"/>
          </w:tcPr>
          <w:p w14:paraId="0F9712F1" w14:textId="77777777" w:rsidR="00953CF7" w:rsidRPr="009E6676" w:rsidRDefault="00953CF7" w:rsidP="00B74252">
            <w:pPr>
              <w:spacing w:before="60" w:after="60"/>
              <w:rPr>
                <w:rFonts w:cs="Arial"/>
              </w:rPr>
            </w:pPr>
            <w:r w:rsidRPr="009E6676">
              <w:rPr>
                <w:rFonts w:cs="Arial"/>
              </w:rPr>
              <w:t>Pojištění přerušení provozu – pojištění násilností (článek 4 podmínek)</w:t>
            </w:r>
          </w:p>
        </w:tc>
        <w:tc>
          <w:tcPr>
            <w:tcW w:w="2193" w:type="dxa"/>
            <w:tcBorders>
              <w:top w:val="single" w:sz="4" w:space="0" w:color="808080"/>
              <w:left w:val="single" w:sz="4" w:space="0" w:color="808080"/>
              <w:bottom w:val="single" w:sz="4" w:space="0" w:color="808080"/>
              <w:right w:val="single" w:sz="4" w:space="0" w:color="808080"/>
            </w:tcBorders>
            <w:shd w:val="clear" w:color="auto" w:fill="auto"/>
          </w:tcPr>
          <w:p w14:paraId="31BE7028" w14:textId="77777777" w:rsidR="00953CF7" w:rsidRPr="009E6676" w:rsidRDefault="00953CF7" w:rsidP="00B74252">
            <w:pPr>
              <w:spacing w:before="60" w:after="60"/>
              <w:ind w:left="112"/>
              <w:rPr>
                <w:rFonts w:cs="Arial"/>
              </w:rPr>
            </w:pPr>
            <w:r w:rsidRPr="009E6676">
              <w:rPr>
                <w:rFonts w:cs="Arial"/>
              </w:rPr>
              <w:t>sjednává se</w:t>
            </w:r>
          </w:p>
        </w:tc>
      </w:tr>
    </w:tbl>
    <w:p w14:paraId="2FEA69A3" w14:textId="77777777" w:rsidR="00540A8D" w:rsidRDefault="00540A8D" w:rsidP="00D85C0D">
      <w:pPr>
        <w:pStyle w:val="Nadpis2"/>
        <w:spacing w:before="240"/>
        <w:jc w:val="left"/>
        <w:rPr>
          <w:caps w:val="0"/>
          <w:color w:val="auto"/>
          <w:sz w:val="22"/>
        </w:rPr>
      </w:pPr>
    </w:p>
    <w:p w14:paraId="02E68718" w14:textId="77777777" w:rsidR="00540A8D" w:rsidRDefault="00540A8D">
      <w:pPr>
        <w:jc w:val="left"/>
        <w:rPr>
          <w:b/>
          <w:sz w:val="22"/>
        </w:rPr>
      </w:pPr>
      <w:r>
        <w:rPr>
          <w:caps/>
          <w:sz w:val="22"/>
        </w:rPr>
        <w:br w:type="page"/>
      </w:r>
    </w:p>
    <w:p w14:paraId="3A83C695" w14:textId="4EE35952" w:rsidR="00EC46C8" w:rsidRPr="00D85C0D" w:rsidRDefault="00EC46C8" w:rsidP="00D85C0D">
      <w:pPr>
        <w:pStyle w:val="Nadpis2"/>
        <w:spacing w:before="240"/>
        <w:jc w:val="left"/>
        <w:rPr>
          <w:caps w:val="0"/>
          <w:color w:val="auto"/>
          <w:sz w:val="22"/>
        </w:rPr>
      </w:pPr>
      <w:r w:rsidRPr="00D177D8">
        <w:rPr>
          <w:caps w:val="0"/>
          <w:color w:val="auto"/>
          <w:sz w:val="22"/>
        </w:rPr>
        <w:lastRenderedPageBreak/>
        <w:t>Pojistné</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11"/>
        <w:gridCol w:w="4830"/>
        <w:gridCol w:w="2173"/>
      </w:tblGrid>
      <w:tr w:rsidR="00370A14" w:rsidRPr="006F15E9" w14:paraId="30CABC59" w14:textId="77777777" w:rsidTr="00FC10DF">
        <w:trPr>
          <w:trHeight w:val="284"/>
        </w:trPr>
        <w:tc>
          <w:tcPr>
            <w:tcW w:w="2211" w:type="dxa"/>
            <w:shd w:val="clear" w:color="auto" w:fill="auto"/>
          </w:tcPr>
          <w:p w14:paraId="6C661200" w14:textId="77777777" w:rsidR="00370A14" w:rsidRPr="006A41AC" w:rsidRDefault="00370A14">
            <w:pPr>
              <w:pStyle w:val="Nadpis5"/>
              <w:spacing w:before="0" w:after="0"/>
              <w:jc w:val="left"/>
              <w:rPr>
                <w:lang w:val="cs-CZ" w:eastAsia="cs-CZ"/>
              </w:rPr>
            </w:pPr>
            <w:r w:rsidRPr="006A41AC">
              <w:rPr>
                <w:lang w:val="cs-CZ" w:eastAsia="cs-CZ"/>
              </w:rPr>
              <w:t>Sazby pojistného</w:t>
            </w:r>
          </w:p>
        </w:tc>
        <w:tc>
          <w:tcPr>
            <w:tcW w:w="4830" w:type="dxa"/>
            <w:shd w:val="clear" w:color="auto" w:fill="auto"/>
          </w:tcPr>
          <w:p w14:paraId="22CD7BF8" w14:textId="3DBE541C" w:rsidR="00370A14" w:rsidRPr="006F15E9" w:rsidRDefault="00370A14" w:rsidP="00E67946">
            <w:r w:rsidRPr="009E6676">
              <w:t>Pojištění věcných škod – pojištění násilností</w:t>
            </w:r>
          </w:p>
        </w:tc>
        <w:tc>
          <w:tcPr>
            <w:tcW w:w="2173" w:type="dxa"/>
            <w:vMerge w:val="restart"/>
            <w:shd w:val="clear" w:color="auto" w:fill="auto"/>
            <w:vAlign w:val="center"/>
          </w:tcPr>
          <w:p w14:paraId="40199736" w14:textId="2C7720BD" w:rsidR="00370A14" w:rsidRPr="006F15E9" w:rsidRDefault="00FC10DF" w:rsidP="00370A14">
            <w:pPr>
              <w:jc w:val="right"/>
            </w:pPr>
            <w:r>
              <w:t>2,376</w:t>
            </w:r>
            <w:r w:rsidR="00370A14">
              <w:t xml:space="preserve"> ‰</w:t>
            </w:r>
          </w:p>
        </w:tc>
      </w:tr>
      <w:tr w:rsidR="00370A14" w:rsidRPr="006F15E9" w14:paraId="29EDD3F6" w14:textId="77777777" w:rsidTr="00FC10DF">
        <w:trPr>
          <w:gridBefore w:val="1"/>
          <w:wBefore w:w="2211" w:type="dxa"/>
          <w:trHeight w:val="284"/>
        </w:trPr>
        <w:tc>
          <w:tcPr>
            <w:tcW w:w="4830" w:type="dxa"/>
            <w:shd w:val="clear" w:color="auto" w:fill="auto"/>
          </w:tcPr>
          <w:p w14:paraId="36283E0F" w14:textId="54A6DDF6" w:rsidR="00370A14" w:rsidRPr="006F15E9" w:rsidRDefault="00370A14" w:rsidP="00E67946">
            <w:bookmarkStart w:id="10" w:name="_Hlk4349765"/>
            <w:r w:rsidRPr="009E6676">
              <w:t>Pojištění přerušení provozu – pojištění násilností</w:t>
            </w:r>
          </w:p>
        </w:tc>
        <w:tc>
          <w:tcPr>
            <w:tcW w:w="2173" w:type="dxa"/>
            <w:vMerge/>
            <w:shd w:val="clear" w:color="auto" w:fill="auto"/>
            <w:vAlign w:val="center"/>
          </w:tcPr>
          <w:p w14:paraId="40E19A6B" w14:textId="1CFCD9D8" w:rsidR="00370A14" w:rsidRPr="006F15E9" w:rsidRDefault="00370A14">
            <w:pPr>
              <w:jc w:val="right"/>
            </w:pPr>
          </w:p>
        </w:tc>
      </w:tr>
      <w:bookmarkEnd w:id="10"/>
      <w:tr w:rsidR="00B44167" w:rsidRPr="006F15E9" w14:paraId="77AC8464" w14:textId="77777777" w:rsidTr="00FC10DF">
        <w:trPr>
          <w:trHeight w:val="284"/>
        </w:trPr>
        <w:tc>
          <w:tcPr>
            <w:tcW w:w="2211" w:type="dxa"/>
            <w:tcBorders>
              <w:top w:val="nil"/>
              <w:left w:val="nil"/>
              <w:bottom w:val="single" w:sz="4" w:space="0" w:color="auto"/>
              <w:right w:val="nil"/>
            </w:tcBorders>
            <w:shd w:val="clear" w:color="auto" w:fill="auto"/>
          </w:tcPr>
          <w:p w14:paraId="37DB40DA" w14:textId="77777777" w:rsidR="00B44167" w:rsidRPr="006F15E9" w:rsidRDefault="00B44167" w:rsidP="00781851">
            <w:pPr>
              <w:jc w:val="right"/>
            </w:pPr>
          </w:p>
        </w:tc>
        <w:tc>
          <w:tcPr>
            <w:tcW w:w="4830" w:type="dxa"/>
            <w:tcBorders>
              <w:top w:val="nil"/>
              <w:left w:val="nil"/>
              <w:bottom w:val="single" w:sz="4" w:space="0" w:color="auto"/>
              <w:right w:val="nil"/>
            </w:tcBorders>
            <w:shd w:val="clear" w:color="auto" w:fill="auto"/>
          </w:tcPr>
          <w:p w14:paraId="7153B5BF" w14:textId="77777777" w:rsidR="00B44167" w:rsidRPr="006F15E9" w:rsidRDefault="00B44167"/>
        </w:tc>
        <w:tc>
          <w:tcPr>
            <w:tcW w:w="2173" w:type="dxa"/>
            <w:tcBorders>
              <w:top w:val="nil"/>
              <w:left w:val="nil"/>
              <w:bottom w:val="single" w:sz="4" w:space="0" w:color="auto"/>
              <w:right w:val="nil"/>
            </w:tcBorders>
            <w:shd w:val="clear" w:color="auto" w:fill="auto"/>
            <w:vAlign w:val="center"/>
          </w:tcPr>
          <w:p w14:paraId="33705653" w14:textId="77777777" w:rsidR="00B44167" w:rsidRDefault="00B44167">
            <w:pPr>
              <w:pStyle w:val="Textkomente"/>
              <w:jc w:val="right"/>
            </w:pPr>
          </w:p>
        </w:tc>
      </w:tr>
      <w:tr w:rsidR="00415C2B" w:rsidRPr="006F15E9" w14:paraId="2C0AF949" w14:textId="77777777" w:rsidTr="00FC10DF">
        <w:trPr>
          <w:trHeight w:val="284"/>
        </w:trPr>
        <w:tc>
          <w:tcPr>
            <w:tcW w:w="2211" w:type="dxa"/>
            <w:tcBorders>
              <w:top w:val="single" w:sz="4" w:space="0" w:color="auto"/>
            </w:tcBorders>
            <w:shd w:val="clear" w:color="auto" w:fill="auto"/>
          </w:tcPr>
          <w:p w14:paraId="305FF327" w14:textId="77777777" w:rsidR="00415C2B" w:rsidRPr="006A41AC" w:rsidRDefault="00415C2B">
            <w:pPr>
              <w:pStyle w:val="Nadpis5"/>
              <w:spacing w:before="0" w:after="0"/>
              <w:jc w:val="left"/>
              <w:rPr>
                <w:lang w:val="cs-CZ" w:eastAsia="cs-CZ"/>
              </w:rPr>
            </w:pPr>
            <w:r w:rsidRPr="006A41AC">
              <w:rPr>
                <w:lang w:val="cs-CZ" w:eastAsia="cs-CZ"/>
              </w:rPr>
              <w:t>Pojistné (Kč)</w:t>
            </w:r>
          </w:p>
        </w:tc>
        <w:tc>
          <w:tcPr>
            <w:tcW w:w="4830" w:type="dxa"/>
            <w:tcBorders>
              <w:top w:val="single" w:sz="4" w:space="0" w:color="auto"/>
            </w:tcBorders>
            <w:shd w:val="clear" w:color="auto" w:fill="auto"/>
          </w:tcPr>
          <w:p w14:paraId="6BFFFEB3" w14:textId="0645942B" w:rsidR="00415C2B" w:rsidRPr="00306C02" w:rsidRDefault="00415C2B">
            <w:r w:rsidRPr="00306C02">
              <w:t>Pojištění věcných škod – pojištění násilností</w:t>
            </w:r>
          </w:p>
        </w:tc>
        <w:tc>
          <w:tcPr>
            <w:tcW w:w="2173" w:type="dxa"/>
            <w:vMerge w:val="restart"/>
            <w:tcBorders>
              <w:top w:val="single" w:sz="4" w:space="0" w:color="auto"/>
            </w:tcBorders>
            <w:shd w:val="clear" w:color="auto" w:fill="auto"/>
            <w:vAlign w:val="center"/>
          </w:tcPr>
          <w:p w14:paraId="56DB0992" w14:textId="69DA02F6" w:rsidR="00415C2B" w:rsidRPr="006F15E9" w:rsidRDefault="00FC10DF">
            <w:pPr>
              <w:pStyle w:val="Textkomente"/>
              <w:jc w:val="right"/>
            </w:pPr>
            <w:r>
              <w:t>1 200 000</w:t>
            </w:r>
            <w:r w:rsidR="00415C2B">
              <w:t>,-</w:t>
            </w:r>
          </w:p>
        </w:tc>
      </w:tr>
      <w:tr w:rsidR="00415C2B" w:rsidRPr="006F15E9" w14:paraId="402DEF8C" w14:textId="77777777" w:rsidTr="00FC10DF">
        <w:trPr>
          <w:gridBefore w:val="1"/>
          <w:wBefore w:w="2211" w:type="dxa"/>
          <w:trHeight w:val="284"/>
        </w:trPr>
        <w:tc>
          <w:tcPr>
            <w:tcW w:w="4830" w:type="dxa"/>
            <w:shd w:val="clear" w:color="auto" w:fill="auto"/>
          </w:tcPr>
          <w:p w14:paraId="5402ED84" w14:textId="6B59DAF5" w:rsidR="00415C2B" w:rsidRPr="00306C02" w:rsidRDefault="00415C2B" w:rsidP="009D3700">
            <w:r w:rsidRPr="00306C02">
              <w:rPr>
                <w:rFonts w:cs="Arial"/>
              </w:rPr>
              <w:t>Pojištění přerušení provozu – pojištění násilností</w:t>
            </w:r>
          </w:p>
        </w:tc>
        <w:tc>
          <w:tcPr>
            <w:tcW w:w="2173" w:type="dxa"/>
            <w:vMerge/>
            <w:shd w:val="clear" w:color="auto" w:fill="auto"/>
            <w:vAlign w:val="center"/>
          </w:tcPr>
          <w:p w14:paraId="0F5EBAB8" w14:textId="2C29BF29" w:rsidR="00415C2B" w:rsidRPr="006F15E9" w:rsidRDefault="00415C2B" w:rsidP="009D3700">
            <w:pPr>
              <w:jc w:val="right"/>
            </w:pPr>
          </w:p>
        </w:tc>
      </w:tr>
      <w:tr w:rsidR="00FC10DF" w:rsidRPr="006F15E9" w14:paraId="7CE7B5C3" w14:textId="77777777" w:rsidTr="00FC10DF">
        <w:trPr>
          <w:gridBefore w:val="1"/>
          <w:wBefore w:w="2211" w:type="dxa"/>
          <w:trHeight w:val="284"/>
        </w:trPr>
        <w:tc>
          <w:tcPr>
            <w:tcW w:w="4830" w:type="dxa"/>
            <w:shd w:val="clear" w:color="auto" w:fill="auto"/>
          </w:tcPr>
          <w:p w14:paraId="1E4BB16C" w14:textId="77777777" w:rsidR="00FC10DF" w:rsidRPr="00306C02" w:rsidRDefault="00FC10DF" w:rsidP="009D3700">
            <w:pPr>
              <w:rPr>
                <w:rFonts w:cs="Arial"/>
              </w:rPr>
            </w:pPr>
          </w:p>
        </w:tc>
        <w:tc>
          <w:tcPr>
            <w:tcW w:w="2173" w:type="dxa"/>
            <w:shd w:val="clear" w:color="auto" w:fill="auto"/>
            <w:vAlign w:val="center"/>
          </w:tcPr>
          <w:p w14:paraId="58E24E6E" w14:textId="77777777" w:rsidR="00FC10DF" w:rsidRPr="006F15E9" w:rsidRDefault="00FC10DF" w:rsidP="009D3700">
            <w:pPr>
              <w:jc w:val="right"/>
            </w:pPr>
          </w:p>
        </w:tc>
      </w:tr>
      <w:tr w:rsidR="00FC10DF" w:rsidRPr="006F15E9" w14:paraId="14C9604B" w14:textId="77777777" w:rsidTr="00FC10DF">
        <w:trPr>
          <w:gridBefore w:val="1"/>
          <w:wBefore w:w="2211" w:type="dxa"/>
          <w:trHeight w:val="284"/>
        </w:trPr>
        <w:tc>
          <w:tcPr>
            <w:tcW w:w="4830" w:type="dxa"/>
            <w:shd w:val="clear" w:color="auto" w:fill="auto"/>
          </w:tcPr>
          <w:p w14:paraId="318B4972" w14:textId="126FC1FA" w:rsidR="00FC10DF" w:rsidRPr="00306C02" w:rsidRDefault="00FC10DF" w:rsidP="009D3700">
            <w:pPr>
              <w:rPr>
                <w:rFonts w:cs="Arial"/>
              </w:rPr>
            </w:pPr>
            <w:r w:rsidRPr="006F15E9">
              <w:t>Sleva</w:t>
            </w:r>
            <w:r>
              <w:t xml:space="preserve"> </w:t>
            </w:r>
            <w:r w:rsidR="00540A8D">
              <w:t>20</w:t>
            </w:r>
            <w:r>
              <w:t xml:space="preserve"> %</w:t>
            </w:r>
            <w:r w:rsidRPr="006F15E9">
              <w:t xml:space="preserve"> dle Ujednání </w:t>
            </w:r>
            <w:r>
              <w:t>o věrnostní slevě</w:t>
            </w:r>
          </w:p>
        </w:tc>
        <w:tc>
          <w:tcPr>
            <w:tcW w:w="2173" w:type="dxa"/>
            <w:shd w:val="clear" w:color="auto" w:fill="auto"/>
            <w:vAlign w:val="center"/>
          </w:tcPr>
          <w:p w14:paraId="478D5A2E" w14:textId="43ED9EB8" w:rsidR="00FC10DF" w:rsidRPr="006F15E9" w:rsidRDefault="00FC10DF" w:rsidP="009D3700">
            <w:pPr>
              <w:jc w:val="right"/>
            </w:pPr>
            <w:r>
              <w:t>-240 000,-</w:t>
            </w:r>
          </w:p>
        </w:tc>
      </w:tr>
      <w:tr w:rsidR="009D3700" w:rsidRPr="006F15E9" w14:paraId="2AD4B537" w14:textId="77777777" w:rsidTr="00FC10DF">
        <w:trPr>
          <w:gridBefore w:val="1"/>
          <w:wBefore w:w="2211" w:type="dxa"/>
          <w:trHeight w:val="284"/>
        </w:trPr>
        <w:tc>
          <w:tcPr>
            <w:tcW w:w="4830" w:type="dxa"/>
            <w:shd w:val="clear" w:color="auto" w:fill="auto"/>
          </w:tcPr>
          <w:p w14:paraId="048B9824" w14:textId="77777777" w:rsidR="009D3700" w:rsidRPr="006F15E9" w:rsidRDefault="009D3700" w:rsidP="009D3700">
            <w:pPr>
              <w:rPr>
                <w:b/>
              </w:rPr>
            </w:pPr>
            <w:r w:rsidRPr="006F15E9">
              <w:rPr>
                <w:b/>
              </w:rPr>
              <w:t xml:space="preserve">Celkové roční pojistné </w:t>
            </w:r>
          </w:p>
        </w:tc>
        <w:tc>
          <w:tcPr>
            <w:tcW w:w="2173" w:type="dxa"/>
            <w:shd w:val="clear" w:color="auto" w:fill="auto"/>
            <w:vAlign w:val="center"/>
          </w:tcPr>
          <w:p w14:paraId="7A585C2A" w14:textId="469CACB2" w:rsidR="009D3700" w:rsidRPr="00DB4B6C" w:rsidRDefault="00FC10DF" w:rsidP="009D3700">
            <w:pPr>
              <w:jc w:val="right"/>
              <w:rPr>
                <w:b/>
              </w:rPr>
            </w:pPr>
            <w:r>
              <w:rPr>
                <w:b/>
              </w:rPr>
              <w:t>960 000</w:t>
            </w:r>
            <w:r w:rsidR="009D3700" w:rsidRPr="00DB4B6C">
              <w:rPr>
                <w:b/>
              </w:rPr>
              <w:t>,-</w:t>
            </w:r>
          </w:p>
        </w:tc>
      </w:tr>
    </w:tbl>
    <w:p w14:paraId="3D38BF7F" w14:textId="77777777" w:rsidR="000D7153" w:rsidRPr="00A97DA0" w:rsidRDefault="000D7153" w:rsidP="000D7153"/>
    <w:tbl>
      <w:tblPr>
        <w:tblW w:w="6994" w:type="dxa"/>
        <w:tblInd w:w="2212" w:type="dxa"/>
        <w:tblBorders>
          <w:top w:val="single" w:sz="6" w:space="0" w:color="auto"/>
          <w:left w:val="single" w:sz="6" w:space="0" w:color="auto"/>
          <w:bottom w:val="single" w:sz="6" w:space="0" w:color="auto"/>
          <w:right w:val="single" w:sz="6" w:space="0" w:color="auto"/>
        </w:tblBorders>
        <w:tblLayout w:type="fixed"/>
        <w:tblCellMar>
          <w:left w:w="85" w:type="dxa"/>
          <w:right w:w="85" w:type="dxa"/>
        </w:tblCellMar>
        <w:tblLook w:val="0000" w:firstRow="0" w:lastRow="0" w:firstColumn="0" w:lastColumn="0" w:noHBand="0" w:noVBand="0"/>
      </w:tblPr>
      <w:tblGrid>
        <w:gridCol w:w="2326"/>
        <w:gridCol w:w="2326"/>
        <w:gridCol w:w="2342"/>
      </w:tblGrid>
      <w:tr w:rsidR="00EC46C8" w:rsidRPr="00D177D8" w14:paraId="0A16E8D5" w14:textId="77777777" w:rsidTr="00540A8D">
        <w:trPr>
          <w:trHeight w:val="833"/>
        </w:trPr>
        <w:tc>
          <w:tcPr>
            <w:tcW w:w="2316" w:type="dxa"/>
            <w:tcBorders>
              <w:top w:val="single" w:sz="6" w:space="0" w:color="auto"/>
              <w:bottom w:val="single" w:sz="4" w:space="0" w:color="auto"/>
              <w:right w:val="single" w:sz="6" w:space="0" w:color="auto"/>
            </w:tcBorders>
            <w:shd w:val="pct5" w:color="auto" w:fill="auto"/>
            <w:vAlign w:val="center"/>
          </w:tcPr>
          <w:p w14:paraId="63EE910A" w14:textId="77777777" w:rsidR="00EC46C8" w:rsidRPr="00D157AF" w:rsidRDefault="00EC46C8" w:rsidP="00D157AF">
            <w:pPr>
              <w:tabs>
                <w:tab w:val="left" w:pos="851"/>
              </w:tabs>
              <w:spacing w:before="40" w:after="40"/>
              <w:jc w:val="left"/>
              <w:rPr>
                <w:b/>
                <w:snapToGrid w:val="0"/>
                <w:sz w:val="18"/>
                <w:szCs w:val="18"/>
                <w:lang w:eastAsia="en-US"/>
              </w:rPr>
            </w:pPr>
            <w:r w:rsidRPr="00D157AF">
              <w:rPr>
                <w:b/>
                <w:snapToGrid w:val="0"/>
                <w:sz w:val="18"/>
                <w:szCs w:val="18"/>
                <w:lang w:eastAsia="en-US"/>
              </w:rPr>
              <w:t xml:space="preserve">Splatnost pojistného </w:t>
            </w:r>
          </w:p>
          <w:p w14:paraId="523F208C" w14:textId="365E5ACD" w:rsidR="00EC46C8" w:rsidRPr="00306C02" w:rsidRDefault="00EC46C8" w:rsidP="00D157AF">
            <w:pPr>
              <w:tabs>
                <w:tab w:val="left" w:pos="851"/>
              </w:tabs>
              <w:spacing w:before="40" w:after="40"/>
              <w:jc w:val="left"/>
              <w:rPr>
                <w:b/>
                <w:snapToGrid w:val="0"/>
                <w:sz w:val="16"/>
                <w:lang w:eastAsia="en-US"/>
              </w:rPr>
            </w:pPr>
          </w:p>
        </w:tc>
        <w:tc>
          <w:tcPr>
            <w:tcW w:w="4678" w:type="dxa"/>
            <w:gridSpan w:val="2"/>
            <w:tcBorders>
              <w:top w:val="single" w:sz="6" w:space="0" w:color="auto"/>
              <w:left w:val="nil"/>
              <w:bottom w:val="single" w:sz="4" w:space="0" w:color="auto"/>
            </w:tcBorders>
          </w:tcPr>
          <w:p w14:paraId="5AD0749F" w14:textId="6C9E74C8" w:rsidR="007541D6" w:rsidRPr="00D157AF" w:rsidRDefault="00B7753B" w:rsidP="000665F2">
            <w:pPr>
              <w:spacing w:before="40" w:after="40"/>
              <w:rPr>
                <w:rFonts w:cs="Arial"/>
                <w:sz w:val="16"/>
                <w:szCs w:val="16"/>
              </w:rPr>
            </w:pPr>
            <w:r w:rsidRPr="00D157AF">
              <w:rPr>
                <w:rFonts w:cs="Arial"/>
                <w:snapToGrid w:val="0"/>
                <w:sz w:val="16"/>
                <w:szCs w:val="16"/>
                <w:lang w:eastAsia="en-US"/>
              </w:rPr>
              <w:t xml:space="preserve">Pojistné je splatné na účet zplnomocněného makléře č. </w:t>
            </w:r>
            <w:r w:rsidR="000665F2">
              <w:rPr>
                <w:rFonts w:cs="Arial"/>
                <w:bCs/>
                <w:snapToGrid w:val="0"/>
                <w:sz w:val="16"/>
                <w:szCs w:val="16"/>
                <w:lang w:eastAsia="en-US"/>
              </w:rPr>
              <w:t>XXX</w:t>
            </w:r>
            <w:bookmarkStart w:id="11" w:name="_GoBack"/>
            <w:bookmarkEnd w:id="11"/>
            <w:r w:rsidRPr="00D157AF">
              <w:rPr>
                <w:rFonts w:cs="Arial"/>
                <w:snapToGrid w:val="0"/>
                <w:sz w:val="16"/>
                <w:szCs w:val="16"/>
                <w:lang w:eastAsia="en-US"/>
              </w:rPr>
              <w:t>, v termínu splatnosti stanoveném níže.</w:t>
            </w:r>
          </w:p>
        </w:tc>
      </w:tr>
      <w:tr w:rsidR="00133E2E" w:rsidRPr="00D177D8" w14:paraId="07A80AE6" w14:textId="77777777" w:rsidTr="00D157A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84"/>
        </w:trPr>
        <w:tc>
          <w:tcPr>
            <w:tcW w:w="6994" w:type="dxa"/>
            <w:gridSpan w:val="3"/>
            <w:tcBorders>
              <w:top w:val="single" w:sz="4" w:space="0" w:color="auto"/>
              <w:left w:val="single" w:sz="4" w:space="0" w:color="auto"/>
              <w:bottom w:val="single" w:sz="4" w:space="0" w:color="auto"/>
              <w:right w:val="single" w:sz="4" w:space="0" w:color="auto"/>
            </w:tcBorders>
            <w:shd w:val="pct5" w:color="auto" w:fill="FFFFFF"/>
          </w:tcPr>
          <w:p w14:paraId="2BEEEA87" w14:textId="6FD88F75" w:rsidR="00133E2E" w:rsidRPr="00D157AF" w:rsidRDefault="00133E2E">
            <w:pPr>
              <w:spacing w:before="60" w:after="60"/>
              <w:jc w:val="center"/>
              <w:rPr>
                <w:sz w:val="18"/>
                <w:szCs w:val="18"/>
              </w:rPr>
            </w:pPr>
            <w:r w:rsidRPr="00D157AF">
              <w:rPr>
                <w:b/>
                <w:sz w:val="18"/>
                <w:szCs w:val="18"/>
              </w:rPr>
              <w:t xml:space="preserve">Částky (Kč) a termín splatnosti pojistného    </w:t>
            </w:r>
          </w:p>
        </w:tc>
      </w:tr>
      <w:tr w:rsidR="00AD6007" w:rsidRPr="00D177D8" w14:paraId="5A7D502B" w14:textId="77777777" w:rsidTr="00540A8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84"/>
        </w:trPr>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14:paraId="54B6C277" w14:textId="51CA5361" w:rsidR="00AD6007" w:rsidRPr="006A41AC" w:rsidRDefault="00AD6007">
            <w:pPr>
              <w:pStyle w:val="Nadpis5"/>
              <w:spacing w:before="60" w:after="60"/>
              <w:rPr>
                <w:b w:val="0"/>
                <w:sz w:val="16"/>
                <w:lang w:val="cs-CZ" w:eastAsia="cs-CZ"/>
              </w:rPr>
            </w:pPr>
          </w:p>
        </w:tc>
        <w:tc>
          <w:tcPr>
            <w:tcW w:w="2331" w:type="dxa"/>
            <w:tcBorders>
              <w:top w:val="single" w:sz="4" w:space="0" w:color="auto"/>
              <w:left w:val="single" w:sz="4" w:space="0" w:color="auto"/>
              <w:bottom w:val="single" w:sz="4" w:space="0" w:color="auto"/>
              <w:right w:val="single" w:sz="4" w:space="0" w:color="auto"/>
            </w:tcBorders>
            <w:vAlign w:val="center"/>
          </w:tcPr>
          <w:p w14:paraId="024F2FD1" w14:textId="2A6D7EB0" w:rsidR="00AD6007" w:rsidRPr="001F4EFD" w:rsidRDefault="00540A8D" w:rsidP="00017FA9">
            <w:pPr>
              <w:jc w:val="center"/>
              <w:rPr>
                <w:sz w:val="18"/>
                <w:szCs w:val="18"/>
              </w:rPr>
            </w:pPr>
            <w:r>
              <w:rPr>
                <w:sz w:val="18"/>
                <w:szCs w:val="18"/>
              </w:rPr>
              <w:t>960 000</w:t>
            </w:r>
            <w:r w:rsidR="00AD6007" w:rsidRPr="001F4EFD">
              <w:rPr>
                <w:sz w:val="18"/>
                <w:szCs w:val="18"/>
              </w:rPr>
              <w:t>,-</w:t>
            </w:r>
          </w:p>
        </w:tc>
        <w:tc>
          <w:tcPr>
            <w:tcW w:w="2332" w:type="dxa"/>
            <w:tcBorders>
              <w:top w:val="single" w:sz="4" w:space="0" w:color="auto"/>
              <w:left w:val="single" w:sz="4" w:space="0" w:color="auto"/>
              <w:bottom w:val="single" w:sz="4" w:space="0" w:color="auto"/>
              <w:right w:val="single" w:sz="4" w:space="0" w:color="auto"/>
            </w:tcBorders>
          </w:tcPr>
          <w:p w14:paraId="32EA1D93" w14:textId="1565237B" w:rsidR="00AD6007" w:rsidRPr="00EE1CFB" w:rsidRDefault="00540A8D" w:rsidP="00017FA9">
            <w:pPr>
              <w:spacing w:before="60" w:after="60"/>
              <w:jc w:val="center"/>
              <w:rPr>
                <w:sz w:val="18"/>
                <w:szCs w:val="18"/>
              </w:rPr>
            </w:pPr>
            <w:proofErr w:type="gramStart"/>
            <w:r>
              <w:rPr>
                <w:sz w:val="18"/>
                <w:szCs w:val="18"/>
              </w:rPr>
              <w:t>15.01.2024</w:t>
            </w:r>
            <w:proofErr w:type="gramEnd"/>
          </w:p>
        </w:tc>
      </w:tr>
      <w:tr w:rsidR="00B41234" w:rsidRPr="00D177D8" w14:paraId="156A68BC" w14:textId="77777777" w:rsidTr="00540A8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84"/>
        </w:trPr>
        <w:tc>
          <w:tcPr>
            <w:tcW w:w="2316" w:type="dxa"/>
            <w:tcBorders>
              <w:top w:val="single" w:sz="4" w:space="0" w:color="auto"/>
              <w:left w:val="single" w:sz="4" w:space="0" w:color="auto"/>
              <w:bottom w:val="single" w:sz="4" w:space="0" w:color="auto"/>
              <w:right w:val="single" w:sz="4" w:space="0" w:color="auto"/>
            </w:tcBorders>
            <w:shd w:val="pct5" w:color="auto" w:fill="FFFFFF"/>
          </w:tcPr>
          <w:p w14:paraId="1C07907A" w14:textId="77777777" w:rsidR="00B41234" w:rsidRPr="00D157AF" w:rsidRDefault="00B41234">
            <w:pPr>
              <w:pStyle w:val="Nadpis5"/>
              <w:spacing w:before="60" w:after="60"/>
              <w:jc w:val="left"/>
              <w:rPr>
                <w:b w:val="0"/>
                <w:sz w:val="18"/>
                <w:szCs w:val="18"/>
                <w:lang w:val="cs-CZ" w:eastAsia="cs-CZ"/>
              </w:rPr>
            </w:pPr>
            <w:r w:rsidRPr="00D157AF">
              <w:rPr>
                <w:b w:val="0"/>
                <w:sz w:val="18"/>
                <w:szCs w:val="18"/>
                <w:lang w:val="cs-CZ" w:eastAsia="cs-CZ"/>
              </w:rPr>
              <w:t>Pozn.</w:t>
            </w:r>
          </w:p>
        </w:tc>
        <w:tc>
          <w:tcPr>
            <w:tcW w:w="4678" w:type="dxa"/>
            <w:gridSpan w:val="2"/>
            <w:tcBorders>
              <w:top w:val="single" w:sz="4" w:space="0" w:color="auto"/>
              <w:left w:val="single" w:sz="4" w:space="0" w:color="auto"/>
              <w:bottom w:val="single" w:sz="4" w:space="0" w:color="auto"/>
              <w:right w:val="single" w:sz="4" w:space="0" w:color="auto"/>
            </w:tcBorders>
          </w:tcPr>
          <w:p w14:paraId="693E4859" w14:textId="77777777" w:rsidR="00B41234" w:rsidRPr="00D177D8" w:rsidRDefault="00B41234">
            <w:pPr>
              <w:spacing w:before="60" w:after="60"/>
              <w:jc w:val="center"/>
            </w:pPr>
          </w:p>
        </w:tc>
      </w:tr>
    </w:tbl>
    <w:p w14:paraId="2E40A514" w14:textId="77777777" w:rsidR="00EC46C8" w:rsidRPr="00D177D8" w:rsidRDefault="00EC46C8"/>
    <w:p w14:paraId="0109AD43" w14:textId="566BD4E2" w:rsidR="00EC46C8" w:rsidRPr="00D177D8" w:rsidRDefault="00EC46C8" w:rsidP="00540A8D">
      <w:pPr>
        <w:jc w:val="left"/>
        <w:rPr>
          <w:caps/>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40"/>
        <w:gridCol w:w="6974"/>
      </w:tblGrid>
      <w:tr w:rsidR="00EC46C8" w:rsidRPr="009E6676" w14:paraId="63BFB399" w14:textId="77777777" w:rsidTr="00D157AF">
        <w:trPr>
          <w:trHeight w:val="254"/>
        </w:trPr>
        <w:tc>
          <w:tcPr>
            <w:tcW w:w="2240" w:type="dxa"/>
            <w:shd w:val="clear" w:color="auto" w:fill="auto"/>
            <w:tcMar>
              <w:left w:w="108" w:type="dxa"/>
              <w:right w:w="108" w:type="dxa"/>
            </w:tcMar>
          </w:tcPr>
          <w:p w14:paraId="6B489145" w14:textId="77777777" w:rsidR="00EC46C8" w:rsidRPr="009E6676" w:rsidRDefault="00EC46C8">
            <w:pPr>
              <w:spacing w:before="60" w:after="60"/>
              <w:ind w:left="113"/>
              <w:rPr>
                <w:snapToGrid w:val="0"/>
                <w:lang w:eastAsia="en-US"/>
              </w:rPr>
            </w:pPr>
            <w:r w:rsidRPr="009E6676">
              <w:rPr>
                <w:b/>
                <w:snapToGrid w:val="0"/>
                <w:lang w:eastAsia="en-US"/>
              </w:rPr>
              <w:t>Příloha 1:</w:t>
            </w:r>
            <w:r w:rsidRPr="009E6676">
              <w:rPr>
                <w:snapToGrid w:val="0"/>
                <w:lang w:eastAsia="en-US"/>
              </w:rPr>
              <w:t xml:space="preserve">  </w:t>
            </w:r>
          </w:p>
        </w:tc>
        <w:tc>
          <w:tcPr>
            <w:tcW w:w="6974" w:type="dxa"/>
            <w:shd w:val="clear" w:color="auto" w:fill="auto"/>
            <w:tcMar>
              <w:left w:w="108" w:type="dxa"/>
              <w:right w:w="108" w:type="dxa"/>
            </w:tcMar>
          </w:tcPr>
          <w:p w14:paraId="59F9EB2B" w14:textId="2B81DC8A" w:rsidR="00EC46C8" w:rsidRPr="009E6676" w:rsidRDefault="00953CF7" w:rsidP="00335568">
            <w:pPr>
              <w:spacing w:before="60" w:after="60"/>
              <w:ind w:left="113"/>
              <w:rPr>
                <w:snapToGrid w:val="0"/>
                <w:lang w:eastAsia="en-US"/>
              </w:rPr>
            </w:pPr>
            <w:r w:rsidRPr="009E6676">
              <w:rPr>
                <w:rFonts w:cs="Arial"/>
                <w:snapToGrid w:val="0"/>
                <w:lang w:eastAsia="en-US"/>
              </w:rPr>
              <w:t>Pojistné podmínky pro pojištění násilností (PTS 01-05/2017)</w:t>
            </w:r>
          </w:p>
        </w:tc>
      </w:tr>
      <w:tr w:rsidR="00EC46C8" w:rsidRPr="009E6676" w14:paraId="1FB7F8A5" w14:textId="77777777" w:rsidTr="00D157AF">
        <w:trPr>
          <w:trHeight w:val="254"/>
        </w:trPr>
        <w:tc>
          <w:tcPr>
            <w:tcW w:w="2240" w:type="dxa"/>
            <w:shd w:val="clear" w:color="auto" w:fill="auto"/>
            <w:tcMar>
              <w:left w:w="108" w:type="dxa"/>
              <w:right w:w="108" w:type="dxa"/>
            </w:tcMar>
          </w:tcPr>
          <w:p w14:paraId="4C59F2C3" w14:textId="77777777" w:rsidR="00EC46C8" w:rsidRPr="009E6676" w:rsidRDefault="00EC46C8">
            <w:pPr>
              <w:spacing w:before="60" w:after="60"/>
              <w:ind w:left="113"/>
              <w:rPr>
                <w:snapToGrid w:val="0"/>
                <w:lang w:eastAsia="en-US"/>
              </w:rPr>
            </w:pPr>
            <w:r w:rsidRPr="009E6676">
              <w:rPr>
                <w:b/>
                <w:snapToGrid w:val="0"/>
                <w:lang w:eastAsia="en-US"/>
              </w:rPr>
              <w:t xml:space="preserve">Příloha 2: </w:t>
            </w:r>
          </w:p>
        </w:tc>
        <w:tc>
          <w:tcPr>
            <w:tcW w:w="6974" w:type="dxa"/>
            <w:shd w:val="clear" w:color="auto" w:fill="auto"/>
            <w:tcMar>
              <w:left w:w="108" w:type="dxa"/>
              <w:right w:w="108" w:type="dxa"/>
            </w:tcMar>
          </w:tcPr>
          <w:p w14:paraId="31C2F82F" w14:textId="77777777" w:rsidR="00EC46C8" w:rsidRPr="009E6676" w:rsidRDefault="00EC46C8">
            <w:pPr>
              <w:spacing w:before="60" w:after="60"/>
              <w:ind w:left="113"/>
              <w:rPr>
                <w:snapToGrid w:val="0"/>
                <w:lang w:eastAsia="en-US"/>
              </w:rPr>
            </w:pPr>
            <w:r w:rsidRPr="009E6676">
              <w:rPr>
                <w:snapToGrid w:val="0"/>
                <w:lang w:eastAsia="en-US"/>
              </w:rPr>
              <w:t xml:space="preserve">Výpis z obchodního rejstříku </w:t>
            </w:r>
            <w:r w:rsidRPr="009E6676">
              <w:rPr>
                <w:i/>
                <w:snapToGrid w:val="0"/>
                <w:lang w:eastAsia="en-US"/>
              </w:rPr>
              <w:t>pojistníka</w:t>
            </w:r>
          </w:p>
        </w:tc>
      </w:tr>
    </w:tbl>
    <w:p w14:paraId="14BBFBB5" w14:textId="0BDEB2A0" w:rsidR="00C254A1" w:rsidRDefault="00C254A1" w:rsidP="00C946E4">
      <w:pPr>
        <w:pStyle w:val="Nadpis2"/>
        <w:spacing w:before="0" w:after="0"/>
        <w:rPr>
          <w:color w:val="auto"/>
        </w:rPr>
      </w:pPr>
    </w:p>
    <w:p w14:paraId="79776CE1" w14:textId="7598DBE3" w:rsidR="00810362" w:rsidRDefault="00810362" w:rsidP="00810362"/>
    <w:p w14:paraId="22A4EE93" w14:textId="77777777" w:rsidR="00A36B1D" w:rsidRDefault="00A36B1D" w:rsidP="00BE2861">
      <w:pPr>
        <w:jc w:val="center"/>
        <w:rPr>
          <w:b/>
          <w:caps/>
          <w:u w:val="single"/>
        </w:rPr>
      </w:pPr>
    </w:p>
    <w:p w14:paraId="0B58CB8C" w14:textId="77777777" w:rsidR="00540A8D" w:rsidRDefault="00540A8D" w:rsidP="00A36B1D">
      <w:pPr>
        <w:widowControl w:val="0"/>
        <w:jc w:val="center"/>
        <w:rPr>
          <w:rFonts w:cs="Arial"/>
          <w:b/>
          <w:caps/>
          <w:sz w:val="22"/>
          <w:szCs w:val="22"/>
        </w:rPr>
      </w:pPr>
    </w:p>
    <w:p w14:paraId="620E016A" w14:textId="77777777" w:rsidR="00540A8D" w:rsidRDefault="00540A8D">
      <w:pPr>
        <w:jc w:val="left"/>
        <w:rPr>
          <w:rFonts w:cs="Arial"/>
          <w:b/>
          <w:caps/>
          <w:sz w:val="22"/>
          <w:szCs w:val="22"/>
        </w:rPr>
      </w:pPr>
      <w:r>
        <w:rPr>
          <w:rFonts w:cs="Arial"/>
          <w:b/>
          <w:caps/>
          <w:sz w:val="22"/>
          <w:szCs w:val="22"/>
        </w:rPr>
        <w:br w:type="page"/>
      </w:r>
    </w:p>
    <w:p w14:paraId="02712740" w14:textId="68856F5C" w:rsidR="00A36B1D" w:rsidRPr="00306C02" w:rsidRDefault="00A36B1D" w:rsidP="00A36B1D">
      <w:pPr>
        <w:widowControl w:val="0"/>
        <w:jc w:val="center"/>
        <w:rPr>
          <w:rFonts w:cs="Arial"/>
          <w:b/>
          <w:caps/>
          <w:sz w:val="22"/>
          <w:szCs w:val="22"/>
        </w:rPr>
      </w:pPr>
      <w:r w:rsidRPr="00306C02">
        <w:rPr>
          <w:rFonts w:cs="Arial"/>
          <w:b/>
          <w:caps/>
          <w:sz w:val="22"/>
          <w:szCs w:val="22"/>
        </w:rPr>
        <w:lastRenderedPageBreak/>
        <w:t xml:space="preserve">S P E C I F I K A C E </w:t>
      </w:r>
    </w:p>
    <w:p w14:paraId="49FB7FC4" w14:textId="77777777" w:rsidR="00A36B1D" w:rsidRPr="00306C02" w:rsidRDefault="00A36B1D" w:rsidP="00A36B1D">
      <w:pPr>
        <w:widowControl w:val="0"/>
        <w:jc w:val="center"/>
        <w:rPr>
          <w:rFonts w:cs="Arial"/>
          <w:b/>
          <w:caps/>
          <w:sz w:val="22"/>
          <w:szCs w:val="22"/>
        </w:rPr>
      </w:pPr>
      <w:r w:rsidRPr="00306C02">
        <w:rPr>
          <w:rFonts w:cs="Arial"/>
          <w:b/>
          <w:caps/>
          <w:sz w:val="22"/>
          <w:szCs w:val="22"/>
        </w:rPr>
        <w:t>pojistné částky</w:t>
      </w:r>
    </w:p>
    <w:p w14:paraId="506160EA" w14:textId="77777777" w:rsidR="00A36B1D" w:rsidRPr="00306C02" w:rsidRDefault="00A36B1D" w:rsidP="00A36B1D">
      <w:pPr>
        <w:spacing w:before="120" w:after="60"/>
        <w:jc w:val="center"/>
        <w:rPr>
          <w:rFonts w:cs="Arial"/>
          <w:b/>
        </w:rPr>
      </w:pPr>
      <w:r w:rsidRPr="00306C02">
        <w:rPr>
          <w:rFonts w:cs="Arial"/>
          <w:b/>
        </w:rPr>
        <w:t>Pojištění věcných škod – pojištění násilností (</w:t>
      </w:r>
      <w:r w:rsidRPr="00306C02">
        <w:rPr>
          <w:rFonts w:cs="Arial"/>
          <w:b/>
          <w:snapToGrid w:val="0"/>
          <w:lang w:eastAsia="en-US"/>
        </w:rPr>
        <w:t>PTS 01-05/2017)</w:t>
      </w:r>
    </w:p>
    <w:tbl>
      <w:tblPr>
        <w:tblW w:w="9214" w:type="dxa"/>
        <w:tblInd w:w="-8" w:type="dxa"/>
        <w:tblLayout w:type="fixed"/>
        <w:tblCellMar>
          <w:left w:w="30" w:type="dxa"/>
          <w:right w:w="30" w:type="dxa"/>
        </w:tblCellMar>
        <w:tblLook w:val="0000" w:firstRow="0" w:lastRow="0" w:firstColumn="0" w:lastColumn="0" w:noHBand="0" w:noVBand="0"/>
      </w:tblPr>
      <w:tblGrid>
        <w:gridCol w:w="747"/>
        <w:gridCol w:w="5774"/>
        <w:gridCol w:w="2693"/>
      </w:tblGrid>
      <w:tr w:rsidR="00A36B1D" w:rsidRPr="00306C02" w14:paraId="1E13BDEA" w14:textId="77777777" w:rsidTr="00D157AF">
        <w:trPr>
          <w:cantSplit/>
          <w:trHeight w:val="259"/>
        </w:trPr>
        <w:tc>
          <w:tcPr>
            <w:tcW w:w="747" w:type="dxa"/>
            <w:tcBorders>
              <w:top w:val="single" w:sz="6" w:space="0" w:color="000000"/>
              <w:left w:val="single" w:sz="6" w:space="0" w:color="000000"/>
              <w:bottom w:val="single" w:sz="6" w:space="0" w:color="000000"/>
              <w:right w:val="single" w:sz="6" w:space="0" w:color="000000"/>
            </w:tcBorders>
          </w:tcPr>
          <w:p w14:paraId="42CFD244" w14:textId="77777777" w:rsidR="00A36B1D" w:rsidRPr="00306C02" w:rsidRDefault="00A36B1D" w:rsidP="00B74252">
            <w:pPr>
              <w:jc w:val="center"/>
              <w:rPr>
                <w:rFonts w:cs="Arial"/>
                <w:b/>
              </w:rPr>
            </w:pPr>
          </w:p>
        </w:tc>
        <w:tc>
          <w:tcPr>
            <w:tcW w:w="5774" w:type="dxa"/>
            <w:tcBorders>
              <w:top w:val="single" w:sz="6" w:space="0" w:color="000000"/>
              <w:left w:val="single" w:sz="6" w:space="0" w:color="000000"/>
              <w:bottom w:val="single" w:sz="6" w:space="0" w:color="000000"/>
              <w:right w:val="single" w:sz="6" w:space="0" w:color="000000"/>
            </w:tcBorders>
            <w:vAlign w:val="center"/>
          </w:tcPr>
          <w:p w14:paraId="39C24BB4" w14:textId="77777777" w:rsidR="00A36B1D" w:rsidRPr="00306C02" w:rsidRDefault="00A36B1D" w:rsidP="00D157AF">
            <w:pPr>
              <w:jc w:val="center"/>
              <w:rPr>
                <w:rFonts w:cs="Arial"/>
                <w:b/>
              </w:rPr>
            </w:pPr>
            <w:r w:rsidRPr="00306C02">
              <w:rPr>
                <w:rFonts w:cs="Arial"/>
                <w:b/>
              </w:rPr>
              <w:t>Pojištěné věci</w:t>
            </w:r>
          </w:p>
        </w:tc>
        <w:tc>
          <w:tcPr>
            <w:tcW w:w="2693" w:type="dxa"/>
            <w:tcBorders>
              <w:top w:val="single" w:sz="6" w:space="0" w:color="000000"/>
              <w:left w:val="single" w:sz="6" w:space="0" w:color="000000"/>
              <w:bottom w:val="single" w:sz="6" w:space="0" w:color="000000"/>
              <w:right w:val="single" w:sz="6" w:space="0" w:color="000000"/>
            </w:tcBorders>
            <w:vAlign w:val="center"/>
          </w:tcPr>
          <w:p w14:paraId="6DDEF96D" w14:textId="77777777" w:rsidR="00A36B1D" w:rsidRPr="00306C02" w:rsidRDefault="00A36B1D" w:rsidP="00B74252">
            <w:pPr>
              <w:jc w:val="center"/>
              <w:rPr>
                <w:rFonts w:cs="Arial"/>
                <w:b/>
              </w:rPr>
            </w:pPr>
            <w:r w:rsidRPr="00306C02">
              <w:rPr>
                <w:rFonts w:cs="Arial"/>
                <w:b/>
              </w:rPr>
              <w:t>Pojistná částka /</w:t>
            </w:r>
            <w:r w:rsidRPr="00306C02">
              <w:rPr>
                <w:rFonts w:cs="Arial"/>
              </w:rPr>
              <w:t xml:space="preserve"> Limit pojistného plnění (Kč)</w:t>
            </w:r>
          </w:p>
        </w:tc>
      </w:tr>
      <w:tr w:rsidR="00A36B1D" w:rsidRPr="00306C02" w14:paraId="2C76B78A" w14:textId="77777777" w:rsidTr="00D157AF">
        <w:trPr>
          <w:cantSplit/>
          <w:trHeight w:val="259"/>
        </w:trPr>
        <w:tc>
          <w:tcPr>
            <w:tcW w:w="747" w:type="dxa"/>
            <w:tcBorders>
              <w:top w:val="single" w:sz="6" w:space="0" w:color="000000"/>
              <w:left w:val="single" w:sz="6" w:space="0" w:color="000000"/>
              <w:bottom w:val="single" w:sz="6" w:space="0" w:color="000000"/>
              <w:right w:val="single" w:sz="6" w:space="0" w:color="000000"/>
            </w:tcBorders>
            <w:vAlign w:val="center"/>
          </w:tcPr>
          <w:p w14:paraId="76698276" w14:textId="77777777" w:rsidR="00A36B1D" w:rsidRPr="00306C02" w:rsidRDefault="00A36B1D" w:rsidP="00D157AF">
            <w:pPr>
              <w:jc w:val="center"/>
              <w:rPr>
                <w:rFonts w:cs="Arial"/>
              </w:rPr>
            </w:pPr>
            <w:r w:rsidRPr="00306C02">
              <w:rPr>
                <w:rFonts w:cs="Arial"/>
              </w:rPr>
              <w:t>1.</w:t>
            </w:r>
          </w:p>
        </w:tc>
        <w:tc>
          <w:tcPr>
            <w:tcW w:w="5774" w:type="dxa"/>
            <w:tcBorders>
              <w:top w:val="single" w:sz="6" w:space="0" w:color="000000"/>
              <w:left w:val="single" w:sz="6" w:space="0" w:color="000000"/>
              <w:bottom w:val="single" w:sz="6" w:space="0" w:color="000000"/>
              <w:right w:val="single" w:sz="6" w:space="0" w:color="000000"/>
            </w:tcBorders>
          </w:tcPr>
          <w:p w14:paraId="48BEDB82" w14:textId="4B3E989D" w:rsidR="00A36B1D" w:rsidRPr="00306C02" w:rsidRDefault="00540A8D" w:rsidP="00B74252">
            <w:pPr>
              <w:pStyle w:val="Default"/>
              <w:rPr>
                <w:b/>
                <w:sz w:val="20"/>
                <w:szCs w:val="20"/>
              </w:rPr>
            </w:pPr>
            <w:r w:rsidRPr="00540A8D">
              <w:rPr>
                <w:sz w:val="20"/>
                <w:szCs w:val="20"/>
              </w:rPr>
              <w:t>Soubor budov a hal včetně: technického zhodnocení, stavebních součástí, vybavení a uměleckých nebo uměleckořemeslných děl, která jsou součástí či příslušenstvím pojištěné stavby</w:t>
            </w:r>
          </w:p>
        </w:tc>
        <w:tc>
          <w:tcPr>
            <w:tcW w:w="2693" w:type="dxa"/>
            <w:tcBorders>
              <w:top w:val="single" w:sz="6" w:space="0" w:color="000000"/>
              <w:left w:val="single" w:sz="6" w:space="0" w:color="000000"/>
              <w:bottom w:val="single" w:sz="6" w:space="0" w:color="000000"/>
              <w:right w:val="single" w:sz="6" w:space="0" w:color="000000"/>
            </w:tcBorders>
            <w:vAlign w:val="center"/>
          </w:tcPr>
          <w:p w14:paraId="5CF7E0C4" w14:textId="5C6EF0F5" w:rsidR="00A36B1D" w:rsidRPr="002657CE" w:rsidRDefault="002657CE" w:rsidP="002657CE">
            <w:pPr>
              <w:pStyle w:val="Default"/>
              <w:jc w:val="center"/>
              <w:rPr>
                <w:sz w:val="20"/>
                <w:szCs w:val="20"/>
              </w:rPr>
            </w:pPr>
            <w:r w:rsidRPr="002657CE">
              <w:rPr>
                <w:sz w:val="20"/>
                <w:szCs w:val="20"/>
              </w:rPr>
              <w:t>4 012 700 000,-</w:t>
            </w:r>
          </w:p>
        </w:tc>
      </w:tr>
      <w:tr w:rsidR="00540A8D" w:rsidRPr="00306C02" w14:paraId="5929F5C5" w14:textId="77777777" w:rsidTr="00D157AF">
        <w:trPr>
          <w:cantSplit/>
          <w:trHeight w:val="259"/>
        </w:trPr>
        <w:tc>
          <w:tcPr>
            <w:tcW w:w="747" w:type="dxa"/>
            <w:tcBorders>
              <w:top w:val="single" w:sz="6" w:space="0" w:color="000000"/>
              <w:left w:val="single" w:sz="6" w:space="0" w:color="000000"/>
              <w:bottom w:val="single" w:sz="6" w:space="0" w:color="000000"/>
              <w:right w:val="single" w:sz="6" w:space="0" w:color="000000"/>
            </w:tcBorders>
            <w:vAlign w:val="center"/>
          </w:tcPr>
          <w:p w14:paraId="073BF162" w14:textId="149C163E" w:rsidR="00540A8D" w:rsidRPr="00306C02" w:rsidRDefault="00540A8D" w:rsidP="00D157AF">
            <w:pPr>
              <w:jc w:val="center"/>
              <w:rPr>
                <w:rFonts w:cs="Arial"/>
              </w:rPr>
            </w:pPr>
            <w:r>
              <w:rPr>
                <w:rFonts w:cs="Arial"/>
              </w:rPr>
              <w:t>2.</w:t>
            </w:r>
          </w:p>
        </w:tc>
        <w:tc>
          <w:tcPr>
            <w:tcW w:w="5774" w:type="dxa"/>
            <w:tcBorders>
              <w:top w:val="single" w:sz="6" w:space="0" w:color="000000"/>
              <w:left w:val="single" w:sz="6" w:space="0" w:color="000000"/>
              <w:bottom w:val="single" w:sz="6" w:space="0" w:color="000000"/>
              <w:right w:val="single" w:sz="6" w:space="0" w:color="000000"/>
            </w:tcBorders>
          </w:tcPr>
          <w:p w14:paraId="24030E20" w14:textId="77777777" w:rsidR="00540A8D" w:rsidRDefault="00540A8D" w:rsidP="00B74252">
            <w:pPr>
              <w:pStyle w:val="Default"/>
              <w:rPr>
                <w:sz w:val="20"/>
                <w:szCs w:val="20"/>
              </w:rPr>
            </w:pPr>
            <w:r w:rsidRPr="00540A8D">
              <w:rPr>
                <w:sz w:val="20"/>
                <w:szCs w:val="20"/>
              </w:rPr>
              <w:t xml:space="preserve">Soubor staveb s výjimkou vodovodních řádů a kanalizačních stok včetně Vodovod Jelenice, tj. </w:t>
            </w:r>
            <w:proofErr w:type="spellStart"/>
            <w:r w:rsidRPr="00540A8D">
              <w:rPr>
                <w:sz w:val="20"/>
                <w:szCs w:val="20"/>
              </w:rPr>
              <w:t>inv</w:t>
            </w:r>
            <w:proofErr w:type="spellEnd"/>
            <w:r w:rsidRPr="00540A8D">
              <w:rPr>
                <w:sz w:val="20"/>
                <w:szCs w:val="20"/>
              </w:rPr>
              <w:t>. č. M-01034 čerpací stanice Jelenice – nádrž betonová hráz a M-01036 čerpací stanice Jelenice – jímací zařízení</w:t>
            </w:r>
          </w:p>
          <w:p w14:paraId="21A7FCF8" w14:textId="24419FAB" w:rsidR="002657CE" w:rsidRPr="002657CE" w:rsidRDefault="002657CE" w:rsidP="00B74252">
            <w:pPr>
              <w:pStyle w:val="Default"/>
              <w:rPr>
                <w:i/>
                <w:iCs/>
                <w:sz w:val="20"/>
                <w:szCs w:val="20"/>
              </w:rPr>
            </w:pPr>
            <w:r w:rsidRPr="002657CE">
              <w:rPr>
                <w:i/>
                <w:iCs/>
                <w:sz w:val="16"/>
              </w:rPr>
              <w:t>Limit pojistného plnění pro jednu a všechny pojistné události</w:t>
            </w:r>
          </w:p>
        </w:tc>
        <w:tc>
          <w:tcPr>
            <w:tcW w:w="2693" w:type="dxa"/>
            <w:tcBorders>
              <w:top w:val="single" w:sz="6" w:space="0" w:color="000000"/>
              <w:left w:val="single" w:sz="6" w:space="0" w:color="000000"/>
              <w:bottom w:val="single" w:sz="6" w:space="0" w:color="000000"/>
              <w:right w:val="single" w:sz="6" w:space="0" w:color="000000"/>
            </w:tcBorders>
            <w:vAlign w:val="center"/>
          </w:tcPr>
          <w:p w14:paraId="44A06AB2" w14:textId="11565862" w:rsidR="00540A8D" w:rsidRPr="002657CE" w:rsidRDefault="002657CE" w:rsidP="00B74252">
            <w:pPr>
              <w:jc w:val="center"/>
              <w:rPr>
                <w:rFonts w:cs="Arial"/>
              </w:rPr>
            </w:pPr>
            <w:r>
              <w:rPr>
                <w:rFonts w:cs="Arial"/>
              </w:rPr>
              <w:t>100 000 000,-</w:t>
            </w:r>
          </w:p>
        </w:tc>
      </w:tr>
      <w:tr w:rsidR="00540A8D" w:rsidRPr="00306C02" w14:paraId="3F33D036" w14:textId="77777777" w:rsidTr="00D157AF">
        <w:trPr>
          <w:cantSplit/>
          <w:trHeight w:val="259"/>
        </w:trPr>
        <w:tc>
          <w:tcPr>
            <w:tcW w:w="747" w:type="dxa"/>
            <w:tcBorders>
              <w:top w:val="single" w:sz="6" w:space="0" w:color="000000"/>
              <w:left w:val="single" w:sz="6" w:space="0" w:color="000000"/>
              <w:bottom w:val="single" w:sz="6" w:space="0" w:color="000000"/>
              <w:right w:val="single" w:sz="6" w:space="0" w:color="000000"/>
            </w:tcBorders>
            <w:vAlign w:val="center"/>
          </w:tcPr>
          <w:p w14:paraId="449ED4C4" w14:textId="3EEE57CE" w:rsidR="00540A8D" w:rsidRPr="00306C02" w:rsidRDefault="00540A8D" w:rsidP="00D157AF">
            <w:pPr>
              <w:jc w:val="center"/>
              <w:rPr>
                <w:rFonts w:cs="Arial"/>
              </w:rPr>
            </w:pPr>
            <w:r>
              <w:rPr>
                <w:rFonts w:cs="Arial"/>
              </w:rPr>
              <w:t>3.</w:t>
            </w:r>
          </w:p>
        </w:tc>
        <w:tc>
          <w:tcPr>
            <w:tcW w:w="5774" w:type="dxa"/>
            <w:tcBorders>
              <w:top w:val="single" w:sz="6" w:space="0" w:color="000000"/>
              <w:left w:val="single" w:sz="6" w:space="0" w:color="000000"/>
              <w:bottom w:val="single" w:sz="6" w:space="0" w:color="000000"/>
              <w:right w:val="single" w:sz="6" w:space="0" w:color="000000"/>
            </w:tcBorders>
          </w:tcPr>
          <w:p w14:paraId="25552008" w14:textId="77777777" w:rsidR="00540A8D" w:rsidRDefault="00540A8D" w:rsidP="00B74252">
            <w:pPr>
              <w:pStyle w:val="Default"/>
              <w:rPr>
                <w:sz w:val="20"/>
                <w:szCs w:val="20"/>
              </w:rPr>
            </w:pPr>
            <w:r w:rsidRPr="00540A8D">
              <w:rPr>
                <w:sz w:val="20"/>
                <w:szCs w:val="20"/>
              </w:rPr>
              <w:t>Soubor vodovodních řádů a kanalizačních stok</w:t>
            </w:r>
          </w:p>
          <w:p w14:paraId="1C5539D3" w14:textId="4DBAA241" w:rsidR="002657CE" w:rsidRPr="00723193" w:rsidRDefault="002657CE" w:rsidP="00B74252">
            <w:pPr>
              <w:pStyle w:val="Default"/>
              <w:rPr>
                <w:sz w:val="20"/>
                <w:szCs w:val="20"/>
              </w:rPr>
            </w:pPr>
            <w:r w:rsidRPr="002657CE">
              <w:rPr>
                <w:i/>
                <w:iCs/>
                <w:sz w:val="16"/>
              </w:rPr>
              <w:t>Limit pojistného plnění pro jednu a všechny pojistné události</w:t>
            </w:r>
          </w:p>
        </w:tc>
        <w:tc>
          <w:tcPr>
            <w:tcW w:w="2693" w:type="dxa"/>
            <w:tcBorders>
              <w:top w:val="single" w:sz="6" w:space="0" w:color="000000"/>
              <w:left w:val="single" w:sz="6" w:space="0" w:color="000000"/>
              <w:bottom w:val="single" w:sz="6" w:space="0" w:color="000000"/>
              <w:right w:val="single" w:sz="6" w:space="0" w:color="000000"/>
            </w:tcBorders>
            <w:vAlign w:val="center"/>
          </w:tcPr>
          <w:p w14:paraId="0C98063B" w14:textId="766E490C" w:rsidR="00540A8D" w:rsidRPr="002657CE" w:rsidRDefault="002657CE" w:rsidP="00B74252">
            <w:pPr>
              <w:jc w:val="center"/>
              <w:rPr>
                <w:rFonts w:cs="Arial"/>
              </w:rPr>
            </w:pPr>
            <w:r>
              <w:rPr>
                <w:rFonts w:cs="Arial"/>
              </w:rPr>
              <w:t>10 000 000,-</w:t>
            </w:r>
          </w:p>
        </w:tc>
      </w:tr>
      <w:tr w:rsidR="00540A8D" w:rsidRPr="00306C02" w14:paraId="74CC3279" w14:textId="77777777" w:rsidTr="00D157AF">
        <w:trPr>
          <w:cantSplit/>
          <w:trHeight w:val="259"/>
        </w:trPr>
        <w:tc>
          <w:tcPr>
            <w:tcW w:w="747" w:type="dxa"/>
            <w:tcBorders>
              <w:top w:val="single" w:sz="6" w:space="0" w:color="000000"/>
              <w:left w:val="single" w:sz="6" w:space="0" w:color="000000"/>
              <w:bottom w:val="single" w:sz="6" w:space="0" w:color="000000"/>
              <w:right w:val="single" w:sz="6" w:space="0" w:color="000000"/>
            </w:tcBorders>
            <w:vAlign w:val="center"/>
          </w:tcPr>
          <w:p w14:paraId="7FF9A7AD" w14:textId="3CEA25B9" w:rsidR="00540A8D" w:rsidRPr="00306C02" w:rsidRDefault="00540A8D" w:rsidP="00D157AF">
            <w:pPr>
              <w:jc w:val="center"/>
              <w:rPr>
                <w:rFonts w:cs="Arial"/>
              </w:rPr>
            </w:pPr>
            <w:r>
              <w:rPr>
                <w:rFonts w:cs="Arial"/>
              </w:rPr>
              <w:t>4.</w:t>
            </w:r>
          </w:p>
        </w:tc>
        <w:tc>
          <w:tcPr>
            <w:tcW w:w="5774" w:type="dxa"/>
            <w:tcBorders>
              <w:top w:val="single" w:sz="6" w:space="0" w:color="000000"/>
              <w:left w:val="single" w:sz="6" w:space="0" w:color="000000"/>
              <w:bottom w:val="single" w:sz="6" w:space="0" w:color="000000"/>
              <w:right w:val="single" w:sz="6" w:space="0" w:color="000000"/>
            </w:tcBorders>
          </w:tcPr>
          <w:p w14:paraId="7DEE4924" w14:textId="77777777" w:rsidR="00540A8D" w:rsidRDefault="00540A8D" w:rsidP="00B74252">
            <w:pPr>
              <w:pStyle w:val="Default"/>
              <w:rPr>
                <w:sz w:val="20"/>
                <w:szCs w:val="20"/>
              </w:rPr>
            </w:pPr>
            <w:r w:rsidRPr="00540A8D">
              <w:rPr>
                <w:sz w:val="20"/>
                <w:szCs w:val="20"/>
              </w:rPr>
              <w:t>Soubor movitých staveb, komunikací, chodníků, mostů a staveb na vodních tocích</w:t>
            </w:r>
          </w:p>
          <w:p w14:paraId="27A2889E" w14:textId="3978F6F2" w:rsidR="002657CE" w:rsidRPr="00723193" w:rsidRDefault="002657CE" w:rsidP="00B74252">
            <w:pPr>
              <w:pStyle w:val="Default"/>
              <w:rPr>
                <w:sz w:val="20"/>
                <w:szCs w:val="20"/>
              </w:rPr>
            </w:pPr>
            <w:r w:rsidRPr="002657CE">
              <w:rPr>
                <w:i/>
                <w:iCs/>
                <w:sz w:val="16"/>
              </w:rPr>
              <w:t>Limit pojistného plnění pro jednu a všechny pojistné události</w:t>
            </w:r>
          </w:p>
        </w:tc>
        <w:tc>
          <w:tcPr>
            <w:tcW w:w="2693" w:type="dxa"/>
            <w:tcBorders>
              <w:top w:val="single" w:sz="6" w:space="0" w:color="000000"/>
              <w:left w:val="single" w:sz="6" w:space="0" w:color="000000"/>
              <w:bottom w:val="single" w:sz="6" w:space="0" w:color="000000"/>
              <w:right w:val="single" w:sz="6" w:space="0" w:color="000000"/>
            </w:tcBorders>
            <w:vAlign w:val="center"/>
          </w:tcPr>
          <w:p w14:paraId="215FD71D" w14:textId="3B4C4331" w:rsidR="00540A8D" w:rsidRPr="002657CE" w:rsidRDefault="002657CE" w:rsidP="00B74252">
            <w:pPr>
              <w:jc w:val="center"/>
              <w:rPr>
                <w:rFonts w:cs="Arial"/>
              </w:rPr>
            </w:pPr>
            <w:r>
              <w:rPr>
                <w:rFonts w:cs="Arial"/>
              </w:rPr>
              <w:t>1 000 000,-</w:t>
            </w:r>
          </w:p>
        </w:tc>
      </w:tr>
      <w:tr w:rsidR="00540A8D" w:rsidRPr="00306C02" w14:paraId="0FFDE9DF" w14:textId="77777777" w:rsidTr="00D157AF">
        <w:trPr>
          <w:cantSplit/>
          <w:trHeight w:val="259"/>
        </w:trPr>
        <w:tc>
          <w:tcPr>
            <w:tcW w:w="747" w:type="dxa"/>
            <w:tcBorders>
              <w:top w:val="single" w:sz="6" w:space="0" w:color="000000"/>
              <w:left w:val="single" w:sz="6" w:space="0" w:color="000000"/>
              <w:bottom w:val="single" w:sz="6" w:space="0" w:color="000000"/>
              <w:right w:val="single" w:sz="6" w:space="0" w:color="000000"/>
            </w:tcBorders>
            <w:vAlign w:val="center"/>
          </w:tcPr>
          <w:p w14:paraId="2CF97E7F" w14:textId="4942037D" w:rsidR="00540A8D" w:rsidRPr="00306C02" w:rsidRDefault="00540A8D" w:rsidP="00D157AF">
            <w:pPr>
              <w:jc w:val="center"/>
              <w:rPr>
                <w:rFonts w:cs="Arial"/>
              </w:rPr>
            </w:pPr>
            <w:r>
              <w:rPr>
                <w:rFonts w:cs="Arial"/>
              </w:rPr>
              <w:t>5.</w:t>
            </w:r>
          </w:p>
        </w:tc>
        <w:tc>
          <w:tcPr>
            <w:tcW w:w="5774" w:type="dxa"/>
            <w:tcBorders>
              <w:top w:val="single" w:sz="6" w:space="0" w:color="000000"/>
              <w:left w:val="single" w:sz="6" w:space="0" w:color="000000"/>
              <w:bottom w:val="single" w:sz="6" w:space="0" w:color="000000"/>
              <w:right w:val="single" w:sz="6" w:space="0" w:color="000000"/>
            </w:tcBorders>
          </w:tcPr>
          <w:p w14:paraId="7A7693AB" w14:textId="24478EC1" w:rsidR="00540A8D" w:rsidRPr="00723193" w:rsidRDefault="00540A8D" w:rsidP="00B74252">
            <w:pPr>
              <w:pStyle w:val="Default"/>
              <w:rPr>
                <w:sz w:val="20"/>
                <w:szCs w:val="20"/>
              </w:rPr>
            </w:pPr>
            <w:r w:rsidRPr="00540A8D">
              <w:rPr>
                <w:sz w:val="20"/>
                <w:szCs w:val="20"/>
              </w:rPr>
              <w:t>Soubor strojů, zařízení a inventáře (vč. DDHM, včetně věcí vedených v operativní evidenci a věcí na účtu spotřeby materiálu a měřící techniky VOV)</w:t>
            </w:r>
          </w:p>
        </w:tc>
        <w:tc>
          <w:tcPr>
            <w:tcW w:w="2693" w:type="dxa"/>
            <w:tcBorders>
              <w:top w:val="single" w:sz="6" w:space="0" w:color="000000"/>
              <w:left w:val="single" w:sz="6" w:space="0" w:color="000000"/>
              <w:bottom w:val="single" w:sz="6" w:space="0" w:color="000000"/>
              <w:right w:val="single" w:sz="6" w:space="0" w:color="000000"/>
            </w:tcBorders>
            <w:vAlign w:val="center"/>
          </w:tcPr>
          <w:p w14:paraId="320BF68A" w14:textId="3C2A1598" w:rsidR="00540A8D" w:rsidRPr="002657CE" w:rsidRDefault="002657CE" w:rsidP="00B74252">
            <w:pPr>
              <w:jc w:val="center"/>
              <w:rPr>
                <w:rFonts w:cs="Arial"/>
              </w:rPr>
            </w:pPr>
            <w:r>
              <w:rPr>
                <w:rFonts w:cs="Arial"/>
              </w:rPr>
              <w:t>2 992 000 000,-</w:t>
            </w:r>
          </w:p>
        </w:tc>
      </w:tr>
      <w:tr w:rsidR="00540A8D" w:rsidRPr="00306C02" w14:paraId="206B01D6" w14:textId="77777777" w:rsidTr="00D157AF">
        <w:trPr>
          <w:cantSplit/>
          <w:trHeight w:val="259"/>
        </w:trPr>
        <w:tc>
          <w:tcPr>
            <w:tcW w:w="747" w:type="dxa"/>
            <w:tcBorders>
              <w:top w:val="single" w:sz="6" w:space="0" w:color="000000"/>
              <w:left w:val="single" w:sz="6" w:space="0" w:color="000000"/>
              <w:bottom w:val="single" w:sz="6" w:space="0" w:color="000000"/>
              <w:right w:val="single" w:sz="6" w:space="0" w:color="000000"/>
            </w:tcBorders>
            <w:vAlign w:val="center"/>
          </w:tcPr>
          <w:p w14:paraId="426FFD2C" w14:textId="268D4455" w:rsidR="00540A8D" w:rsidRPr="00306C02" w:rsidRDefault="00540A8D" w:rsidP="00D157AF">
            <w:pPr>
              <w:jc w:val="center"/>
              <w:rPr>
                <w:rFonts w:cs="Arial"/>
              </w:rPr>
            </w:pPr>
            <w:r>
              <w:rPr>
                <w:rFonts w:cs="Arial"/>
              </w:rPr>
              <w:t>6.</w:t>
            </w:r>
          </w:p>
        </w:tc>
        <w:tc>
          <w:tcPr>
            <w:tcW w:w="5774" w:type="dxa"/>
            <w:tcBorders>
              <w:top w:val="single" w:sz="6" w:space="0" w:color="000000"/>
              <w:left w:val="single" w:sz="6" w:space="0" w:color="000000"/>
              <w:bottom w:val="single" w:sz="6" w:space="0" w:color="000000"/>
              <w:right w:val="single" w:sz="6" w:space="0" w:color="000000"/>
            </w:tcBorders>
          </w:tcPr>
          <w:p w14:paraId="5D504FA8" w14:textId="5FF93BC8" w:rsidR="00540A8D" w:rsidRPr="00723193" w:rsidRDefault="00540A8D" w:rsidP="00B74252">
            <w:pPr>
              <w:pStyle w:val="Default"/>
              <w:rPr>
                <w:sz w:val="20"/>
                <w:szCs w:val="20"/>
              </w:rPr>
            </w:pPr>
            <w:r w:rsidRPr="00540A8D">
              <w:rPr>
                <w:sz w:val="20"/>
                <w:szCs w:val="20"/>
              </w:rPr>
              <w:t>Soubor vlastních zásob</w:t>
            </w:r>
          </w:p>
        </w:tc>
        <w:tc>
          <w:tcPr>
            <w:tcW w:w="2693" w:type="dxa"/>
            <w:tcBorders>
              <w:top w:val="single" w:sz="6" w:space="0" w:color="000000"/>
              <w:left w:val="single" w:sz="6" w:space="0" w:color="000000"/>
              <w:bottom w:val="single" w:sz="6" w:space="0" w:color="000000"/>
              <w:right w:val="single" w:sz="6" w:space="0" w:color="000000"/>
            </w:tcBorders>
            <w:vAlign w:val="center"/>
          </w:tcPr>
          <w:p w14:paraId="6D0CD597" w14:textId="6C238D6E" w:rsidR="00540A8D" w:rsidRPr="002657CE" w:rsidRDefault="002657CE" w:rsidP="00B74252">
            <w:pPr>
              <w:jc w:val="center"/>
              <w:rPr>
                <w:rFonts w:cs="Arial"/>
              </w:rPr>
            </w:pPr>
            <w:r>
              <w:rPr>
                <w:rFonts w:cs="Arial"/>
              </w:rPr>
              <w:t>15 000 000,-</w:t>
            </w:r>
          </w:p>
        </w:tc>
      </w:tr>
      <w:tr w:rsidR="00540A8D" w:rsidRPr="00306C02" w14:paraId="15AAF2DF" w14:textId="77777777" w:rsidTr="00D157AF">
        <w:trPr>
          <w:cantSplit/>
          <w:trHeight w:val="259"/>
        </w:trPr>
        <w:tc>
          <w:tcPr>
            <w:tcW w:w="747" w:type="dxa"/>
            <w:tcBorders>
              <w:top w:val="single" w:sz="6" w:space="0" w:color="000000"/>
              <w:left w:val="single" w:sz="6" w:space="0" w:color="000000"/>
              <w:bottom w:val="single" w:sz="6" w:space="0" w:color="000000"/>
              <w:right w:val="single" w:sz="6" w:space="0" w:color="000000"/>
            </w:tcBorders>
            <w:vAlign w:val="center"/>
          </w:tcPr>
          <w:p w14:paraId="43027FD6" w14:textId="0B5D8BF3" w:rsidR="00540A8D" w:rsidRPr="00306C02" w:rsidRDefault="00540A8D" w:rsidP="00D157AF">
            <w:pPr>
              <w:jc w:val="center"/>
              <w:rPr>
                <w:rFonts w:cs="Arial"/>
              </w:rPr>
            </w:pPr>
            <w:r>
              <w:rPr>
                <w:rFonts w:cs="Arial"/>
              </w:rPr>
              <w:t>7.</w:t>
            </w:r>
          </w:p>
        </w:tc>
        <w:tc>
          <w:tcPr>
            <w:tcW w:w="5774" w:type="dxa"/>
            <w:tcBorders>
              <w:top w:val="single" w:sz="6" w:space="0" w:color="000000"/>
              <w:left w:val="single" w:sz="6" w:space="0" w:color="000000"/>
              <w:bottom w:val="single" w:sz="6" w:space="0" w:color="000000"/>
              <w:right w:val="single" w:sz="6" w:space="0" w:color="000000"/>
            </w:tcBorders>
          </w:tcPr>
          <w:p w14:paraId="3AEF8EEE" w14:textId="77777777" w:rsidR="00540A8D" w:rsidRDefault="00540A8D" w:rsidP="00B74252">
            <w:pPr>
              <w:pStyle w:val="Default"/>
              <w:rPr>
                <w:sz w:val="20"/>
                <w:szCs w:val="20"/>
              </w:rPr>
            </w:pPr>
            <w:r w:rsidRPr="00540A8D">
              <w:rPr>
                <w:sz w:val="20"/>
                <w:szCs w:val="20"/>
              </w:rPr>
              <w:t>Nedokončený dlouhodobý hmotný majetek (DHM) před jeho uvedením do užívání</w:t>
            </w:r>
          </w:p>
          <w:p w14:paraId="51EF182C" w14:textId="45545BEA" w:rsidR="002657CE" w:rsidRPr="00723193" w:rsidRDefault="002657CE" w:rsidP="00B74252">
            <w:pPr>
              <w:pStyle w:val="Default"/>
              <w:rPr>
                <w:sz w:val="20"/>
                <w:szCs w:val="20"/>
              </w:rPr>
            </w:pPr>
            <w:r w:rsidRPr="002657CE">
              <w:rPr>
                <w:i/>
                <w:iCs/>
                <w:sz w:val="16"/>
              </w:rPr>
              <w:t>Limit pojistného plnění pro jednu a všechny pojistné události</w:t>
            </w:r>
          </w:p>
        </w:tc>
        <w:tc>
          <w:tcPr>
            <w:tcW w:w="2693" w:type="dxa"/>
            <w:tcBorders>
              <w:top w:val="single" w:sz="6" w:space="0" w:color="000000"/>
              <w:left w:val="single" w:sz="6" w:space="0" w:color="000000"/>
              <w:bottom w:val="single" w:sz="6" w:space="0" w:color="000000"/>
              <w:right w:val="single" w:sz="6" w:space="0" w:color="000000"/>
            </w:tcBorders>
            <w:vAlign w:val="center"/>
          </w:tcPr>
          <w:p w14:paraId="5C7F2B3F" w14:textId="629F61A5" w:rsidR="00540A8D" w:rsidRPr="002657CE" w:rsidRDefault="002657CE" w:rsidP="00B74252">
            <w:pPr>
              <w:jc w:val="center"/>
              <w:rPr>
                <w:rFonts w:cs="Arial"/>
              </w:rPr>
            </w:pPr>
            <w:r>
              <w:rPr>
                <w:rFonts w:cs="Arial"/>
              </w:rPr>
              <w:t>10 000 000,-</w:t>
            </w:r>
          </w:p>
        </w:tc>
      </w:tr>
      <w:tr w:rsidR="00540A8D" w:rsidRPr="00306C02" w14:paraId="4B8E2848" w14:textId="77777777" w:rsidTr="00D157AF">
        <w:trPr>
          <w:cantSplit/>
          <w:trHeight w:val="259"/>
        </w:trPr>
        <w:tc>
          <w:tcPr>
            <w:tcW w:w="747" w:type="dxa"/>
            <w:tcBorders>
              <w:top w:val="single" w:sz="6" w:space="0" w:color="000000"/>
              <w:left w:val="single" w:sz="6" w:space="0" w:color="000000"/>
              <w:bottom w:val="single" w:sz="6" w:space="0" w:color="000000"/>
              <w:right w:val="single" w:sz="6" w:space="0" w:color="000000"/>
            </w:tcBorders>
            <w:vAlign w:val="center"/>
          </w:tcPr>
          <w:p w14:paraId="41CD9891" w14:textId="7A4048AD" w:rsidR="00540A8D" w:rsidRPr="00306C02" w:rsidRDefault="00540A8D" w:rsidP="00D157AF">
            <w:pPr>
              <w:jc w:val="center"/>
              <w:rPr>
                <w:rFonts w:cs="Arial"/>
              </w:rPr>
            </w:pPr>
            <w:r>
              <w:rPr>
                <w:rFonts w:cs="Arial"/>
              </w:rPr>
              <w:t>8.</w:t>
            </w:r>
          </w:p>
        </w:tc>
        <w:tc>
          <w:tcPr>
            <w:tcW w:w="5774" w:type="dxa"/>
            <w:tcBorders>
              <w:top w:val="single" w:sz="6" w:space="0" w:color="000000"/>
              <w:left w:val="single" w:sz="6" w:space="0" w:color="000000"/>
              <w:bottom w:val="single" w:sz="6" w:space="0" w:color="000000"/>
              <w:right w:val="single" w:sz="6" w:space="0" w:color="000000"/>
            </w:tcBorders>
          </w:tcPr>
          <w:p w14:paraId="7F6477AC" w14:textId="77777777" w:rsidR="00540A8D" w:rsidRDefault="00540A8D" w:rsidP="00B74252">
            <w:pPr>
              <w:pStyle w:val="Default"/>
              <w:rPr>
                <w:sz w:val="20"/>
                <w:szCs w:val="20"/>
              </w:rPr>
            </w:pPr>
            <w:r w:rsidRPr="00540A8D">
              <w:rPr>
                <w:sz w:val="20"/>
                <w:szCs w:val="20"/>
              </w:rPr>
              <w:t xml:space="preserve">Náklady na odstranění věci, vyklizení, odvoz suti </w:t>
            </w:r>
          </w:p>
          <w:p w14:paraId="0762D0CA" w14:textId="4C500608" w:rsidR="002657CE" w:rsidRPr="00723193" w:rsidRDefault="002657CE" w:rsidP="00B74252">
            <w:pPr>
              <w:pStyle w:val="Default"/>
              <w:rPr>
                <w:sz w:val="20"/>
                <w:szCs w:val="20"/>
              </w:rPr>
            </w:pPr>
            <w:r w:rsidRPr="002657CE">
              <w:rPr>
                <w:i/>
                <w:iCs/>
                <w:sz w:val="16"/>
              </w:rPr>
              <w:t>Limit pojistného plnění pro jednu a všechny pojistné události</w:t>
            </w:r>
          </w:p>
        </w:tc>
        <w:tc>
          <w:tcPr>
            <w:tcW w:w="2693" w:type="dxa"/>
            <w:tcBorders>
              <w:top w:val="single" w:sz="6" w:space="0" w:color="000000"/>
              <w:left w:val="single" w:sz="6" w:space="0" w:color="000000"/>
              <w:bottom w:val="single" w:sz="6" w:space="0" w:color="000000"/>
              <w:right w:val="single" w:sz="6" w:space="0" w:color="000000"/>
            </w:tcBorders>
            <w:vAlign w:val="center"/>
          </w:tcPr>
          <w:p w14:paraId="74F08E40" w14:textId="72FD550B" w:rsidR="00540A8D" w:rsidRPr="002657CE" w:rsidRDefault="002657CE" w:rsidP="00B74252">
            <w:pPr>
              <w:jc w:val="center"/>
              <w:rPr>
                <w:rFonts w:cs="Arial"/>
              </w:rPr>
            </w:pPr>
            <w:r>
              <w:rPr>
                <w:rFonts w:cs="Arial"/>
              </w:rPr>
              <w:t>10 000 000,-</w:t>
            </w:r>
          </w:p>
        </w:tc>
      </w:tr>
      <w:tr w:rsidR="00A36B1D" w:rsidRPr="00306C02" w14:paraId="3A3EE50E" w14:textId="77777777" w:rsidTr="00D157AF">
        <w:trPr>
          <w:cantSplit/>
          <w:trHeight w:val="259"/>
        </w:trPr>
        <w:tc>
          <w:tcPr>
            <w:tcW w:w="747" w:type="dxa"/>
            <w:tcBorders>
              <w:top w:val="single" w:sz="6" w:space="0" w:color="000000"/>
              <w:left w:val="single" w:sz="6" w:space="0" w:color="000000"/>
              <w:bottom w:val="single" w:sz="6" w:space="0" w:color="000000"/>
              <w:right w:val="single" w:sz="6" w:space="0" w:color="000000"/>
            </w:tcBorders>
          </w:tcPr>
          <w:p w14:paraId="0AE292EE" w14:textId="77777777" w:rsidR="00A36B1D" w:rsidRPr="00306C02" w:rsidRDefault="00A36B1D" w:rsidP="00B74252">
            <w:pPr>
              <w:jc w:val="center"/>
              <w:rPr>
                <w:rFonts w:cs="Arial"/>
              </w:rPr>
            </w:pPr>
          </w:p>
        </w:tc>
        <w:tc>
          <w:tcPr>
            <w:tcW w:w="5774" w:type="dxa"/>
            <w:tcBorders>
              <w:top w:val="single" w:sz="6" w:space="0" w:color="000000"/>
              <w:left w:val="single" w:sz="6" w:space="0" w:color="000000"/>
              <w:bottom w:val="single" w:sz="6" w:space="0" w:color="000000"/>
              <w:right w:val="single" w:sz="6" w:space="0" w:color="000000"/>
            </w:tcBorders>
          </w:tcPr>
          <w:p w14:paraId="312B793F" w14:textId="77777777" w:rsidR="00A36B1D" w:rsidRPr="00306C02" w:rsidRDefault="00A36B1D" w:rsidP="00B74252">
            <w:pPr>
              <w:rPr>
                <w:rFonts w:cs="Arial"/>
                <w:b/>
              </w:rPr>
            </w:pPr>
            <w:r w:rsidRPr="00306C02">
              <w:rPr>
                <w:rFonts w:cs="Arial"/>
                <w:b/>
              </w:rPr>
              <w:t xml:space="preserve">Celková pojistná částka </w:t>
            </w:r>
          </w:p>
        </w:tc>
        <w:tc>
          <w:tcPr>
            <w:tcW w:w="2693" w:type="dxa"/>
            <w:tcBorders>
              <w:top w:val="single" w:sz="6" w:space="0" w:color="000000"/>
              <w:left w:val="single" w:sz="6" w:space="0" w:color="000000"/>
              <w:bottom w:val="single" w:sz="6" w:space="0" w:color="000000"/>
              <w:right w:val="single" w:sz="6" w:space="0" w:color="000000"/>
            </w:tcBorders>
            <w:vAlign w:val="center"/>
          </w:tcPr>
          <w:p w14:paraId="6BD735FC" w14:textId="3DE8F243" w:rsidR="00A36B1D" w:rsidRPr="00306C02" w:rsidRDefault="002657CE" w:rsidP="00B74252">
            <w:pPr>
              <w:jc w:val="center"/>
              <w:rPr>
                <w:rFonts w:cs="Arial"/>
                <w:b/>
              </w:rPr>
            </w:pPr>
            <w:r>
              <w:rPr>
                <w:rFonts w:cs="Arial"/>
                <w:b/>
              </w:rPr>
              <w:t>7 140 700 000</w:t>
            </w:r>
            <w:r w:rsidR="00A90149">
              <w:rPr>
                <w:rFonts w:cs="Arial"/>
                <w:b/>
              </w:rPr>
              <w:t>,-</w:t>
            </w:r>
          </w:p>
        </w:tc>
      </w:tr>
      <w:tr w:rsidR="00A36B1D" w:rsidRPr="00306C02" w14:paraId="2CB80FE0" w14:textId="77777777" w:rsidTr="00D157AF">
        <w:trPr>
          <w:cantSplit/>
          <w:trHeight w:val="65"/>
        </w:trPr>
        <w:tc>
          <w:tcPr>
            <w:tcW w:w="9214" w:type="dxa"/>
            <w:gridSpan w:val="3"/>
            <w:tcBorders>
              <w:top w:val="single" w:sz="6" w:space="0" w:color="000000"/>
              <w:left w:val="single" w:sz="6" w:space="0" w:color="000000"/>
              <w:bottom w:val="single" w:sz="6" w:space="0" w:color="000000"/>
              <w:right w:val="single" w:sz="6" w:space="0" w:color="000000"/>
            </w:tcBorders>
            <w:shd w:val="pct5" w:color="auto" w:fill="auto"/>
          </w:tcPr>
          <w:p w14:paraId="19E62221" w14:textId="77777777" w:rsidR="00A36B1D" w:rsidRPr="00306C02" w:rsidRDefault="00A36B1D" w:rsidP="00B74252">
            <w:pPr>
              <w:jc w:val="center"/>
              <w:rPr>
                <w:rFonts w:cs="Arial"/>
                <w:color w:val="000000"/>
              </w:rPr>
            </w:pPr>
          </w:p>
        </w:tc>
      </w:tr>
      <w:tr w:rsidR="00A36B1D" w:rsidRPr="00306C02" w14:paraId="6AB7CD54" w14:textId="77777777" w:rsidTr="00D157AF">
        <w:trPr>
          <w:cantSplit/>
          <w:trHeight w:val="259"/>
        </w:trPr>
        <w:tc>
          <w:tcPr>
            <w:tcW w:w="6521" w:type="dxa"/>
            <w:gridSpan w:val="2"/>
            <w:tcBorders>
              <w:top w:val="single" w:sz="6" w:space="0" w:color="000000"/>
              <w:left w:val="single" w:sz="6" w:space="0" w:color="000000"/>
              <w:bottom w:val="single" w:sz="6" w:space="0" w:color="000000"/>
              <w:right w:val="single" w:sz="6" w:space="0" w:color="000000"/>
            </w:tcBorders>
          </w:tcPr>
          <w:p w14:paraId="2C45CD95" w14:textId="77777777" w:rsidR="00A36B1D" w:rsidRPr="00306C02" w:rsidRDefault="00A36B1D" w:rsidP="00B74252">
            <w:pPr>
              <w:rPr>
                <w:rFonts w:cs="Arial"/>
                <w:b/>
                <w:color w:val="000000"/>
              </w:rPr>
            </w:pPr>
            <w:r w:rsidRPr="00306C02">
              <w:rPr>
                <w:rFonts w:cs="Arial"/>
              </w:rPr>
              <w:t>Spoluúčast z každé škody (Kč)</w:t>
            </w:r>
          </w:p>
        </w:tc>
        <w:tc>
          <w:tcPr>
            <w:tcW w:w="2693" w:type="dxa"/>
            <w:tcBorders>
              <w:top w:val="single" w:sz="6" w:space="0" w:color="000000"/>
              <w:left w:val="single" w:sz="6" w:space="0" w:color="000000"/>
              <w:bottom w:val="single" w:sz="6" w:space="0" w:color="000000"/>
              <w:right w:val="single" w:sz="6" w:space="0" w:color="000000"/>
            </w:tcBorders>
            <w:vAlign w:val="center"/>
          </w:tcPr>
          <w:p w14:paraId="0CEC925E" w14:textId="6AEC5DFC" w:rsidR="00A36B1D" w:rsidRPr="00306C02" w:rsidRDefault="002657CE" w:rsidP="00B74252">
            <w:pPr>
              <w:jc w:val="center"/>
              <w:rPr>
                <w:rFonts w:cs="Arial"/>
                <w:color w:val="000000"/>
              </w:rPr>
            </w:pPr>
            <w:r>
              <w:rPr>
                <w:rFonts w:cs="Arial"/>
                <w:color w:val="000000"/>
              </w:rPr>
              <w:t>1 000 0</w:t>
            </w:r>
            <w:r w:rsidR="00306C02" w:rsidRPr="00306C02">
              <w:rPr>
                <w:rFonts w:cs="Arial"/>
                <w:color w:val="000000"/>
              </w:rPr>
              <w:t>00</w:t>
            </w:r>
            <w:r w:rsidR="00713A58">
              <w:rPr>
                <w:rFonts w:cs="Arial"/>
                <w:color w:val="000000"/>
              </w:rPr>
              <w:t>,-</w:t>
            </w:r>
          </w:p>
        </w:tc>
      </w:tr>
    </w:tbl>
    <w:p w14:paraId="284CFDA9" w14:textId="79B678E0" w:rsidR="008531EF" w:rsidRDefault="008531EF" w:rsidP="00A36B1D">
      <w:pPr>
        <w:widowControl w:val="0"/>
        <w:jc w:val="center"/>
        <w:rPr>
          <w:b/>
          <w:caps/>
          <w:sz w:val="24"/>
        </w:rPr>
      </w:pPr>
    </w:p>
    <w:p w14:paraId="37A4EF5B" w14:textId="77777777" w:rsidR="00415C2B" w:rsidRDefault="00415C2B" w:rsidP="00415C2B">
      <w:pPr>
        <w:jc w:val="center"/>
        <w:rPr>
          <w:rFonts w:cs="Arial"/>
          <w:b/>
          <w:caps/>
          <w:sz w:val="22"/>
          <w:szCs w:val="22"/>
        </w:rPr>
      </w:pPr>
    </w:p>
    <w:p w14:paraId="60EF0CB1" w14:textId="6B5504C5" w:rsidR="00A36B1D" w:rsidRPr="00306C02" w:rsidRDefault="00A36B1D" w:rsidP="00415C2B">
      <w:pPr>
        <w:jc w:val="center"/>
        <w:rPr>
          <w:rFonts w:cs="Arial"/>
          <w:b/>
          <w:caps/>
          <w:sz w:val="22"/>
          <w:szCs w:val="22"/>
        </w:rPr>
      </w:pPr>
      <w:r w:rsidRPr="00306C02">
        <w:rPr>
          <w:rFonts w:cs="Arial"/>
          <w:b/>
          <w:caps/>
          <w:sz w:val="22"/>
          <w:szCs w:val="22"/>
        </w:rPr>
        <w:t>S P E C I F I K A C E</w:t>
      </w:r>
    </w:p>
    <w:p w14:paraId="4DC6C954" w14:textId="77777777" w:rsidR="00A36B1D" w:rsidRPr="00306C02" w:rsidRDefault="00A36B1D" w:rsidP="00A36B1D">
      <w:pPr>
        <w:widowControl w:val="0"/>
        <w:jc w:val="center"/>
        <w:rPr>
          <w:rFonts w:cs="Arial"/>
          <w:b/>
          <w:caps/>
          <w:sz w:val="22"/>
          <w:szCs w:val="22"/>
        </w:rPr>
      </w:pPr>
      <w:r w:rsidRPr="00306C02">
        <w:rPr>
          <w:rFonts w:cs="Arial"/>
          <w:b/>
          <w:caps/>
          <w:sz w:val="22"/>
          <w:szCs w:val="22"/>
        </w:rPr>
        <w:t>pojistné částky</w:t>
      </w:r>
    </w:p>
    <w:p w14:paraId="5E266BFD" w14:textId="77777777" w:rsidR="00A36B1D" w:rsidRPr="00306C02" w:rsidRDefault="00A36B1D" w:rsidP="00A36B1D">
      <w:pPr>
        <w:spacing w:before="120" w:after="60"/>
        <w:jc w:val="center"/>
        <w:rPr>
          <w:rFonts w:cs="Arial"/>
          <w:b/>
        </w:rPr>
      </w:pPr>
      <w:r w:rsidRPr="00306C02">
        <w:rPr>
          <w:rFonts w:cs="Arial"/>
          <w:b/>
        </w:rPr>
        <w:t>Pojištění přerušení provozu – pojištění násilností (</w:t>
      </w:r>
      <w:r w:rsidRPr="00306C02">
        <w:rPr>
          <w:rFonts w:cs="Arial"/>
          <w:b/>
          <w:snapToGrid w:val="0"/>
          <w:lang w:eastAsia="en-US"/>
        </w:rPr>
        <w:t>PTS 01-05/2017)</w:t>
      </w:r>
    </w:p>
    <w:tbl>
      <w:tblPr>
        <w:tblW w:w="9214" w:type="dxa"/>
        <w:tblInd w:w="-8" w:type="dxa"/>
        <w:tblLayout w:type="fixed"/>
        <w:tblCellMar>
          <w:left w:w="30" w:type="dxa"/>
          <w:right w:w="30" w:type="dxa"/>
        </w:tblCellMar>
        <w:tblLook w:val="0000" w:firstRow="0" w:lastRow="0" w:firstColumn="0" w:lastColumn="0" w:noHBand="0" w:noVBand="0"/>
      </w:tblPr>
      <w:tblGrid>
        <w:gridCol w:w="605"/>
        <w:gridCol w:w="5916"/>
        <w:gridCol w:w="2693"/>
      </w:tblGrid>
      <w:tr w:rsidR="00A36B1D" w:rsidRPr="00306C02" w14:paraId="1B48A8DF" w14:textId="77777777" w:rsidTr="009B4A7F">
        <w:trPr>
          <w:cantSplit/>
          <w:trHeight w:val="259"/>
        </w:trPr>
        <w:tc>
          <w:tcPr>
            <w:tcW w:w="605" w:type="dxa"/>
            <w:tcBorders>
              <w:top w:val="single" w:sz="6" w:space="0" w:color="000000"/>
              <w:left w:val="single" w:sz="6" w:space="0" w:color="000000"/>
              <w:bottom w:val="single" w:sz="6" w:space="0" w:color="000000"/>
              <w:right w:val="single" w:sz="6" w:space="0" w:color="000000"/>
            </w:tcBorders>
          </w:tcPr>
          <w:p w14:paraId="0309A5E6" w14:textId="77777777" w:rsidR="00A36B1D" w:rsidRPr="00306C02" w:rsidRDefault="00A36B1D" w:rsidP="00B74252">
            <w:pPr>
              <w:jc w:val="center"/>
              <w:rPr>
                <w:rFonts w:cs="Arial"/>
              </w:rPr>
            </w:pPr>
            <w:r w:rsidRPr="00306C02">
              <w:rPr>
                <w:rFonts w:cs="Arial"/>
              </w:rPr>
              <w:t>1.</w:t>
            </w:r>
          </w:p>
        </w:tc>
        <w:tc>
          <w:tcPr>
            <w:tcW w:w="5916" w:type="dxa"/>
            <w:tcBorders>
              <w:top w:val="single" w:sz="6" w:space="0" w:color="000000"/>
              <w:left w:val="single" w:sz="6" w:space="0" w:color="000000"/>
              <w:bottom w:val="single" w:sz="6" w:space="0" w:color="000000"/>
              <w:right w:val="single" w:sz="6" w:space="0" w:color="000000"/>
            </w:tcBorders>
          </w:tcPr>
          <w:p w14:paraId="242E2BFE" w14:textId="0F74E0A4" w:rsidR="00A36B1D" w:rsidRPr="00306C02" w:rsidRDefault="009B4A7F" w:rsidP="00B74252">
            <w:pPr>
              <w:rPr>
                <w:rFonts w:cs="Arial"/>
              </w:rPr>
            </w:pPr>
            <w:r w:rsidRPr="00EA5376">
              <w:t>Vícenáklady (Kč)</w:t>
            </w:r>
          </w:p>
        </w:tc>
        <w:tc>
          <w:tcPr>
            <w:tcW w:w="2693" w:type="dxa"/>
            <w:tcBorders>
              <w:top w:val="single" w:sz="6" w:space="0" w:color="000000"/>
              <w:left w:val="single" w:sz="6" w:space="0" w:color="000000"/>
              <w:bottom w:val="single" w:sz="6" w:space="0" w:color="000000"/>
              <w:right w:val="single" w:sz="6" w:space="0" w:color="000000"/>
            </w:tcBorders>
            <w:vAlign w:val="center"/>
          </w:tcPr>
          <w:p w14:paraId="1A5A7509" w14:textId="38AFF69F" w:rsidR="00A36B1D" w:rsidRPr="00306C02" w:rsidRDefault="009B4A7F" w:rsidP="00B74252">
            <w:pPr>
              <w:jc w:val="center"/>
              <w:rPr>
                <w:rFonts w:cs="Arial"/>
              </w:rPr>
            </w:pPr>
            <w:r>
              <w:rPr>
                <w:rFonts w:cs="Arial"/>
              </w:rPr>
              <w:t>20 000 000</w:t>
            </w:r>
            <w:r w:rsidR="0011251C">
              <w:rPr>
                <w:rFonts w:cs="Arial"/>
              </w:rPr>
              <w:t>,-</w:t>
            </w:r>
          </w:p>
        </w:tc>
      </w:tr>
      <w:tr w:rsidR="00A36B1D" w:rsidRPr="00306C02" w14:paraId="1B9BBE75" w14:textId="77777777" w:rsidTr="009B4A7F">
        <w:trPr>
          <w:cantSplit/>
          <w:trHeight w:val="259"/>
        </w:trPr>
        <w:tc>
          <w:tcPr>
            <w:tcW w:w="605" w:type="dxa"/>
            <w:tcBorders>
              <w:top w:val="single" w:sz="6" w:space="0" w:color="000000"/>
              <w:left w:val="single" w:sz="6" w:space="0" w:color="000000"/>
              <w:bottom w:val="single" w:sz="6" w:space="0" w:color="000000"/>
              <w:right w:val="single" w:sz="6" w:space="0" w:color="000000"/>
            </w:tcBorders>
          </w:tcPr>
          <w:p w14:paraId="1F0C0F0A" w14:textId="77777777" w:rsidR="00A36B1D" w:rsidRPr="00306C02" w:rsidRDefault="00A36B1D" w:rsidP="00B74252">
            <w:pPr>
              <w:jc w:val="center"/>
              <w:rPr>
                <w:rFonts w:cs="Arial"/>
                <w:b/>
              </w:rPr>
            </w:pPr>
          </w:p>
        </w:tc>
        <w:tc>
          <w:tcPr>
            <w:tcW w:w="5916" w:type="dxa"/>
            <w:tcBorders>
              <w:top w:val="single" w:sz="6" w:space="0" w:color="000000"/>
              <w:left w:val="single" w:sz="6" w:space="0" w:color="000000"/>
              <w:bottom w:val="single" w:sz="6" w:space="0" w:color="000000"/>
              <w:right w:val="single" w:sz="6" w:space="0" w:color="000000"/>
            </w:tcBorders>
          </w:tcPr>
          <w:p w14:paraId="2CA9A7C2" w14:textId="77777777" w:rsidR="00A36B1D" w:rsidRPr="00306C02" w:rsidRDefault="00A36B1D" w:rsidP="00B74252">
            <w:pPr>
              <w:rPr>
                <w:rFonts w:cs="Arial"/>
                <w:b/>
              </w:rPr>
            </w:pPr>
            <w:r w:rsidRPr="00306C02">
              <w:rPr>
                <w:rFonts w:cs="Arial"/>
                <w:b/>
              </w:rPr>
              <w:t>Celková roční pojistná částka (Kč)</w:t>
            </w:r>
          </w:p>
        </w:tc>
        <w:tc>
          <w:tcPr>
            <w:tcW w:w="2693" w:type="dxa"/>
            <w:tcBorders>
              <w:top w:val="single" w:sz="6" w:space="0" w:color="000000"/>
              <w:left w:val="single" w:sz="6" w:space="0" w:color="000000"/>
              <w:bottom w:val="single" w:sz="6" w:space="0" w:color="000000"/>
              <w:right w:val="single" w:sz="6" w:space="0" w:color="000000"/>
            </w:tcBorders>
            <w:vAlign w:val="center"/>
          </w:tcPr>
          <w:p w14:paraId="03958F01" w14:textId="251E0BAA" w:rsidR="00A36B1D" w:rsidRPr="00306C02" w:rsidRDefault="009B4A7F" w:rsidP="00B74252">
            <w:pPr>
              <w:jc w:val="center"/>
              <w:rPr>
                <w:rFonts w:cs="Arial"/>
                <w:b/>
              </w:rPr>
            </w:pPr>
            <w:r>
              <w:rPr>
                <w:rFonts w:cs="Arial"/>
                <w:b/>
              </w:rPr>
              <w:t>20</w:t>
            </w:r>
            <w:r w:rsidR="00F438B9">
              <w:rPr>
                <w:rFonts w:cs="Arial"/>
                <w:b/>
              </w:rPr>
              <w:t> 000 000</w:t>
            </w:r>
            <w:r w:rsidR="0011251C">
              <w:rPr>
                <w:rFonts w:cs="Arial"/>
                <w:b/>
              </w:rPr>
              <w:t>,-</w:t>
            </w:r>
          </w:p>
        </w:tc>
      </w:tr>
    </w:tbl>
    <w:p w14:paraId="40E63E9C" w14:textId="77777777" w:rsidR="00A36B1D" w:rsidRPr="00306C02" w:rsidRDefault="00A36B1D" w:rsidP="00A36B1D">
      <w:pPr>
        <w:rPr>
          <w:rFonts w:cs="Arial"/>
        </w:rPr>
      </w:pPr>
    </w:p>
    <w:tbl>
      <w:tblPr>
        <w:tblW w:w="9214" w:type="dxa"/>
        <w:tblInd w:w="-8" w:type="dxa"/>
        <w:tblLayout w:type="fixed"/>
        <w:tblLook w:val="0000" w:firstRow="0" w:lastRow="0" w:firstColumn="0" w:lastColumn="0" w:noHBand="0" w:noVBand="0"/>
      </w:tblPr>
      <w:tblGrid>
        <w:gridCol w:w="6521"/>
        <w:gridCol w:w="2693"/>
      </w:tblGrid>
      <w:tr w:rsidR="00A36B1D" w:rsidRPr="00306C02" w14:paraId="0FAF8462" w14:textId="77777777" w:rsidTr="009B4A7F">
        <w:tc>
          <w:tcPr>
            <w:tcW w:w="6521" w:type="dxa"/>
            <w:tcBorders>
              <w:top w:val="single" w:sz="6" w:space="0" w:color="auto"/>
              <w:left w:val="single" w:sz="6" w:space="0" w:color="auto"/>
              <w:right w:val="single" w:sz="6" w:space="0" w:color="auto"/>
            </w:tcBorders>
            <w:vAlign w:val="center"/>
          </w:tcPr>
          <w:p w14:paraId="5BFCB1AC" w14:textId="77777777" w:rsidR="00A36B1D" w:rsidRPr="00306C02" w:rsidRDefault="00A36B1D" w:rsidP="00B74252">
            <w:pPr>
              <w:rPr>
                <w:rFonts w:cs="Arial"/>
              </w:rPr>
            </w:pPr>
            <w:r w:rsidRPr="00306C02">
              <w:rPr>
                <w:rFonts w:cs="Arial"/>
              </w:rPr>
              <w:t xml:space="preserve">Maximální doba ručení (měsíců) </w:t>
            </w:r>
          </w:p>
        </w:tc>
        <w:tc>
          <w:tcPr>
            <w:tcW w:w="2693" w:type="dxa"/>
            <w:tcBorders>
              <w:top w:val="single" w:sz="6" w:space="0" w:color="auto"/>
              <w:left w:val="nil"/>
              <w:right w:val="single" w:sz="6" w:space="0" w:color="auto"/>
            </w:tcBorders>
            <w:vAlign w:val="center"/>
          </w:tcPr>
          <w:p w14:paraId="08390CDF" w14:textId="2DE70279" w:rsidR="00A36B1D" w:rsidRPr="00306C02" w:rsidRDefault="009B4A7F" w:rsidP="00B74252">
            <w:pPr>
              <w:jc w:val="center"/>
              <w:rPr>
                <w:rFonts w:cs="Arial"/>
              </w:rPr>
            </w:pPr>
            <w:r>
              <w:rPr>
                <w:rFonts w:cs="Arial"/>
              </w:rPr>
              <w:t>6</w:t>
            </w:r>
          </w:p>
        </w:tc>
      </w:tr>
      <w:tr w:rsidR="00A36B1D" w:rsidRPr="00306C02" w14:paraId="40ACA2CF" w14:textId="77777777" w:rsidTr="009B4A7F">
        <w:tc>
          <w:tcPr>
            <w:tcW w:w="6521" w:type="dxa"/>
            <w:tcBorders>
              <w:left w:val="single" w:sz="6" w:space="0" w:color="auto"/>
              <w:right w:val="single" w:sz="6" w:space="0" w:color="auto"/>
            </w:tcBorders>
            <w:shd w:val="pct10" w:color="auto" w:fill="FFFFFF"/>
            <w:vAlign w:val="center"/>
          </w:tcPr>
          <w:p w14:paraId="5B764E02" w14:textId="77777777" w:rsidR="00A36B1D" w:rsidRPr="00306C02" w:rsidRDefault="00A36B1D" w:rsidP="00B74252">
            <w:pPr>
              <w:rPr>
                <w:rFonts w:cs="Arial"/>
              </w:rPr>
            </w:pPr>
          </w:p>
        </w:tc>
        <w:tc>
          <w:tcPr>
            <w:tcW w:w="2693" w:type="dxa"/>
            <w:tcBorders>
              <w:left w:val="nil"/>
              <w:right w:val="single" w:sz="6" w:space="0" w:color="auto"/>
            </w:tcBorders>
            <w:shd w:val="pct10" w:color="auto" w:fill="FFFFFF"/>
            <w:vAlign w:val="center"/>
          </w:tcPr>
          <w:p w14:paraId="649B9B96" w14:textId="77777777" w:rsidR="00A36B1D" w:rsidRPr="00306C02" w:rsidRDefault="00A36B1D" w:rsidP="00B74252">
            <w:pPr>
              <w:jc w:val="center"/>
              <w:rPr>
                <w:rFonts w:cs="Arial"/>
              </w:rPr>
            </w:pPr>
          </w:p>
        </w:tc>
      </w:tr>
      <w:tr w:rsidR="00A36B1D" w:rsidRPr="00306C02" w14:paraId="7D1FA2D6" w14:textId="77777777" w:rsidTr="009B4A7F">
        <w:tc>
          <w:tcPr>
            <w:tcW w:w="6521" w:type="dxa"/>
            <w:tcBorders>
              <w:left w:val="single" w:sz="6" w:space="0" w:color="auto"/>
              <w:right w:val="single" w:sz="6" w:space="0" w:color="auto"/>
            </w:tcBorders>
            <w:vAlign w:val="center"/>
          </w:tcPr>
          <w:p w14:paraId="39EEA675" w14:textId="77777777" w:rsidR="00A36B1D" w:rsidRPr="00306C02" w:rsidRDefault="00A36B1D" w:rsidP="00B74252">
            <w:pPr>
              <w:rPr>
                <w:rFonts w:cs="Arial"/>
              </w:rPr>
            </w:pPr>
            <w:r w:rsidRPr="00306C02">
              <w:rPr>
                <w:rFonts w:cs="Arial"/>
              </w:rPr>
              <w:t xml:space="preserve">Spoluúčast z každé pojistné události </w:t>
            </w:r>
          </w:p>
        </w:tc>
        <w:tc>
          <w:tcPr>
            <w:tcW w:w="2693" w:type="dxa"/>
            <w:tcBorders>
              <w:left w:val="nil"/>
              <w:right w:val="single" w:sz="6" w:space="0" w:color="auto"/>
            </w:tcBorders>
            <w:vAlign w:val="center"/>
          </w:tcPr>
          <w:p w14:paraId="1374A661" w14:textId="6A33D1E4" w:rsidR="00A36B1D" w:rsidRPr="00306C02" w:rsidRDefault="009B4A7F" w:rsidP="00B74252">
            <w:pPr>
              <w:jc w:val="center"/>
              <w:rPr>
                <w:rFonts w:cs="Arial"/>
              </w:rPr>
            </w:pPr>
            <w:r>
              <w:rPr>
                <w:rFonts w:cs="Arial"/>
              </w:rPr>
              <w:t>168</w:t>
            </w:r>
            <w:r w:rsidR="00306C02" w:rsidRPr="00306C02">
              <w:rPr>
                <w:rFonts w:cs="Arial"/>
              </w:rPr>
              <w:t xml:space="preserve"> </w:t>
            </w:r>
            <w:r w:rsidR="00A36B1D" w:rsidRPr="00306C02">
              <w:rPr>
                <w:rFonts w:cs="Arial"/>
              </w:rPr>
              <w:t>hodin</w:t>
            </w:r>
          </w:p>
        </w:tc>
      </w:tr>
      <w:tr w:rsidR="00A36B1D" w:rsidRPr="00306C02" w14:paraId="7AFBCA76" w14:textId="77777777" w:rsidTr="009B4A7F">
        <w:tc>
          <w:tcPr>
            <w:tcW w:w="6521" w:type="dxa"/>
            <w:tcBorders>
              <w:left w:val="single" w:sz="6" w:space="0" w:color="auto"/>
              <w:right w:val="single" w:sz="6" w:space="0" w:color="auto"/>
            </w:tcBorders>
            <w:shd w:val="pct10" w:color="auto" w:fill="FFFFFF"/>
            <w:vAlign w:val="center"/>
          </w:tcPr>
          <w:p w14:paraId="41B6F682" w14:textId="77777777" w:rsidR="00A36B1D" w:rsidRPr="00306C02" w:rsidRDefault="00A36B1D" w:rsidP="00B74252">
            <w:pPr>
              <w:rPr>
                <w:rFonts w:cs="Arial"/>
              </w:rPr>
            </w:pPr>
          </w:p>
        </w:tc>
        <w:tc>
          <w:tcPr>
            <w:tcW w:w="2693" w:type="dxa"/>
            <w:tcBorders>
              <w:left w:val="nil"/>
              <w:right w:val="single" w:sz="6" w:space="0" w:color="auto"/>
            </w:tcBorders>
            <w:shd w:val="pct10" w:color="auto" w:fill="FFFFFF"/>
            <w:vAlign w:val="center"/>
          </w:tcPr>
          <w:p w14:paraId="231BC25A" w14:textId="77777777" w:rsidR="00A36B1D" w:rsidRPr="00306C02" w:rsidRDefault="00A36B1D" w:rsidP="00B74252">
            <w:pPr>
              <w:jc w:val="center"/>
              <w:rPr>
                <w:rFonts w:cs="Arial"/>
              </w:rPr>
            </w:pPr>
          </w:p>
        </w:tc>
      </w:tr>
      <w:tr w:rsidR="00A36B1D" w:rsidRPr="00306C02" w14:paraId="39CBD5B9" w14:textId="77777777" w:rsidTr="009B4A7F">
        <w:tc>
          <w:tcPr>
            <w:tcW w:w="6521" w:type="dxa"/>
            <w:tcBorders>
              <w:left w:val="single" w:sz="6" w:space="0" w:color="auto"/>
              <w:right w:val="single" w:sz="6" w:space="0" w:color="auto"/>
            </w:tcBorders>
            <w:vAlign w:val="center"/>
          </w:tcPr>
          <w:p w14:paraId="289313EB" w14:textId="77777777" w:rsidR="00A36B1D" w:rsidRPr="00306C02" w:rsidRDefault="00A36B1D" w:rsidP="00B74252">
            <w:pPr>
              <w:rPr>
                <w:rFonts w:cs="Arial"/>
              </w:rPr>
            </w:pPr>
            <w:r w:rsidRPr="00306C02">
              <w:rPr>
                <w:rFonts w:cs="Arial"/>
              </w:rPr>
              <w:t xml:space="preserve">Celková pojistná částka za dobu ručení (Kč) </w:t>
            </w:r>
          </w:p>
        </w:tc>
        <w:tc>
          <w:tcPr>
            <w:tcW w:w="2693" w:type="dxa"/>
            <w:tcBorders>
              <w:left w:val="nil"/>
              <w:right w:val="single" w:sz="6" w:space="0" w:color="auto"/>
            </w:tcBorders>
            <w:vAlign w:val="center"/>
          </w:tcPr>
          <w:p w14:paraId="2D6FEC5F" w14:textId="0F4FC413" w:rsidR="00A36B1D" w:rsidRPr="00306C02" w:rsidRDefault="009B4A7F" w:rsidP="00B74252">
            <w:pPr>
              <w:jc w:val="center"/>
              <w:rPr>
                <w:rFonts w:cs="Arial"/>
              </w:rPr>
            </w:pPr>
            <w:r>
              <w:rPr>
                <w:rFonts w:cs="Arial"/>
              </w:rPr>
              <w:t>20</w:t>
            </w:r>
            <w:r w:rsidR="00F438B9">
              <w:rPr>
                <w:rFonts w:cs="Arial"/>
              </w:rPr>
              <w:t> 000 000</w:t>
            </w:r>
            <w:r w:rsidR="0011251C">
              <w:rPr>
                <w:rFonts w:cs="Arial"/>
              </w:rPr>
              <w:t>,-</w:t>
            </w:r>
          </w:p>
        </w:tc>
      </w:tr>
      <w:tr w:rsidR="00A36B1D" w:rsidRPr="00306C02" w14:paraId="6016C07B" w14:textId="77777777" w:rsidTr="009B4A7F">
        <w:tc>
          <w:tcPr>
            <w:tcW w:w="6521" w:type="dxa"/>
            <w:tcBorders>
              <w:left w:val="single" w:sz="6" w:space="0" w:color="auto"/>
              <w:right w:val="single" w:sz="6" w:space="0" w:color="auto"/>
            </w:tcBorders>
            <w:shd w:val="pct10" w:color="auto" w:fill="FFFFFF"/>
            <w:vAlign w:val="center"/>
          </w:tcPr>
          <w:p w14:paraId="5BD2F28C" w14:textId="77777777" w:rsidR="00A36B1D" w:rsidRPr="00306C02" w:rsidRDefault="00A36B1D" w:rsidP="00B74252">
            <w:pPr>
              <w:rPr>
                <w:rFonts w:cs="Arial"/>
              </w:rPr>
            </w:pPr>
          </w:p>
        </w:tc>
        <w:tc>
          <w:tcPr>
            <w:tcW w:w="2693" w:type="dxa"/>
            <w:tcBorders>
              <w:left w:val="nil"/>
              <w:right w:val="single" w:sz="6" w:space="0" w:color="auto"/>
            </w:tcBorders>
            <w:shd w:val="pct10" w:color="auto" w:fill="FFFFFF"/>
            <w:vAlign w:val="center"/>
          </w:tcPr>
          <w:p w14:paraId="46AFC49E" w14:textId="77777777" w:rsidR="00A36B1D" w:rsidRPr="00306C02" w:rsidRDefault="00A36B1D" w:rsidP="00B74252">
            <w:pPr>
              <w:jc w:val="center"/>
              <w:rPr>
                <w:rFonts w:cs="Arial"/>
              </w:rPr>
            </w:pPr>
          </w:p>
        </w:tc>
      </w:tr>
      <w:tr w:rsidR="00A36B1D" w:rsidRPr="00A5616B" w14:paraId="0F0B79FD" w14:textId="77777777" w:rsidTr="009B4A7F">
        <w:tc>
          <w:tcPr>
            <w:tcW w:w="6521" w:type="dxa"/>
            <w:tcBorders>
              <w:left w:val="single" w:sz="6" w:space="0" w:color="auto"/>
              <w:bottom w:val="single" w:sz="6" w:space="0" w:color="auto"/>
              <w:right w:val="single" w:sz="6" w:space="0" w:color="auto"/>
            </w:tcBorders>
            <w:vAlign w:val="center"/>
          </w:tcPr>
          <w:p w14:paraId="63E31BC7" w14:textId="77777777" w:rsidR="00A36B1D" w:rsidRPr="00306C02" w:rsidRDefault="00A36B1D" w:rsidP="00B74252">
            <w:pPr>
              <w:rPr>
                <w:rFonts w:cs="Arial"/>
              </w:rPr>
            </w:pPr>
            <w:r w:rsidRPr="00306C02">
              <w:rPr>
                <w:rFonts w:cs="Arial"/>
              </w:rPr>
              <w:t xml:space="preserve">Pojištěná nebezpečí </w:t>
            </w:r>
          </w:p>
        </w:tc>
        <w:tc>
          <w:tcPr>
            <w:tcW w:w="2693" w:type="dxa"/>
            <w:tcBorders>
              <w:left w:val="nil"/>
              <w:bottom w:val="single" w:sz="6" w:space="0" w:color="auto"/>
              <w:right w:val="single" w:sz="6" w:space="0" w:color="auto"/>
            </w:tcBorders>
            <w:vAlign w:val="center"/>
          </w:tcPr>
          <w:p w14:paraId="1AAD8D1E" w14:textId="77777777" w:rsidR="00A36B1D" w:rsidRPr="00306C02" w:rsidRDefault="00A36B1D" w:rsidP="00D157AF">
            <w:pPr>
              <w:jc w:val="center"/>
              <w:rPr>
                <w:rFonts w:cs="Arial"/>
              </w:rPr>
            </w:pPr>
            <w:r w:rsidRPr="00306C02">
              <w:rPr>
                <w:rFonts w:cs="Arial"/>
              </w:rPr>
              <w:t>stejná jako u pojištění věcných škod</w:t>
            </w:r>
          </w:p>
        </w:tc>
      </w:tr>
    </w:tbl>
    <w:p w14:paraId="46539A54" w14:textId="4ACC46A1" w:rsidR="00A36B1D" w:rsidRDefault="00A36B1D" w:rsidP="00A36B1D">
      <w:pPr>
        <w:widowControl w:val="0"/>
        <w:jc w:val="center"/>
        <w:rPr>
          <w:b/>
          <w:caps/>
          <w:sz w:val="24"/>
          <w:szCs w:val="24"/>
          <w:highlight w:val="cyan"/>
        </w:rPr>
      </w:pPr>
    </w:p>
    <w:p w14:paraId="105463EE" w14:textId="77777777" w:rsidR="00A36B1D" w:rsidRPr="009E6676" w:rsidRDefault="00A36B1D" w:rsidP="00A36B1D">
      <w:pPr>
        <w:jc w:val="center"/>
        <w:rPr>
          <w:rFonts w:cs="Arial"/>
          <w:b/>
        </w:rPr>
      </w:pPr>
      <w:r w:rsidRPr="009E6676">
        <w:rPr>
          <w:rFonts w:cs="Arial"/>
          <w:b/>
        </w:rPr>
        <w:t>Limity pojistného plnění (Kč)</w:t>
      </w:r>
    </w:p>
    <w:p w14:paraId="108A6C05" w14:textId="77777777" w:rsidR="00A36B1D" w:rsidRPr="009E6676" w:rsidRDefault="00A36B1D" w:rsidP="00A36B1D">
      <w:pPr>
        <w:jc w:val="center"/>
        <w:rPr>
          <w:rFonts w:cs="Arial"/>
          <w:b/>
          <w:sz w:val="18"/>
        </w:rPr>
      </w:pPr>
      <w:r w:rsidRPr="009E6676">
        <w:rPr>
          <w:rFonts w:cs="Arial"/>
          <w:b/>
          <w:sz w:val="18"/>
        </w:rPr>
        <w:t xml:space="preserve">společné </w:t>
      </w:r>
      <w:r w:rsidRPr="009E6676">
        <w:rPr>
          <w:rFonts w:cs="Arial"/>
          <w:b/>
          <w:i/>
          <w:sz w:val="18"/>
        </w:rPr>
        <w:t xml:space="preserve">limity pojistného plnění </w:t>
      </w:r>
      <w:r w:rsidRPr="009E6676">
        <w:rPr>
          <w:rFonts w:cs="Arial"/>
          <w:b/>
          <w:sz w:val="18"/>
        </w:rPr>
        <w:t xml:space="preserve">pro pojištění věcných škod a přerušení provozu pro jednu a všechny </w:t>
      </w:r>
      <w:r w:rsidRPr="009E6676">
        <w:rPr>
          <w:rFonts w:cs="Arial"/>
          <w:b/>
          <w:i/>
          <w:sz w:val="18"/>
        </w:rPr>
        <w:t xml:space="preserve">pojistné události </w:t>
      </w:r>
      <w:r w:rsidRPr="009E6676">
        <w:rPr>
          <w:rFonts w:cs="Arial"/>
          <w:b/>
          <w:sz w:val="18"/>
        </w:rPr>
        <w:t>dohromady</w:t>
      </w:r>
    </w:p>
    <w:p w14:paraId="295EA507" w14:textId="77777777" w:rsidR="00A36B1D" w:rsidRPr="009E6676" w:rsidRDefault="00A36B1D" w:rsidP="00A36B1D">
      <w:pPr>
        <w:jc w:val="center"/>
        <w:rPr>
          <w:b/>
          <w:sz w:val="16"/>
          <w:szCs w:val="16"/>
        </w:rPr>
      </w:pPr>
    </w:p>
    <w:tbl>
      <w:tblPr>
        <w:tblW w:w="9072" w:type="dxa"/>
        <w:tblInd w:w="137" w:type="dxa"/>
        <w:tblLayout w:type="fixed"/>
        <w:tblLook w:val="0000" w:firstRow="0" w:lastRow="0" w:firstColumn="0" w:lastColumn="0" w:noHBand="0" w:noVBand="0"/>
      </w:tblPr>
      <w:tblGrid>
        <w:gridCol w:w="6379"/>
        <w:gridCol w:w="2693"/>
      </w:tblGrid>
      <w:tr w:rsidR="00A36B1D" w:rsidRPr="006075DE" w14:paraId="58F35449" w14:textId="77777777" w:rsidTr="001C100C">
        <w:tc>
          <w:tcPr>
            <w:tcW w:w="6379" w:type="dxa"/>
            <w:tcBorders>
              <w:top w:val="single" w:sz="4" w:space="0" w:color="auto"/>
              <w:left w:val="single" w:sz="4" w:space="0" w:color="auto"/>
              <w:bottom w:val="single" w:sz="4" w:space="0" w:color="auto"/>
              <w:right w:val="single" w:sz="4" w:space="0" w:color="auto"/>
            </w:tcBorders>
          </w:tcPr>
          <w:p w14:paraId="2EEDD3A3" w14:textId="5AC12126" w:rsidR="00A36B1D" w:rsidRPr="009E6676" w:rsidRDefault="00A5616B" w:rsidP="00FB6BE6">
            <w:pPr>
              <w:jc w:val="left"/>
              <w:rPr>
                <w:rFonts w:cs="Arial"/>
              </w:rPr>
            </w:pPr>
            <w:r w:rsidRPr="009E6676">
              <w:rPr>
                <w:rFonts w:cs="Arial"/>
              </w:rPr>
              <w:t>Nebezpečí</w:t>
            </w:r>
            <w:r w:rsidR="00A36B1D" w:rsidRPr="009E6676">
              <w:rPr>
                <w:rFonts w:cs="Arial"/>
              </w:rPr>
              <w:t xml:space="preserve"> terorismu</w:t>
            </w:r>
            <w:r w:rsidRPr="009E6676">
              <w:rPr>
                <w:rFonts w:cs="Arial"/>
              </w:rPr>
              <w:t xml:space="preserve"> </w:t>
            </w:r>
            <w:r w:rsidR="009B4A7F">
              <w:rPr>
                <w:rFonts w:cs="Arial"/>
              </w:rPr>
              <w:t>a sabotáž</w:t>
            </w:r>
          </w:p>
        </w:tc>
        <w:tc>
          <w:tcPr>
            <w:tcW w:w="2693" w:type="dxa"/>
            <w:tcBorders>
              <w:top w:val="single" w:sz="4" w:space="0" w:color="auto"/>
              <w:left w:val="single" w:sz="4" w:space="0" w:color="auto"/>
              <w:bottom w:val="single" w:sz="4" w:space="0" w:color="auto"/>
              <w:right w:val="single" w:sz="4" w:space="0" w:color="auto"/>
            </w:tcBorders>
            <w:vAlign w:val="center"/>
          </w:tcPr>
          <w:p w14:paraId="74DCE2BD" w14:textId="1762A0D1" w:rsidR="00A36B1D" w:rsidRPr="006075DE" w:rsidRDefault="009B4A7F" w:rsidP="00B74252">
            <w:pPr>
              <w:jc w:val="center"/>
              <w:rPr>
                <w:rFonts w:cs="Arial"/>
              </w:rPr>
            </w:pPr>
            <w:r>
              <w:rPr>
                <w:rFonts w:cs="Arial"/>
              </w:rPr>
              <w:t>500 000 000</w:t>
            </w:r>
            <w:r w:rsidR="00A36B1D" w:rsidRPr="009E6676">
              <w:rPr>
                <w:rFonts w:cs="Arial"/>
              </w:rPr>
              <w:t>,-</w:t>
            </w:r>
          </w:p>
        </w:tc>
      </w:tr>
    </w:tbl>
    <w:p w14:paraId="793863E5" w14:textId="09B1687D" w:rsidR="00A36B1D" w:rsidRDefault="00A36B1D" w:rsidP="00BE2861">
      <w:pPr>
        <w:jc w:val="center"/>
        <w:rPr>
          <w:b/>
          <w:caps/>
          <w:u w:val="single"/>
        </w:rPr>
      </w:pPr>
    </w:p>
    <w:p w14:paraId="76022700" w14:textId="4B9F0F8E" w:rsidR="00A5616B" w:rsidRDefault="00A5616B" w:rsidP="00BE2861">
      <w:pPr>
        <w:jc w:val="center"/>
        <w:rPr>
          <w:b/>
          <w:caps/>
          <w:u w:val="single"/>
        </w:rPr>
      </w:pPr>
    </w:p>
    <w:p w14:paraId="6BFFC3B3" w14:textId="5BEF6F85" w:rsidR="00EC46C8" w:rsidRPr="008B7401" w:rsidRDefault="00EC46C8" w:rsidP="00BE2861">
      <w:pPr>
        <w:jc w:val="center"/>
        <w:rPr>
          <w:b/>
          <w:caps/>
          <w:u w:val="single"/>
        </w:rPr>
      </w:pPr>
      <w:r w:rsidRPr="008B7401">
        <w:rPr>
          <w:b/>
          <w:caps/>
          <w:u w:val="single"/>
        </w:rPr>
        <w:lastRenderedPageBreak/>
        <w:t>Obecná smluvní ujednání</w:t>
      </w:r>
    </w:p>
    <w:p w14:paraId="4E039F70" w14:textId="77777777" w:rsidR="00EC46C8" w:rsidRPr="00D177D8" w:rsidRDefault="00EC46C8">
      <w:pPr>
        <w:widowControl w:val="0"/>
        <w:rPr>
          <w:sz w:val="18"/>
        </w:rPr>
      </w:pPr>
    </w:p>
    <w:p w14:paraId="7C087DCD" w14:textId="77777777" w:rsidR="00EC46C8" w:rsidRPr="00D177D8" w:rsidRDefault="00EC46C8">
      <w:pPr>
        <w:rPr>
          <w:caps/>
          <w:sz w:val="18"/>
          <w:u w:val="single"/>
        </w:rPr>
      </w:pPr>
      <w:r w:rsidRPr="00D177D8">
        <w:rPr>
          <w:caps/>
          <w:sz w:val="18"/>
          <w:u w:val="single"/>
        </w:rPr>
        <w:t>Elektronická data (Lloyd´s NMA2915)</w:t>
      </w:r>
    </w:p>
    <w:p w14:paraId="5F37F398" w14:textId="77777777" w:rsidR="00EC46C8" w:rsidRPr="00D177D8" w:rsidRDefault="00EC46C8">
      <w:pPr>
        <w:rPr>
          <w:sz w:val="18"/>
        </w:rPr>
      </w:pPr>
      <w:r w:rsidRPr="00D177D8">
        <w:rPr>
          <w:sz w:val="18"/>
        </w:rPr>
        <w:t xml:space="preserve">Bez ohledu na jakákoliv jiná ujednání této </w:t>
      </w:r>
      <w:r w:rsidRPr="00D177D8">
        <w:rPr>
          <w:i/>
          <w:sz w:val="18"/>
        </w:rPr>
        <w:t>pojistné smlouvy</w:t>
      </w:r>
      <w:r w:rsidRPr="00D177D8">
        <w:rPr>
          <w:sz w:val="18"/>
        </w:rPr>
        <w:t xml:space="preserve"> se ujednává následující:</w:t>
      </w:r>
    </w:p>
    <w:p w14:paraId="0088F0C1" w14:textId="77777777" w:rsidR="00EC46C8" w:rsidRPr="00D177D8" w:rsidRDefault="00EC46C8">
      <w:pPr>
        <w:rPr>
          <w:sz w:val="18"/>
        </w:rPr>
      </w:pPr>
    </w:p>
    <w:p w14:paraId="2088CA1F" w14:textId="77777777" w:rsidR="00EC46C8" w:rsidRPr="00D177D8" w:rsidRDefault="00EC46C8">
      <w:pPr>
        <w:numPr>
          <w:ilvl w:val="0"/>
          <w:numId w:val="6"/>
        </w:numPr>
        <w:rPr>
          <w:sz w:val="18"/>
        </w:rPr>
      </w:pPr>
      <w:r w:rsidRPr="00D177D8">
        <w:rPr>
          <w:sz w:val="18"/>
        </w:rPr>
        <w:t xml:space="preserve">Výluka elektronických dat </w:t>
      </w:r>
    </w:p>
    <w:p w14:paraId="3ABECEF8" w14:textId="77777777" w:rsidR="00EC46C8" w:rsidRPr="00D177D8" w:rsidRDefault="00EC46C8">
      <w:pPr>
        <w:rPr>
          <w:b/>
          <w:sz w:val="18"/>
        </w:rPr>
      </w:pPr>
    </w:p>
    <w:p w14:paraId="4516DEEA" w14:textId="77777777" w:rsidR="00EC46C8" w:rsidRPr="00D177D8" w:rsidRDefault="00EC46C8">
      <w:pPr>
        <w:pStyle w:val="Zkladntext"/>
        <w:numPr>
          <w:ilvl w:val="0"/>
          <w:numId w:val="8"/>
        </w:numPr>
        <w:rPr>
          <w:sz w:val="18"/>
        </w:rPr>
      </w:pPr>
      <w:r w:rsidRPr="00D177D8">
        <w:rPr>
          <w:i/>
          <w:sz w:val="18"/>
        </w:rPr>
        <w:t xml:space="preserve">Pojistitel </w:t>
      </w:r>
      <w:r w:rsidRPr="00D177D8">
        <w:rPr>
          <w:sz w:val="18"/>
        </w:rPr>
        <w:t xml:space="preserve">neposkytne pojistné plnění za ztrátu, poškození, zničení, zkreslení, vymazání, porušení  nebo změnu </w:t>
      </w:r>
      <w:r w:rsidRPr="00D177D8">
        <w:rPr>
          <w:i/>
          <w:sz w:val="18"/>
        </w:rPr>
        <w:t>elektronických dat</w:t>
      </w:r>
      <w:r w:rsidRPr="00D177D8">
        <w:rPr>
          <w:sz w:val="18"/>
        </w:rPr>
        <w:t xml:space="preserve">, která nastala z jakékoliv příčiny (včetně např. způsobení </w:t>
      </w:r>
      <w:r w:rsidRPr="00D177D8">
        <w:rPr>
          <w:i/>
          <w:sz w:val="18"/>
        </w:rPr>
        <w:t>počítačovým virem</w:t>
      </w:r>
      <w:r w:rsidRPr="00D177D8">
        <w:rPr>
          <w:sz w:val="18"/>
        </w:rPr>
        <w:t xml:space="preserve">) nebo na jakoukoliv ztrátu v důsledku nemožnosti užívat nebo omezení funkčnosti </w:t>
      </w:r>
      <w:r w:rsidRPr="00D177D8">
        <w:rPr>
          <w:i/>
          <w:sz w:val="18"/>
        </w:rPr>
        <w:t>elektronických dat</w:t>
      </w:r>
      <w:r w:rsidRPr="00D177D8">
        <w:rPr>
          <w:sz w:val="18"/>
        </w:rPr>
        <w:t xml:space="preserve">. Pojištění se rovněž nevztahuje na jakékoliv náklady či výdaje vyplývající ze shora uvedených skutečností. Pojištění se nevztahuje </w:t>
      </w:r>
      <w:r w:rsidR="006D3F52">
        <w:rPr>
          <w:sz w:val="18"/>
          <w:lang w:val="cs-CZ"/>
        </w:rPr>
        <w:t xml:space="preserve">na </w:t>
      </w:r>
      <w:r w:rsidRPr="00D177D8">
        <w:rPr>
          <w:sz w:val="18"/>
        </w:rPr>
        <w:t>uvedené případy bez ohledu na  jinou současně nebo v jiném časovém sledu působící skutečnost či příčinu.</w:t>
      </w:r>
    </w:p>
    <w:p w14:paraId="19729EDC" w14:textId="77777777" w:rsidR="00EC46C8" w:rsidRPr="00D177D8" w:rsidRDefault="00EC46C8">
      <w:pPr>
        <w:pStyle w:val="Zkladntext"/>
        <w:ind w:left="624"/>
        <w:rPr>
          <w:sz w:val="18"/>
        </w:rPr>
      </w:pPr>
      <w:r w:rsidRPr="00D177D8">
        <w:rPr>
          <w:b/>
          <w:i/>
          <w:sz w:val="18"/>
        </w:rPr>
        <w:t>Elektronickými daty</w:t>
      </w:r>
      <w:r w:rsidRPr="00D177D8">
        <w:rPr>
          <w:i/>
          <w:sz w:val="18"/>
        </w:rPr>
        <w:t xml:space="preserve"> </w:t>
      </w:r>
      <w:r w:rsidRPr="00D177D8">
        <w:rPr>
          <w:sz w:val="18"/>
        </w:rPr>
        <w:t xml:space="preserve">se rozumí skutečnosti, pojmy a informace převedené do formy použitelné pro přenos, sdělování a zpracování elektronickými  a elektromechanickými  datovými procesy nebo elektronicky ovládaným zařízením, pojem </w:t>
      </w:r>
      <w:r w:rsidRPr="00D177D8">
        <w:rPr>
          <w:i/>
          <w:sz w:val="18"/>
        </w:rPr>
        <w:t>elektronická data</w:t>
      </w:r>
      <w:r w:rsidRPr="00D177D8">
        <w:rPr>
          <w:sz w:val="18"/>
        </w:rPr>
        <w:t xml:space="preserve"> zahrnuje rovněž programy, programové vybavení a jiné kódové příkazy pro zpracování a manipulaci s daty nebo pro řízení a manipulaci s elektronicky ovládaným zařízením.      </w:t>
      </w:r>
    </w:p>
    <w:p w14:paraId="5D452E52" w14:textId="77777777" w:rsidR="00EC46C8" w:rsidRPr="00D177D8" w:rsidRDefault="00EC46C8">
      <w:pPr>
        <w:pStyle w:val="Zkladntext"/>
        <w:ind w:left="624"/>
        <w:rPr>
          <w:sz w:val="18"/>
        </w:rPr>
      </w:pPr>
      <w:r w:rsidRPr="00D177D8">
        <w:rPr>
          <w:b/>
          <w:i/>
          <w:sz w:val="18"/>
        </w:rPr>
        <w:t>Počítačovým virem</w:t>
      </w:r>
      <w:r w:rsidRPr="00D177D8">
        <w:rPr>
          <w:b/>
          <w:sz w:val="18"/>
        </w:rPr>
        <w:t xml:space="preserve"> </w:t>
      </w:r>
      <w:r w:rsidRPr="00D177D8">
        <w:rPr>
          <w:sz w:val="18"/>
        </w:rPr>
        <w:t xml:space="preserve"> se rozumí soubor rušivých, škodlivých nebo jiných neoprávněných příkazů či kódů včetně souboru neoprávněných programových či jiných příkazů či kódů, které byly v úmyslu způsobit škodu zavedeny do počítače a které se samy šíří počítačovým systémem či sítí jakéhokoliv druhu. </w:t>
      </w:r>
      <w:r w:rsidRPr="00D177D8">
        <w:rPr>
          <w:i/>
          <w:sz w:val="18"/>
        </w:rPr>
        <w:t>Počítačovým virem</w:t>
      </w:r>
      <w:r w:rsidRPr="00D177D8">
        <w:rPr>
          <w:sz w:val="18"/>
        </w:rPr>
        <w:t xml:space="preserve"> jsou např. „trojské koně“ ("Trojan Horses"), „červy“ (worms) nebo „časované či logické bomby“ ("time or logic bombs").        </w:t>
      </w:r>
      <w:r w:rsidRPr="00D177D8">
        <w:rPr>
          <w:sz w:val="18"/>
        </w:rPr>
        <w:tab/>
      </w:r>
    </w:p>
    <w:p w14:paraId="420ED5CF" w14:textId="77777777" w:rsidR="00EC46C8" w:rsidRPr="00D177D8" w:rsidRDefault="00EC46C8">
      <w:pPr>
        <w:pStyle w:val="Zkladntext"/>
        <w:numPr>
          <w:ilvl w:val="0"/>
          <w:numId w:val="8"/>
        </w:numPr>
        <w:rPr>
          <w:sz w:val="18"/>
        </w:rPr>
      </w:pPr>
      <w:r w:rsidRPr="00D177D8">
        <w:rPr>
          <w:i/>
          <w:sz w:val="18"/>
        </w:rPr>
        <w:t xml:space="preserve">Pojistitel </w:t>
      </w:r>
      <w:r w:rsidRPr="00D177D8">
        <w:rPr>
          <w:sz w:val="18"/>
        </w:rPr>
        <w:t xml:space="preserve">však v souladu s ustanoveními </w:t>
      </w:r>
      <w:r w:rsidRPr="00D177D8">
        <w:rPr>
          <w:i/>
          <w:sz w:val="18"/>
        </w:rPr>
        <w:t xml:space="preserve">pojistné smlouvy </w:t>
      </w:r>
      <w:r w:rsidRPr="00D177D8">
        <w:rPr>
          <w:sz w:val="18"/>
        </w:rPr>
        <w:t xml:space="preserve">a </w:t>
      </w:r>
      <w:r w:rsidRPr="00D177D8">
        <w:rPr>
          <w:i/>
          <w:sz w:val="18"/>
        </w:rPr>
        <w:t>podmínek</w:t>
      </w:r>
      <w:r w:rsidRPr="00D177D8">
        <w:rPr>
          <w:sz w:val="18"/>
        </w:rPr>
        <w:t xml:space="preserve"> poskytne pojistné plnění za  </w:t>
      </w:r>
      <w:r w:rsidRPr="00D177D8">
        <w:rPr>
          <w:i/>
          <w:sz w:val="18"/>
        </w:rPr>
        <w:t xml:space="preserve">věcnou škodu </w:t>
      </w:r>
      <w:r w:rsidRPr="00D177D8">
        <w:rPr>
          <w:sz w:val="18"/>
        </w:rPr>
        <w:t xml:space="preserve">na </w:t>
      </w:r>
      <w:r w:rsidRPr="00D177D8">
        <w:rPr>
          <w:i/>
          <w:sz w:val="18"/>
        </w:rPr>
        <w:t>pojištěných věcech</w:t>
      </w:r>
      <w:r w:rsidRPr="00D177D8">
        <w:rPr>
          <w:sz w:val="18"/>
        </w:rPr>
        <w:t xml:space="preserve">, ke které došlo v době trvání pojištění následkem </w:t>
      </w:r>
      <w:r w:rsidRPr="00D177D8">
        <w:rPr>
          <w:i/>
          <w:sz w:val="18"/>
        </w:rPr>
        <w:t>požáru</w:t>
      </w:r>
      <w:r w:rsidRPr="00D177D8">
        <w:rPr>
          <w:sz w:val="18"/>
        </w:rPr>
        <w:t xml:space="preserve"> nebo </w:t>
      </w:r>
      <w:r w:rsidRPr="00D177D8">
        <w:rPr>
          <w:i/>
          <w:sz w:val="18"/>
        </w:rPr>
        <w:t>výbuchu</w:t>
      </w:r>
      <w:r w:rsidRPr="00D177D8">
        <w:rPr>
          <w:sz w:val="18"/>
        </w:rPr>
        <w:t xml:space="preserve">, pokud tento </w:t>
      </w:r>
      <w:r w:rsidRPr="00D177D8">
        <w:rPr>
          <w:i/>
          <w:sz w:val="18"/>
        </w:rPr>
        <w:t>požár</w:t>
      </w:r>
      <w:r w:rsidRPr="00D177D8">
        <w:rPr>
          <w:sz w:val="18"/>
        </w:rPr>
        <w:t xml:space="preserve"> nebo </w:t>
      </w:r>
      <w:r w:rsidRPr="00D177D8">
        <w:rPr>
          <w:i/>
          <w:sz w:val="18"/>
        </w:rPr>
        <w:t>výbuch</w:t>
      </w:r>
      <w:r w:rsidRPr="00D177D8">
        <w:rPr>
          <w:sz w:val="18"/>
        </w:rPr>
        <w:t xml:space="preserve"> vzniknul v důsledku některé ze skutečností uvedených v </w:t>
      </w:r>
      <w:r w:rsidR="00B8750D" w:rsidRPr="00D177D8">
        <w:rPr>
          <w:sz w:val="18"/>
        </w:rPr>
        <w:t>odstavc</w:t>
      </w:r>
      <w:r w:rsidR="00B8750D">
        <w:rPr>
          <w:sz w:val="18"/>
          <w:lang w:val="cs-CZ"/>
        </w:rPr>
        <w:t>i</w:t>
      </w:r>
      <w:r w:rsidR="00B8750D" w:rsidRPr="00D177D8">
        <w:rPr>
          <w:sz w:val="18"/>
        </w:rPr>
        <w:t xml:space="preserve"> </w:t>
      </w:r>
      <w:r w:rsidRPr="00D177D8">
        <w:rPr>
          <w:sz w:val="18"/>
        </w:rPr>
        <w:t xml:space="preserve">A) výše.  </w:t>
      </w:r>
    </w:p>
    <w:p w14:paraId="4E2D2DC1" w14:textId="77777777" w:rsidR="00EC46C8" w:rsidRPr="00D177D8" w:rsidRDefault="00EC46C8">
      <w:pPr>
        <w:pStyle w:val="Zkladntext"/>
        <w:rPr>
          <w:sz w:val="18"/>
        </w:rPr>
      </w:pPr>
      <w:r w:rsidRPr="00D177D8">
        <w:rPr>
          <w:sz w:val="18"/>
        </w:rPr>
        <w:t xml:space="preserve">             </w:t>
      </w:r>
    </w:p>
    <w:p w14:paraId="364130DC" w14:textId="77777777" w:rsidR="00EC46C8" w:rsidRPr="00D177D8" w:rsidRDefault="00EC46C8">
      <w:pPr>
        <w:numPr>
          <w:ilvl w:val="0"/>
          <w:numId w:val="6"/>
        </w:numPr>
        <w:rPr>
          <w:sz w:val="18"/>
        </w:rPr>
      </w:pPr>
      <w:r w:rsidRPr="00D177D8">
        <w:rPr>
          <w:sz w:val="18"/>
        </w:rPr>
        <w:t>Pojistná hodnota nosičů elektronických dat</w:t>
      </w:r>
    </w:p>
    <w:p w14:paraId="7DFC4966" w14:textId="77777777" w:rsidR="00EC46C8" w:rsidRPr="00D177D8" w:rsidRDefault="00EC46C8">
      <w:pPr>
        <w:rPr>
          <w:sz w:val="18"/>
        </w:rPr>
      </w:pPr>
      <w:r w:rsidRPr="00D177D8">
        <w:rPr>
          <w:sz w:val="18"/>
        </w:rPr>
        <w:t xml:space="preserve"> </w:t>
      </w:r>
    </w:p>
    <w:p w14:paraId="5298DA52" w14:textId="77777777" w:rsidR="00EC46C8" w:rsidRPr="00D177D8" w:rsidRDefault="00EC46C8">
      <w:pPr>
        <w:pStyle w:val="Zkladntext"/>
        <w:ind w:left="624"/>
        <w:rPr>
          <w:sz w:val="18"/>
        </w:rPr>
      </w:pPr>
      <w:r w:rsidRPr="00D177D8">
        <w:rPr>
          <w:sz w:val="18"/>
        </w:rPr>
        <w:t xml:space="preserve">Pokud budou nosiče elektronických dat, na které se vztahuje toto pojištění a na nichž jsou uložena či zpracovávána </w:t>
      </w:r>
      <w:r w:rsidRPr="00D177D8">
        <w:rPr>
          <w:i/>
          <w:sz w:val="18"/>
        </w:rPr>
        <w:t>elektronická data</w:t>
      </w:r>
      <w:r w:rsidRPr="00D177D8">
        <w:rPr>
          <w:sz w:val="18"/>
        </w:rPr>
        <w:t xml:space="preserve">, v důsledku pojištěného nebezpečí fyzicky </w:t>
      </w:r>
      <w:r w:rsidR="001E4254" w:rsidRPr="00D177D8">
        <w:rPr>
          <w:sz w:val="18"/>
        </w:rPr>
        <w:t>zničen</w:t>
      </w:r>
      <w:r w:rsidR="001E4254">
        <w:rPr>
          <w:sz w:val="18"/>
          <w:lang w:val="cs-CZ"/>
        </w:rPr>
        <w:t>y</w:t>
      </w:r>
      <w:r w:rsidR="001E4254" w:rsidRPr="00D177D8">
        <w:rPr>
          <w:sz w:val="18"/>
        </w:rPr>
        <w:t xml:space="preserve"> </w:t>
      </w:r>
      <w:r w:rsidRPr="00D177D8">
        <w:rPr>
          <w:sz w:val="18"/>
        </w:rPr>
        <w:t xml:space="preserve">či poškozena, pak se za </w:t>
      </w:r>
      <w:r w:rsidRPr="00D177D8">
        <w:rPr>
          <w:i/>
          <w:sz w:val="18"/>
        </w:rPr>
        <w:t>pojistnou hodnotu</w:t>
      </w:r>
      <w:r w:rsidRPr="00D177D8">
        <w:rPr>
          <w:sz w:val="18"/>
        </w:rPr>
        <w:t xml:space="preserve"> těchto věcí považuje cena prázdných nosičů a nákladů nutných na reprodukci </w:t>
      </w:r>
      <w:r w:rsidRPr="00D177D8">
        <w:rPr>
          <w:i/>
          <w:sz w:val="18"/>
        </w:rPr>
        <w:t xml:space="preserve">elektronických dat </w:t>
      </w:r>
      <w:r w:rsidRPr="00D177D8">
        <w:rPr>
          <w:sz w:val="18"/>
        </w:rPr>
        <w:t xml:space="preserve">ze záložních nosičů, z původní nebo předchozí verze.  Tyto náklady však nezahrnují náklady na výzkum a vývoj ani žádné náklady na obnovu, shromažďování nebo sestavování těchto </w:t>
      </w:r>
      <w:r w:rsidRPr="00D177D8">
        <w:rPr>
          <w:i/>
          <w:sz w:val="18"/>
        </w:rPr>
        <w:t>elektronických dat</w:t>
      </w:r>
      <w:r w:rsidRPr="00D177D8">
        <w:rPr>
          <w:sz w:val="18"/>
        </w:rPr>
        <w:t xml:space="preserve">. Pokud nosiče elektronických dat nebudou </w:t>
      </w:r>
      <w:r w:rsidR="001E4254" w:rsidRPr="00D177D8">
        <w:rPr>
          <w:sz w:val="18"/>
        </w:rPr>
        <w:t>opraven</w:t>
      </w:r>
      <w:r w:rsidR="001E4254">
        <w:rPr>
          <w:sz w:val="18"/>
          <w:lang w:val="cs-CZ"/>
        </w:rPr>
        <w:t>y</w:t>
      </w:r>
      <w:r w:rsidRPr="00D177D8">
        <w:rPr>
          <w:sz w:val="18"/>
        </w:rPr>
        <w:t xml:space="preserve">, </w:t>
      </w:r>
      <w:r w:rsidR="001E4254" w:rsidRPr="00D177D8">
        <w:rPr>
          <w:sz w:val="18"/>
        </w:rPr>
        <w:t>vyměněn</w:t>
      </w:r>
      <w:r w:rsidR="001E4254">
        <w:rPr>
          <w:sz w:val="18"/>
          <w:lang w:val="cs-CZ"/>
        </w:rPr>
        <w:t>y</w:t>
      </w:r>
      <w:r w:rsidRPr="00D177D8">
        <w:rPr>
          <w:sz w:val="18"/>
        </w:rPr>
        <w:t xml:space="preserve">nebo </w:t>
      </w:r>
      <w:r w:rsidR="001E4254" w:rsidRPr="00D177D8">
        <w:rPr>
          <w:sz w:val="18"/>
        </w:rPr>
        <w:t>obnoven</w:t>
      </w:r>
      <w:r w:rsidR="001E4254">
        <w:rPr>
          <w:sz w:val="18"/>
          <w:lang w:val="cs-CZ"/>
        </w:rPr>
        <w:t>y</w:t>
      </w:r>
      <w:r w:rsidRPr="00D177D8">
        <w:rPr>
          <w:sz w:val="18"/>
        </w:rPr>
        <w:t xml:space="preserve">, za </w:t>
      </w:r>
      <w:r w:rsidRPr="00D177D8">
        <w:rPr>
          <w:i/>
          <w:sz w:val="18"/>
        </w:rPr>
        <w:t xml:space="preserve">pojistnou hodnotu </w:t>
      </w:r>
      <w:r w:rsidRPr="00D177D8">
        <w:rPr>
          <w:sz w:val="18"/>
        </w:rPr>
        <w:t xml:space="preserve">se pak bude považovat cena prázdných nosičů. Toto pojištění se však nevztahuje na jakoukoliv hodnotu, jež mají </w:t>
      </w:r>
      <w:r w:rsidRPr="00D177D8">
        <w:rPr>
          <w:i/>
          <w:sz w:val="18"/>
        </w:rPr>
        <w:t xml:space="preserve">elektronická data </w:t>
      </w:r>
      <w:r w:rsidRPr="00D177D8">
        <w:rPr>
          <w:sz w:val="18"/>
        </w:rPr>
        <w:t xml:space="preserve">pro </w:t>
      </w:r>
      <w:r w:rsidRPr="00D177D8">
        <w:rPr>
          <w:i/>
          <w:sz w:val="18"/>
        </w:rPr>
        <w:t>pojištěného</w:t>
      </w:r>
      <w:r w:rsidRPr="00D177D8">
        <w:rPr>
          <w:sz w:val="18"/>
        </w:rPr>
        <w:t xml:space="preserve"> nebo jinou osobu, a to i v případě, že </w:t>
      </w:r>
      <w:r w:rsidRPr="00D177D8">
        <w:rPr>
          <w:i/>
          <w:sz w:val="18"/>
        </w:rPr>
        <w:t>elektronická data</w:t>
      </w:r>
      <w:r w:rsidRPr="00D177D8">
        <w:rPr>
          <w:sz w:val="18"/>
        </w:rPr>
        <w:t xml:space="preserve"> nelze obnovit, znovu shromáždit či sestavit.        </w:t>
      </w:r>
    </w:p>
    <w:p w14:paraId="4CFC56D4" w14:textId="77777777" w:rsidR="00EC46C8" w:rsidRPr="00D177D8" w:rsidRDefault="00EC46C8">
      <w:pPr>
        <w:rPr>
          <w:sz w:val="18"/>
        </w:rPr>
      </w:pPr>
    </w:p>
    <w:p w14:paraId="079BD118" w14:textId="65E5160F" w:rsidR="00EC46C8" w:rsidRPr="00D177D8" w:rsidRDefault="00EC46C8">
      <w:pPr>
        <w:rPr>
          <w:caps/>
          <w:sz w:val="18"/>
          <w:u w:val="single"/>
        </w:rPr>
      </w:pPr>
      <w:r w:rsidRPr="00D177D8">
        <w:rPr>
          <w:caps/>
          <w:sz w:val="18"/>
          <w:u w:val="single"/>
        </w:rPr>
        <w:t>Výluka války (War Exclusion NMA2918)</w:t>
      </w:r>
    </w:p>
    <w:p w14:paraId="4E78B2FD" w14:textId="77777777" w:rsidR="00EC46C8" w:rsidRPr="00D177D8" w:rsidRDefault="00EC46C8">
      <w:pPr>
        <w:rPr>
          <w:sz w:val="18"/>
        </w:rPr>
      </w:pPr>
      <w:r w:rsidRPr="00D177D8">
        <w:rPr>
          <w:sz w:val="18"/>
        </w:rPr>
        <w:t xml:space="preserve">Bez ohledu na jakákoliv jiná ujednání této </w:t>
      </w:r>
      <w:r w:rsidRPr="00D177D8">
        <w:rPr>
          <w:i/>
          <w:sz w:val="18"/>
        </w:rPr>
        <w:t>pojistné smlouvy</w:t>
      </w:r>
      <w:r w:rsidRPr="00D177D8">
        <w:rPr>
          <w:sz w:val="18"/>
        </w:rPr>
        <w:t xml:space="preserve"> se ujednává následující:</w:t>
      </w:r>
    </w:p>
    <w:p w14:paraId="0777740C" w14:textId="77777777" w:rsidR="00EC46C8" w:rsidRPr="00D177D8" w:rsidRDefault="00EC46C8">
      <w:pPr>
        <w:rPr>
          <w:i/>
          <w:sz w:val="18"/>
        </w:rPr>
      </w:pPr>
    </w:p>
    <w:p w14:paraId="0CABA590" w14:textId="77777777" w:rsidR="00EC46C8" w:rsidRPr="00D177D8" w:rsidRDefault="00EC46C8">
      <w:pPr>
        <w:rPr>
          <w:sz w:val="18"/>
        </w:rPr>
      </w:pPr>
      <w:r w:rsidRPr="00D177D8">
        <w:rPr>
          <w:i/>
          <w:sz w:val="18"/>
        </w:rPr>
        <w:t xml:space="preserve">Pojistitel </w:t>
      </w:r>
      <w:r w:rsidRPr="00D177D8">
        <w:rPr>
          <w:sz w:val="18"/>
        </w:rPr>
        <w:t xml:space="preserve">neposkytne pojistné plnění za </w:t>
      </w:r>
      <w:r w:rsidR="00892EBA">
        <w:rPr>
          <w:sz w:val="18"/>
        </w:rPr>
        <w:t>újmy</w:t>
      </w:r>
      <w:r w:rsidRPr="00D177D8">
        <w:rPr>
          <w:sz w:val="18"/>
        </w:rPr>
        <w:t xml:space="preserve">, následné </w:t>
      </w:r>
      <w:r w:rsidR="00892EBA">
        <w:rPr>
          <w:sz w:val="18"/>
        </w:rPr>
        <w:t>újmy</w:t>
      </w:r>
      <w:r w:rsidRPr="00D177D8">
        <w:rPr>
          <w:sz w:val="18"/>
        </w:rPr>
        <w:t xml:space="preserve">, náklady nebo výdaje jakékoli povahy, které byly přímo či nepřímo způsobené nebo vznikly v důsledku kterékoli z níže uvedených událostí nebo v souvislosti s ní, bez ohledu na jakoukoli jinou současně nebo v jakémkoli jiném časovém sledu působící příčinu či událost, a to nehledě na jakékoli ustanovení opačného smyslu uvedené v této </w:t>
      </w:r>
      <w:r w:rsidRPr="00D177D8">
        <w:rPr>
          <w:i/>
          <w:sz w:val="18"/>
        </w:rPr>
        <w:t>pojistné smlouvě</w:t>
      </w:r>
      <w:r w:rsidRPr="00D177D8">
        <w:rPr>
          <w:sz w:val="18"/>
        </w:rPr>
        <w:t xml:space="preserve"> nebo </w:t>
      </w:r>
      <w:r w:rsidRPr="00D177D8">
        <w:rPr>
          <w:i/>
          <w:sz w:val="18"/>
        </w:rPr>
        <w:t>podmínkách</w:t>
      </w:r>
      <w:r w:rsidRPr="00D177D8">
        <w:rPr>
          <w:sz w:val="18"/>
        </w:rPr>
        <w:t>:</w:t>
      </w:r>
    </w:p>
    <w:p w14:paraId="2FFB3771" w14:textId="77777777" w:rsidR="00EC46C8" w:rsidRPr="00D177D8" w:rsidRDefault="00EC46C8">
      <w:pPr>
        <w:rPr>
          <w:sz w:val="18"/>
        </w:rPr>
      </w:pPr>
    </w:p>
    <w:p w14:paraId="538AB162" w14:textId="37855EC7" w:rsidR="00EC46C8" w:rsidRPr="00D177D8" w:rsidRDefault="00EC46C8">
      <w:pPr>
        <w:pStyle w:val="Zkladntext"/>
        <w:numPr>
          <w:ilvl w:val="0"/>
          <w:numId w:val="9"/>
        </w:numPr>
        <w:rPr>
          <w:sz w:val="18"/>
        </w:rPr>
      </w:pPr>
      <w:r w:rsidRPr="00D177D8">
        <w:rPr>
          <w:sz w:val="18"/>
        </w:rPr>
        <w:t>válka, invaze, akce zahraničního nepřítele, nepřátelské či bojové akce (ať je či není vyhlášena válka), občanská válka, vzpoura, revoluce, vzbouření, občanské nepokoje dosahující rozměrů nebo odpovídající lidovému povstání, vojenská nebo uchvácená moc</w:t>
      </w:r>
    </w:p>
    <w:p w14:paraId="0AC3D372" w14:textId="77777777" w:rsidR="00EC46C8" w:rsidRPr="00D177D8" w:rsidRDefault="00EC46C8">
      <w:pPr>
        <w:ind w:left="720" w:hanging="720"/>
        <w:rPr>
          <w:sz w:val="18"/>
        </w:rPr>
      </w:pPr>
    </w:p>
    <w:p w14:paraId="12BF2BB3" w14:textId="77777777" w:rsidR="00EC46C8" w:rsidRPr="00D177D8" w:rsidRDefault="00EC46C8">
      <w:pPr>
        <w:rPr>
          <w:sz w:val="18"/>
        </w:rPr>
      </w:pPr>
      <w:r w:rsidRPr="00D177D8">
        <w:rPr>
          <w:sz w:val="18"/>
        </w:rPr>
        <w:t>Pojem „</w:t>
      </w:r>
      <w:r w:rsidRPr="00D177D8">
        <w:rPr>
          <w:b/>
          <w:i/>
          <w:sz w:val="18"/>
        </w:rPr>
        <w:t>teroristický čin</w:t>
      </w:r>
      <w:r w:rsidRPr="00D177D8">
        <w:rPr>
          <w:sz w:val="18"/>
        </w:rPr>
        <w:t>” pro účely tohoto smluvního ujednání znamená jednání spočívající v použití síly či násilí a/nebo hrozbu jejich použití, kterého se dopustila jakákoliv osoba nebo skupina osob, ať již jednají samostatně či jménem jakékoli organizace či vlády nebo ve spojení s nimi, v souvislosti s politickými, náboženskými, ideologickými nebo podobnými cíl</w:t>
      </w:r>
      <w:r w:rsidR="00024012">
        <w:rPr>
          <w:sz w:val="18"/>
        </w:rPr>
        <w:t>i</w:t>
      </w:r>
      <w:r w:rsidRPr="00D177D8">
        <w:rPr>
          <w:sz w:val="18"/>
        </w:rPr>
        <w:t>, včetně záměru ovlivnit kteroukoli vládu a/nebo vyvolat strach u veřejnosti nebo kterékoli její části.</w:t>
      </w:r>
    </w:p>
    <w:p w14:paraId="4AFC3131" w14:textId="77777777" w:rsidR="00EC46C8" w:rsidRPr="00D177D8" w:rsidRDefault="00EC46C8">
      <w:pPr>
        <w:rPr>
          <w:sz w:val="18"/>
        </w:rPr>
      </w:pPr>
    </w:p>
    <w:p w14:paraId="47F8035C" w14:textId="1FE7526D" w:rsidR="00EC46C8" w:rsidRPr="00D177D8" w:rsidRDefault="00EC46C8">
      <w:pPr>
        <w:rPr>
          <w:sz w:val="18"/>
        </w:rPr>
      </w:pPr>
      <w:r w:rsidRPr="00D177D8">
        <w:rPr>
          <w:sz w:val="18"/>
        </w:rPr>
        <w:t xml:space="preserve">Pojištění se rovněž nevztahuje na </w:t>
      </w:r>
      <w:r w:rsidR="00892EBA">
        <w:rPr>
          <w:sz w:val="18"/>
        </w:rPr>
        <w:t>újmy</w:t>
      </w:r>
      <w:r w:rsidRPr="00D177D8">
        <w:rPr>
          <w:sz w:val="18"/>
        </w:rPr>
        <w:t xml:space="preserve">, následné </w:t>
      </w:r>
      <w:r w:rsidR="00892EBA">
        <w:rPr>
          <w:sz w:val="18"/>
        </w:rPr>
        <w:t>újmy</w:t>
      </w:r>
      <w:r w:rsidRPr="00D177D8">
        <w:rPr>
          <w:sz w:val="18"/>
        </w:rPr>
        <w:t>, náklady nebo výdaje jakékoli povahy, které byly přímo či nepřímo způsobené, zahrnují nebo vznikly v souvislosti s jakýmkoliv jednáním, které bylo učiněno v souvislosti s kontrolou, prevencí, potlačením nebo v jiné souvislosti se skutečnostmi uvedenými pod  bod</w:t>
      </w:r>
      <w:r w:rsidR="0052076E">
        <w:rPr>
          <w:sz w:val="18"/>
        </w:rPr>
        <w:t>em</w:t>
      </w:r>
      <w:r w:rsidRPr="00D177D8">
        <w:rPr>
          <w:sz w:val="18"/>
        </w:rPr>
        <w:t xml:space="preserve"> (A) výše.  </w:t>
      </w:r>
    </w:p>
    <w:p w14:paraId="10A5C31B" w14:textId="77777777" w:rsidR="00EC46C8" w:rsidRPr="00D177D8" w:rsidRDefault="00EC46C8">
      <w:pPr>
        <w:rPr>
          <w:sz w:val="18"/>
        </w:rPr>
      </w:pPr>
    </w:p>
    <w:p w14:paraId="423A9EC0" w14:textId="77777777" w:rsidR="00EC46C8" w:rsidRPr="00D177D8" w:rsidRDefault="00EC46C8">
      <w:pPr>
        <w:rPr>
          <w:sz w:val="18"/>
        </w:rPr>
      </w:pPr>
      <w:r w:rsidRPr="00D177D8">
        <w:rPr>
          <w:sz w:val="18"/>
        </w:rPr>
        <w:lastRenderedPageBreak/>
        <w:t xml:space="preserve">Pokud </w:t>
      </w:r>
      <w:r w:rsidRPr="00D177D8">
        <w:rPr>
          <w:i/>
          <w:sz w:val="18"/>
        </w:rPr>
        <w:t>pojistitel</w:t>
      </w:r>
      <w:r w:rsidRPr="00D177D8">
        <w:rPr>
          <w:sz w:val="18"/>
        </w:rPr>
        <w:t xml:space="preserve"> označí jakoukoliv </w:t>
      </w:r>
      <w:r w:rsidR="00892EBA">
        <w:rPr>
          <w:sz w:val="18"/>
        </w:rPr>
        <w:t>újmu</w:t>
      </w:r>
      <w:r w:rsidRPr="00D177D8">
        <w:rPr>
          <w:sz w:val="18"/>
        </w:rPr>
        <w:t xml:space="preserve">, následnou </w:t>
      </w:r>
      <w:r w:rsidR="00892EBA">
        <w:rPr>
          <w:sz w:val="18"/>
        </w:rPr>
        <w:t>újmu</w:t>
      </w:r>
      <w:r w:rsidRPr="00D177D8">
        <w:rPr>
          <w:sz w:val="18"/>
        </w:rPr>
        <w:t xml:space="preserve">, náklady nebo výdaje za událost, na kterou se pojištění z důvodu tohoto smluvního ujednání nevztahuje, důkazní břemeno k prokázání opaku nese </w:t>
      </w:r>
      <w:r w:rsidRPr="00D177D8">
        <w:rPr>
          <w:i/>
          <w:sz w:val="18"/>
        </w:rPr>
        <w:t>pojištěný</w:t>
      </w:r>
      <w:r w:rsidRPr="00D177D8">
        <w:rPr>
          <w:sz w:val="18"/>
        </w:rPr>
        <w:t xml:space="preserve">. </w:t>
      </w:r>
    </w:p>
    <w:p w14:paraId="5DE91193" w14:textId="77777777" w:rsidR="00EC46C8" w:rsidRPr="00D177D8" w:rsidRDefault="00EC46C8">
      <w:pPr>
        <w:rPr>
          <w:sz w:val="18"/>
        </w:rPr>
      </w:pPr>
    </w:p>
    <w:p w14:paraId="51542ED6" w14:textId="77777777" w:rsidR="00EC46C8" w:rsidRPr="00D177D8" w:rsidRDefault="00EC46C8">
      <w:pPr>
        <w:rPr>
          <w:sz w:val="18"/>
        </w:rPr>
      </w:pPr>
      <w:r w:rsidRPr="00D177D8">
        <w:rPr>
          <w:sz w:val="18"/>
        </w:rPr>
        <w:t>Pokud by se kterákoli část tohoto smluvního ujednání stala nebo byla shledána neplatnou nebo nevynutitelnou, zůstane její zbývající část plně platnou a účinnou.</w:t>
      </w:r>
    </w:p>
    <w:p w14:paraId="259599F1" w14:textId="77777777" w:rsidR="00EC46C8" w:rsidRDefault="00EC46C8" w:rsidP="00B65FF9">
      <w:pPr>
        <w:rPr>
          <w:sz w:val="18"/>
        </w:rPr>
      </w:pPr>
    </w:p>
    <w:p w14:paraId="5A7CD919" w14:textId="77777777" w:rsidR="00EE18FA" w:rsidRPr="004A1CA2" w:rsidRDefault="00EE18FA" w:rsidP="00EE18FA">
      <w:pPr>
        <w:rPr>
          <w:rFonts w:cs="Arial"/>
          <w:caps/>
          <w:sz w:val="18"/>
          <w:szCs w:val="18"/>
          <w:u w:val="single"/>
        </w:rPr>
      </w:pPr>
      <w:bookmarkStart w:id="12" w:name="_Hlk123798387"/>
      <w:r w:rsidRPr="004A1CA2">
        <w:rPr>
          <w:rFonts w:cs="Arial"/>
          <w:caps/>
          <w:sz w:val="18"/>
          <w:szCs w:val="18"/>
          <w:u w:val="single"/>
        </w:rPr>
        <w:t>VÝLUK</w:t>
      </w:r>
      <w:r>
        <w:rPr>
          <w:rFonts w:cs="Arial"/>
          <w:caps/>
          <w:sz w:val="18"/>
          <w:szCs w:val="18"/>
          <w:u w:val="single"/>
        </w:rPr>
        <w:t>A</w:t>
      </w:r>
      <w:r w:rsidRPr="004A1CA2">
        <w:rPr>
          <w:rFonts w:cs="Arial"/>
          <w:caps/>
          <w:sz w:val="18"/>
          <w:szCs w:val="18"/>
          <w:u w:val="single"/>
        </w:rPr>
        <w:t xml:space="preserve"> KYBERNETICKÝCH ZTRÁT V POJIŠTĚNÍ MAJETKU (LMA5401)</w:t>
      </w:r>
    </w:p>
    <w:p w14:paraId="02A17DBC" w14:textId="77777777" w:rsidR="00EE18FA" w:rsidRPr="004A1CA2" w:rsidRDefault="00EE18FA" w:rsidP="00EE18FA">
      <w:pPr>
        <w:pStyle w:val="Odstavecseseznamem"/>
        <w:numPr>
          <w:ilvl w:val="0"/>
          <w:numId w:val="34"/>
        </w:numPr>
        <w:contextualSpacing/>
        <w:rPr>
          <w:rFonts w:cs="Arial"/>
          <w:sz w:val="18"/>
          <w:szCs w:val="18"/>
        </w:rPr>
      </w:pPr>
      <w:r w:rsidRPr="004A1CA2">
        <w:rPr>
          <w:rFonts w:eastAsia="Calibri" w:cs="Arial"/>
          <w:sz w:val="18"/>
          <w:szCs w:val="18"/>
        </w:rPr>
        <w:t xml:space="preserve">Bez ohledu na jakékoli odchylné ustanovení pojistné smlouvy </w:t>
      </w:r>
      <w:r w:rsidRPr="004A1CA2">
        <w:rPr>
          <w:rFonts w:cs="Arial"/>
          <w:sz w:val="18"/>
          <w:szCs w:val="18"/>
        </w:rPr>
        <w:t xml:space="preserve">nebo dodatků, která mohou být s ní v rozporu, tato pojistná smlouva vylučuje: </w:t>
      </w:r>
    </w:p>
    <w:p w14:paraId="08614D1F" w14:textId="77777777" w:rsidR="00EE18FA" w:rsidRPr="004A1CA2" w:rsidRDefault="00EE18FA" w:rsidP="00EE18FA">
      <w:pPr>
        <w:pStyle w:val="Odstavecseseznamem"/>
        <w:numPr>
          <w:ilvl w:val="1"/>
          <w:numId w:val="35"/>
        </w:numPr>
        <w:contextualSpacing/>
        <w:rPr>
          <w:rFonts w:cs="Arial"/>
          <w:sz w:val="18"/>
          <w:szCs w:val="18"/>
        </w:rPr>
      </w:pPr>
      <w:r w:rsidRPr="004A1CA2">
        <w:rPr>
          <w:rFonts w:cs="Arial"/>
          <w:i/>
          <w:iCs/>
          <w:sz w:val="18"/>
          <w:szCs w:val="18"/>
        </w:rPr>
        <w:t>kybernetické ztráty</w:t>
      </w:r>
      <w:r w:rsidRPr="004A1CA2">
        <w:rPr>
          <w:rFonts w:cs="Arial"/>
          <w:sz w:val="18"/>
          <w:szCs w:val="18"/>
        </w:rPr>
        <w:t xml:space="preserve">; </w:t>
      </w:r>
    </w:p>
    <w:p w14:paraId="17D85E1B" w14:textId="77777777" w:rsidR="00EE18FA" w:rsidRPr="004A1CA2" w:rsidRDefault="00EE18FA" w:rsidP="00EE18FA">
      <w:pPr>
        <w:pStyle w:val="Odstavecseseznamem"/>
        <w:numPr>
          <w:ilvl w:val="1"/>
          <w:numId w:val="35"/>
        </w:numPr>
        <w:contextualSpacing/>
        <w:rPr>
          <w:rFonts w:cs="Arial"/>
          <w:sz w:val="18"/>
          <w:szCs w:val="18"/>
        </w:rPr>
      </w:pPr>
      <w:r w:rsidRPr="004A1CA2">
        <w:rPr>
          <w:rFonts w:cs="Arial"/>
          <w:sz w:val="18"/>
          <w:szCs w:val="18"/>
        </w:rPr>
        <w:t xml:space="preserve">ztráty, škody, odpovědnost, nároky, náklady, výdaje jakékoliv povahy přímo nebo nepřímo způsobené, přispívající, vyplývající, vzniklé v důsledku nebo v souvislosti s jakoukoliv ztrátou používání, snížením funkčnosti, opravou, výměnou, obnovou nebo reprodukcí jakýchkoliv </w:t>
      </w:r>
      <w:r w:rsidRPr="004A1CA2">
        <w:rPr>
          <w:rFonts w:cs="Arial"/>
          <w:i/>
          <w:iCs/>
          <w:sz w:val="18"/>
          <w:szCs w:val="18"/>
        </w:rPr>
        <w:t>dat</w:t>
      </w:r>
      <w:r w:rsidRPr="004A1CA2">
        <w:rPr>
          <w:rFonts w:cs="Arial"/>
          <w:sz w:val="18"/>
          <w:szCs w:val="18"/>
        </w:rPr>
        <w:t xml:space="preserve">, včetně částek týkající se hodnoty takových </w:t>
      </w:r>
      <w:r w:rsidRPr="004A1CA2">
        <w:rPr>
          <w:rFonts w:cs="Arial"/>
          <w:i/>
          <w:iCs/>
          <w:sz w:val="18"/>
          <w:szCs w:val="18"/>
        </w:rPr>
        <w:t>dat</w:t>
      </w:r>
      <w:r w:rsidRPr="004A1CA2">
        <w:rPr>
          <w:rFonts w:cs="Arial"/>
          <w:sz w:val="18"/>
          <w:szCs w:val="18"/>
        </w:rPr>
        <w:t xml:space="preserve">, bez ohledu na jinou příčinu nebo událost, která k tomu přispěla současně nebo v jiném sledu. </w:t>
      </w:r>
    </w:p>
    <w:p w14:paraId="629EF2FC" w14:textId="77777777" w:rsidR="00EE18FA" w:rsidRPr="004A1CA2" w:rsidRDefault="00EE18FA" w:rsidP="00EE18FA">
      <w:pPr>
        <w:pStyle w:val="Odstavecseseznamem"/>
        <w:numPr>
          <w:ilvl w:val="0"/>
          <w:numId w:val="35"/>
        </w:numPr>
        <w:contextualSpacing/>
        <w:rPr>
          <w:rFonts w:cs="Arial"/>
          <w:sz w:val="18"/>
          <w:szCs w:val="18"/>
        </w:rPr>
      </w:pPr>
      <w:r w:rsidRPr="004A1CA2">
        <w:rPr>
          <w:rFonts w:cs="Arial"/>
          <w:sz w:val="18"/>
          <w:szCs w:val="18"/>
        </w:rPr>
        <w:t xml:space="preserve">V případě, že bude část této doložky shledána neplatnou nebo nevymahatelnou, zůstává zbývající část v plné platnosti a účinnosti. </w:t>
      </w:r>
    </w:p>
    <w:p w14:paraId="06DC9F8E" w14:textId="77777777" w:rsidR="00EE18FA" w:rsidRPr="004A1CA2" w:rsidRDefault="00EE18FA" w:rsidP="00EE18FA">
      <w:pPr>
        <w:pStyle w:val="Odstavecseseznamem"/>
        <w:numPr>
          <w:ilvl w:val="0"/>
          <w:numId w:val="35"/>
        </w:numPr>
        <w:contextualSpacing/>
        <w:rPr>
          <w:rFonts w:cs="Arial"/>
          <w:sz w:val="18"/>
          <w:szCs w:val="18"/>
        </w:rPr>
      </w:pPr>
      <w:r w:rsidRPr="004A1CA2">
        <w:rPr>
          <w:rFonts w:cs="Arial"/>
          <w:sz w:val="18"/>
          <w:szCs w:val="18"/>
        </w:rPr>
        <w:t xml:space="preserve">Táto doložka má přednost před jinými ustanoveními pojistné smlouvy nebo jejich dodatků, a pokud je v rozporu s jiným ustanovením pojistné smlouvy nebo dodatků, které se týkají </w:t>
      </w:r>
      <w:r w:rsidRPr="004A1CA2">
        <w:rPr>
          <w:rFonts w:cs="Arial"/>
          <w:i/>
          <w:iCs/>
          <w:sz w:val="18"/>
          <w:szCs w:val="18"/>
        </w:rPr>
        <w:t>kybernetických ztrát</w:t>
      </w:r>
      <w:r w:rsidRPr="004A1CA2">
        <w:rPr>
          <w:rFonts w:cs="Arial"/>
          <w:sz w:val="18"/>
          <w:szCs w:val="18"/>
        </w:rPr>
        <w:t xml:space="preserve"> nebo </w:t>
      </w:r>
      <w:r w:rsidRPr="004A1CA2">
        <w:rPr>
          <w:rFonts w:cs="Arial"/>
          <w:i/>
          <w:iCs/>
          <w:sz w:val="18"/>
          <w:szCs w:val="18"/>
        </w:rPr>
        <w:t>dat</w:t>
      </w:r>
      <w:r w:rsidRPr="004A1CA2">
        <w:rPr>
          <w:rFonts w:cs="Arial"/>
          <w:sz w:val="18"/>
          <w:szCs w:val="18"/>
        </w:rPr>
        <w:t xml:space="preserve">, nahrazuje tato ustanovení.  </w:t>
      </w:r>
    </w:p>
    <w:p w14:paraId="58E1B8E4" w14:textId="77777777" w:rsidR="00EE18FA" w:rsidRPr="004A1CA2" w:rsidRDefault="00EE18FA" w:rsidP="00EE18FA">
      <w:pPr>
        <w:rPr>
          <w:rFonts w:cs="Arial"/>
          <w:sz w:val="18"/>
          <w:szCs w:val="18"/>
        </w:rPr>
      </w:pPr>
    </w:p>
    <w:p w14:paraId="667EE668" w14:textId="77777777" w:rsidR="00EE18FA" w:rsidRPr="005464D8" w:rsidRDefault="00EE18FA" w:rsidP="00EE18FA">
      <w:pPr>
        <w:rPr>
          <w:rFonts w:cs="Arial"/>
          <w:sz w:val="18"/>
          <w:szCs w:val="18"/>
          <w:u w:val="single"/>
        </w:rPr>
      </w:pPr>
      <w:r w:rsidRPr="005464D8">
        <w:rPr>
          <w:rFonts w:cs="Arial"/>
          <w:sz w:val="18"/>
          <w:szCs w:val="18"/>
          <w:u w:val="single"/>
        </w:rPr>
        <w:t xml:space="preserve">Definice </w:t>
      </w:r>
    </w:p>
    <w:p w14:paraId="2D5A0CFB" w14:textId="77777777" w:rsidR="00EE18FA" w:rsidRPr="004A1CA2" w:rsidRDefault="00EE18FA" w:rsidP="00EE18FA">
      <w:pPr>
        <w:pStyle w:val="Odstavecseseznamem"/>
        <w:numPr>
          <w:ilvl w:val="0"/>
          <w:numId w:val="35"/>
        </w:numPr>
        <w:contextualSpacing/>
        <w:rPr>
          <w:rFonts w:cs="Arial"/>
          <w:sz w:val="18"/>
          <w:szCs w:val="18"/>
        </w:rPr>
      </w:pPr>
      <w:r w:rsidRPr="004A1CA2">
        <w:rPr>
          <w:rFonts w:cs="Arial"/>
          <w:i/>
          <w:iCs/>
          <w:sz w:val="18"/>
          <w:szCs w:val="18"/>
        </w:rPr>
        <w:t>Kybernetickou ztrátou</w:t>
      </w:r>
      <w:r w:rsidRPr="004A1CA2">
        <w:rPr>
          <w:rFonts w:cs="Arial"/>
          <w:sz w:val="18"/>
          <w:szCs w:val="18"/>
        </w:rPr>
        <w:t xml:space="preserve"> se rozumí jakákoliv ztráta, škoda, odpovědnost, nárok, náklady nebo výdaje jakékoliv povahy přímo nebo nepřímo způsobené, přispívající, vyplývající, vzniklé v důsledku nebo v souvislosti s jakýmkoliv </w:t>
      </w:r>
      <w:r w:rsidRPr="004A1CA2">
        <w:rPr>
          <w:rFonts w:cs="Arial"/>
          <w:i/>
          <w:iCs/>
          <w:sz w:val="18"/>
          <w:szCs w:val="18"/>
        </w:rPr>
        <w:t>kybernetickým činem</w:t>
      </w:r>
      <w:r w:rsidRPr="004A1CA2">
        <w:rPr>
          <w:rFonts w:cs="Arial"/>
          <w:sz w:val="18"/>
          <w:szCs w:val="18"/>
        </w:rPr>
        <w:t xml:space="preserve"> nebo </w:t>
      </w:r>
      <w:r w:rsidRPr="004A1CA2">
        <w:rPr>
          <w:rFonts w:cs="Arial"/>
          <w:i/>
          <w:iCs/>
          <w:sz w:val="18"/>
          <w:szCs w:val="18"/>
        </w:rPr>
        <w:t>kybernetickým incidentem</w:t>
      </w:r>
      <w:r w:rsidRPr="004A1CA2">
        <w:rPr>
          <w:rFonts w:cs="Arial"/>
          <w:sz w:val="18"/>
          <w:szCs w:val="18"/>
        </w:rPr>
        <w:t xml:space="preserve">, mimo jiné včetně opatření přijatých při kontrole, prevenci, potlačení nebo nápravě libovolného </w:t>
      </w:r>
      <w:r w:rsidRPr="004A1CA2">
        <w:rPr>
          <w:rFonts w:cs="Arial"/>
          <w:i/>
          <w:iCs/>
          <w:sz w:val="18"/>
          <w:szCs w:val="18"/>
        </w:rPr>
        <w:t>kybernetického činu</w:t>
      </w:r>
      <w:r w:rsidRPr="004A1CA2">
        <w:rPr>
          <w:rFonts w:cs="Arial"/>
          <w:sz w:val="18"/>
          <w:szCs w:val="18"/>
        </w:rPr>
        <w:t xml:space="preserve"> nebo </w:t>
      </w:r>
      <w:r w:rsidRPr="004A1CA2">
        <w:rPr>
          <w:rFonts w:cs="Arial"/>
          <w:i/>
          <w:iCs/>
          <w:sz w:val="18"/>
          <w:szCs w:val="18"/>
        </w:rPr>
        <w:t>kybernetického incidentu</w:t>
      </w:r>
      <w:r w:rsidRPr="004A1CA2">
        <w:rPr>
          <w:rFonts w:cs="Arial"/>
          <w:sz w:val="18"/>
          <w:szCs w:val="18"/>
        </w:rPr>
        <w:t xml:space="preserve">. </w:t>
      </w:r>
    </w:p>
    <w:p w14:paraId="72B0D3EB" w14:textId="77777777" w:rsidR="00EE18FA" w:rsidRPr="004A1CA2" w:rsidRDefault="00EE18FA" w:rsidP="00EE18FA">
      <w:pPr>
        <w:pStyle w:val="Odstavecseseznamem"/>
        <w:numPr>
          <w:ilvl w:val="0"/>
          <w:numId w:val="35"/>
        </w:numPr>
        <w:contextualSpacing/>
        <w:rPr>
          <w:rFonts w:cs="Arial"/>
          <w:sz w:val="18"/>
          <w:szCs w:val="18"/>
        </w:rPr>
      </w:pPr>
      <w:r w:rsidRPr="004A1CA2">
        <w:rPr>
          <w:rFonts w:cs="Arial"/>
          <w:i/>
          <w:iCs/>
          <w:sz w:val="18"/>
          <w:szCs w:val="18"/>
        </w:rPr>
        <w:t>Kybernetickým činem</w:t>
      </w:r>
      <w:r w:rsidRPr="004A1CA2">
        <w:rPr>
          <w:rFonts w:cs="Arial"/>
          <w:sz w:val="18"/>
          <w:szCs w:val="18"/>
        </w:rPr>
        <w:t xml:space="preserve"> se rozumí neoprávněný, nepřátelský nebo trestný čin nebo série souvisejících neoprávněných, nepřátelských nebo trestných činů, bez ohledu na čas a místo, nebo hrozba či podvod takového činu zahrnující přístup k jakémukoliv </w:t>
      </w:r>
      <w:r w:rsidRPr="004A1CA2">
        <w:rPr>
          <w:rFonts w:cs="Arial"/>
          <w:i/>
          <w:iCs/>
          <w:sz w:val="18"/>
          <w:szCs w:val="18"/>
        </w:rPr>
        <w:t>počítačovému systému</w:t>
      </w:r>
      <w:r w:rsidRPr="004A1CA2">
        <w:rPr>
          <w:rFonts w:cs="Arial"/>
          <w:sz w:val="18"/>
          <w:szCs w:val="18"/>
        </w:rPr>
        <w:t xml:space="preserve">, jeho zpracování, použití nebo provoz. </w:t>
      </w:r>
    </w:p>
    <w:p w14:paraId="04BEDD4E" w14:textId="77777777" w:rsidR="00EE18FA" w:rsidRPr="004A1CA2" w:rsidRDefault="00EE18FA" w:rsidP="00EE18FA">
      <w:pPr>
        <w:pStyle w:val="Odstavecseseznamem"/>
        <w:numPr>
          <w:ilvl w:val="0"/>
          <w:numId w:val="35"/>
        </w:numPr>
        <w:contextualSpacing/>
        <w:rPr>
          <w:rFonts w:cs="Arial"/>
          <w:sz w:val="18"/>
          <w:szCs w:val="18"/>
        </w:rPr>
      </w:pPr>
      <w:r w:rsidRPr="004A1CA2">
        <w:rPr>
          <w:rFonts w:cs="Arial"/>
          <w:i/>
          <w:iCs/>
          <w:sz w:val="18"/>
          <w:szCs w:val="18"/>
        </w:rPr>
        <w:t>Kybernetickým incidentem</w:t>
      </w:r>
      <w:r w:rsidRPr="004A1CA2">
        <w:rPr>
          <w:rFonts w:cs="Arial"/>
          <w:sz w:val="18"/>
          <w:szCs w:val="18"/>
        </w:rPr>
        <w:t xml:space="preserve"> se rozumí: </w:t>
      </w:r>
    </w:p>
    <w:p w14:paraId="293CA16D" w14:textId="77777777" w:rsidR="00EE18FA" w:rsidRPr="004A1CA2" w:rsidRDefault="00EE18FA" w:rsidP="00EE18FA">
      <w:pPr>
        <w:pStyle w:val="Odstavecseseznamem"/>
        <w:numPr>
          <w:ilvl w:val="0"/>
          <w:numId w:val="36"/>
        </w:numPr>
        <w:contextualSpacing/>
        <w:rPr>
          <w:rFonts w:cs="Arial"/>
          <w:vanish/>
          <w:sz w:val="18"/>
          <w:szCs w:val="18"/>
        </w:rPr>
      </w:pPr>
    </w:p>
    <w:p w14:paraId="16098CE5" w14:textId="77777777" w:rsidR="00EE18FA" w:rsidRPr="004A1CA2" w:rsidRDefault="00EE18FA" w:rsidP="00EE18FA">
      <w:pPr>
        <w:pStyle w:val="Odstavecseseznamem"/>
        <w:numPr>
          <w:ilvl w:val="0"/>
          <w:numId w:val="36"/>
        </w:numPr>
        <w:contextualSpacing/>
        <w:rPr>
          <w:rFonts w:cs="Arial"/>
          <w:vanish/>
          <w:sz w:val="18"/>
          <w:szCs w:val="18"/>
        </w:rPr>
      </w:pPr>
    </w:p>
    <w:p w14:paraId="076EECCF" w14:textId="77777777" w:rsidR="00EE18FA" w:rsidRPr="004A1CA2" w:rsidRDefault="00EE18FA" w:rsidP="00EE18FA">
      <w:pPr>
        <w:pStyle w:val="Odstavecseseznamem"/>
        <w:numPr>
          <w:ilvl w:val="0"/>
          <w:numId w:val="36"/>
        </w:numPr>
        <w:contextualSpacing/>
        <w:rPr>
          <w:rFonts w:cs="Arial"/>
          <w:vanish/>
          <w:sz w:val="18"/>
          <w:szCs w:val="18"/>
        </w:rPr>
      </w:pPr>
    </w:p>
    <w:p w14:paraId="457F7CD8" w14:textId="77777777" w:rsidR="00EE18FA" w:rsidRPr="004A1CA2" w:rsidRDefault="00EE18FA" w:rsidP="00EE18FA">
      <w:pPr>
        <w:pStyle w:val="Odstavecseseznamem"/>
        <w:numPr>
          <w:ilvl w:val="0"/>
          <w:numId w:val="36"/>
        </w:numPr>
        <w:contextualSpacing/>
        <w:rPr>
          <w:rFonts w:cs="Arial"/>
          <w:vanish/>
          <w:sz w:val="18"/>
          <w:szCs w:val="18"/>
        </w:rPr>
      </w:pPr>
    </w:p>
    <w:p w14:paraId="46E5346C" w14:textId="77777777" w:rsidR="00EE18FA" w:rsidRPr="004A1CA2" w:rsidRDefault="00EE18FA" w:rsidP="00EE18FA">
      <w:pPr>
        <w:pStyle w:val="Odstavecseseznamem"/>
        <w:numPr>
          <w:ilvl w:val="0"/>
          <w:numId w:val="36"/>
        </w:numPr>
        <w:contextualSpacing/>
        <w:rPr>
          <w:rFonts w:cs="Arial"/>
          <w:vanish/>
          <w:sz w:val="18"/>
          <w:szCs w:val="18"/>
        </w:rPr>
      </w:pPr>
    </w:p>
    <w:p w14:paraId="6218F7C9" w14:textId="77777777" w:rsidR="00EE18FA" w:rsidRPr="004A1CA2" w:rsidRDefault="00EE18FA" w:rsidP="00EE18FA">
      <w:pPr>
        <w:pStyle w:val="Odstavecseseznamem"/>
        <w:numPr>
          <w:ilvl w:val="0"/>
          <w:numId w:val="36"/>
        </w:numPr>
        <w:contextualSpacing/>
        <w:rPr>
          <w:rFonts w:cs="Arial"/>
          <w:vanish/>
          <w:sz w:val="18"/>
          <w:szCs w:val="18"/>
        </w:rPr>
      </w:pPr>
    </w:p>
    <w:p w14:paraId="72E6D114" w14:textId="77777777" w:rsidR="00EE18FA" w:rsidRPr="004A1CA2" w:rsidRDefault="00EE18FA" w:rsidP="00EE18FA">
      <w:pPr>
        <w:pStyle w:val="Odstavecseseznamem"/>
        <w:numPr>
          <w:ilvl w:val="1"/>
          <w:numId w:val="36"/>
        </w:numPr>
        <w:contextualSpacing/>
        <w:rPr>
          <w:rFonts w:cs="Arial"/>
          <w:sz w:val="18"/>
          <w:szCs w:val="18"/>
        </w:rPr>
      </w:pPr>
      <w:r w:rsidRPr="004A1CA2">
        <w:rPr>
          <w:rFonts w:cs="Arial"/>
          <w:sz w:val="18"/>
          <w:szCs w:val="18"/>
        </w:rPr>
        <w:t xml:space="preserve">chyba nebo opomenutí nebo série souvisejících chyb nebo opomenutí zahrnující přístup k </w:t>
      </w:r>
      <w:r w:rsidRPr="004A1CA2">
        <w:rPr>
          <w:rFonts w:cs="Arial"/>
          <w:i/>
          <w:iCs/>
          <w:sz w:val="18"/>
          <w:szCs w:val="18"/>
        </w:rPr>
        <w:t>počítačovému systému</w:t>
      </w:r>
      <w:r w:rsidRPr="004A1CA2">
        <w:rPr>
          <w:rFonts w:cs="Arial"/>
          <w:sz w:val="18"/>
          <w:szCs w:val="18"/>
        </w:rPr>
        <w:t xml:space="preserve">, jeho zpracování, používání nebo provozování; nebo </w:t>
      </w:r>
    </w:p>
    <w:p w14:paraId="1BEFDE29" w14:textId="77777777" w:rsidR="00EE18FA" w:rsidRPr="004A1CA2" w:rsidRDefault="00EE18FA" w:rsidP="00EE18FA">
      <w:pPr>
        <w:pStyle w:val="Odstavecseseznamem"/>
        <w:numPr>
          <w:ilvl w:val="1"/>
          <w:numId w:val="36"/>
        </w:numPr>
        <w:contextualSpacing/>
        <w:rPr>
          <w:rFonts w:cs="Arial"/>
          <w:sz w:val="18"/>
          <w:szCs w:val="18"/>
        </w:rPr>
      </w:pPr>
      <w:r w:rsidRPr="004A1CA2">
        <w:rPr>
          <w:rFonts w:cs="Arial"/>
          <w:sz w:val="18"/>
          <w:szCs w:val="18"/>
        </w:rPr>
        <w:t xml:space="preserve">částečná nebo úplná nedostupnost nebo selhání nebo série souvisejících částečných nebo úplných nedostupností nebo selhání při přístupu k </w:t>
      </w:r>
      <w:r w:rsidRPr="004A1CA2">
        <w:rPr>
          <w:rFonts w:cs="Arial"/>
          <w:i/>
          <w:iCs/>
          <w:sz w:val="18"/>
          <w:szCs w:val="18"/>
        </w:rPr>
        <w:t>počítačovému systému</w:t>
      </w:r>
      <w:r w:rsidRPr="004A1CA2">
        <w:rPr>
          <w:rFonts w:cs="Arial"/>
          <w:sz w:val="18"/>
          <w:szCs w:val="18"/>
        </w:rPr>
        <w:t xml:space="preserve">, jeho zpracování, používání nebo provozu. </w:t>
      </w:r>
    </w:p>
    <w:p w14:paraId="5C2A81F7" w14:textId="77777777" w:rsidR="00EE18FA" w:rsidRPr="004A1CA2" w:rsidRDefault="00EE18FA" w:rsidP="00EE18FA">
      <w:pPr>
        <w:pStyle w:val="Odstavecseseznamem"/>
        <w:numPr>
          <w:ilvl w:val="0"/>
          <w:numId w:val="36"/>
        </w:numPr>
        <w:contextualSpacing/>
        <w:rPr>
          <w:rFonts w:cs="Arial"/>
          <w:sz w:val="18"/>
          <w:szCs w:val="18"/>
        </w:rPr>
      </w:pPr>
      <w:r w:rsidRPr="004A1CA2">
        <w:rPr>
          <w:rFonts w:cs="Arial"/>
          <w:i/>
          <w:iCs/>
          <w:sz w:val="18"/>
          <w:szCs w:val="18"/>
        </w:rPr>
        <w:t>Počítačovým systémem</w:t>
      </w:r>
      <w:r w:rsidRPr="004A1CA2">
        <w:rPr>
          <w:rFonts w:cs="Arial"/>
          <w:sz w:val="18"/>
          <w:szCs w:val="18"/>
        </w:rPr>
        <w:t xml:space="preserve"> se rozumí: </w:t>
      </w:r>
    </w:p>
    <w:p w14:paraId="65C8CDF9" w14:textId="77777777" w:rsidR="00EE18FA" w:rsidRPr="004A1CA2" w:rsidRDefault="00EE18FA" w:rsidP="00EE18FA">
      <w:pPr>
        <w:pStyle w:val="Odstavecseseznamem"/>
        <w:numPr>
          <w:ilvl w:val="0"/>
          <w:numId w:val="37"/>
        </w:numPr>
        <w:contextualSpacing/>
        <w:rPr>
          <w:rFonts w:cs="Arial"/>
          <w:vanish/>
          <w:sz w:val="18"/>
          <w:szCs w:val="18"/>
        </w:rPr>
      </w:pPr>
    </w:p>
    <w:p w14:paraId="6392C337" w14:textId="77777777" w:rsidR="00EE18FA" w:rsidRPr="004A1CA2" w:rsidRDefault="00EE18FA" w:rsidP="00EE18FA">
      <w:pPr>
        <w:pStyle w:val="Odstavecseseznamem"/>
        <w:numPr>
          <w:ilvl w:val="0"/>
          <w:numId w:val="37"/>
        </w:numPr>
        <w:contextualSpacing/>
        <w:rPr>
          <w:rFonts w:cs="Arial"/>
          <w:vanish/>
          <w:sz w:val="18"/>
          <w:szCs w:val="18"/>
        </w:rPr>
      </w:pPr>
    </w:p>
    <w:p w14:paraId="1057F531" w14:textId="77777777" w:rsidR="00EE18FA" w:rsidRPr="004A1CA2" w:rsidRDefault="00EE18FA" w:rsidP="00EE18FA">
      <w:pPr>
        <w:pStyle w:val="Odstavecseseznamem"/>
        <w:numPr>
          <w:ilvl w:val="0"/>
          <w:numId w:val="37"/>
        </w:numPr>
        <w:contextualSpacing/>
        <w:rPr>
          <w:rFonts w:cs="Arial"/>
          <w:vanish/>
          <w:sz w:val="18"/>
          <w:szCs w:val="18"/>
        </w:rPr>
      </w:pPr>
    </w:p>
    <w:p w14:paraId="196614F9" w14:textId="77777777" w:rsidR="00EE18FA" w:rsidRPr="004A1CA2" w:rsidRDefault="00EE18FA" w:rsidP="00EE18FA">
      <w:pPr>
        <w:pStyle w:val="Odstavecseseznamem"/>
        <w:numPr>
          <w:ilvl w:val="0"/>
          <w:numId w:val="37"/>
        </w:numPr>
        <w:contextualSpacing/>
        <w:rPr>
          <w:rFonts w:cs="Arial"/>
          <w:vanish/>
          <w:sz w:val="18"/>
          <w:szCs w:val="18"/>
        </w:rPr>
      </w:pPr>
    </w:p>
    <w:p w14:paraId="7C3F4276" w14:textId="77777777" w:rsidR="00EE18FA" w:rsidRPr="004A1CA2" w:rsidRDefault="00EE18FA" w:rsidP="00EE18FA">
      <w:pPr>
        <w:pStyle w:val="Odstavecseseznamem"/>
        <w:numPr>
          <w:ilvl w:val="0"/>
          <w:numId w:val="37"/>
        </w:numPr>
        <w:contextualSpacing/>
        <w:rPr>
          <w:rFonts w:cs="Arial"/>
          <w:vanish/>
          <w:sz w:val="18"/>
          <w:szCs w:val="18"/>
        </w:rPr>
      </w:pPr>
    </w:p>
    <w:p w14:paraId="21E596F0" w14:textId="77777777" w:rsidR="00EE18FA" w:rsidRPr="004A1CA2" w:rsidRDefault="00EE18FA" w:rsidP="00EE18FA">
      <w:pPr>
        <w:pStyle w:val="Odstavecseseznamem"/>
        <w:numPr>
          <w:ilvl w:val="0"/>
          <w:numId w:val="37"/>
        </w:numPr>
        <w:contextualSpacing/>
        <w:rPr>
          <w:rFonts w:cs="Arial"/>
          <w:vanish/>
          <w:sz w:val="18"/>
          <w:szCs w:val="18"/>
        </w:rPr>
      </w:pPr>
    </w:p>
    <w:p w14:paraId="7FDC4894" w14:textId="77777777" w:rsidR="00EE18FA" w:rsidRPr="004A1CA2" w:rsidRDefault="00EE18FA" w:rsidP="00EE18FA">
      <w:pPr>
        <w:pStyle w:val="Odstavecseseznamem"/>
        <w:numPr>
          <w:ilvl w:val="0"/>
          <w:numId w:val="37"/>
        </w:numPr>
        <w:contextualSpacing/>
        <w:rPr>
          <w:rFonts w:cs="Arial"/>
          <w:vanish/>
          <w:sz w:val="18"/>
          <w:szCs w:val="18"/>
        </w:rPr>
      </w:pPr>
    </w:p>
    <w:p w14:paraId="40D95C56" w14:textId="77777777" w:rsidR="00EE18FA" w:rsidRPr="004A1CA2" w:rsidRDefault="00EE18FA" w:rsidP="00EE18FA">
      <w:pPr>
        <w:pStyle w:val="Odstavecseseznamem"/>
        <w:numPr>
          <w:ilvl w:val="1"/>
          <w:numId w:val="37"/>
        </w:numPr>
        <w:contextualSpacing/>
        <w:rPr>
          <w:rFonts w:cs="Arial"/>
          <w:sz w:val="18"/>
          <w:szCs w:val="18"/>
        </w:rPr>
      </w:pPr>
      <w:r w:rsidRPr="004A1CA2">
        <w:rPr>
          <w:rFonts w:cs="Arial"/>
          <w:sz w:val="18"/>
          <w:szCs w:val="18"/>
        </w:rPr>
        <w:t xml:space="preserve">jakýkoliv počítač, hardware, software, komunikační systém, elektronické zařízení (mimo jiné včetně chytrého telefonu, notebooku, tabletu, nositelného zařízení), server, </w:t>
      </w:r>
      <w:proofErr w:type="spellStart"/>
      <w:r w:rsidRPr="004A1CA2">
        <w:rPr>
          <w:rFonts w:cs="Arial"/>
          <w:sz w:val="18"/>
          <w:szCs w:val="18"/>
        </w:rPr>
        <w:t>cloud</w:t>
      </w:r>
      <w:proofErr w:type="spellEnd"/>
      <w:r w:rsidRPr="004A1CA2">
        <w:rPr>
          <w:rFonts w:cs="Arial"/>
          <w:sz w:val="18"/>
          <w:szCs w:val="18"/>
        </w:rPr>
        <w:t xml:space="preserve"> nebo </w:t>
      </w:r>
      <w:proofErr w:type="spellStart"/>
      <w:r w:rsidRPr="004A1CA2">
        <w:rPr>
          <w:rFonts w:cs="Arial"/>
          <w:sz w:val="18"/>
          <w:szCs w:val="18"/>
        </w:rPr>
        <w:t>mikrokontrolér</w:t>
      </w:r>
      <w:proofErr w:type="spellEnd"/>
      <w:r w:rsidRPr="004A1CA2">
        <w:rPr>
          <w:rFonts w:cs="Arial"/>
          <w:sz w:val="18"/>
          <w:szCs w:val="18"/>
        </w:rPr>
        <w:t xml:space="preserve">, včetně podobných systémů nebo konfigurace výše uvedeného a včetně souvisejícího vstupního a výstupního zařízení, zařízení pro ukládání dat, síťového zařízení nebo zálohovacího zařízení, </w:t>
      </w:r>
    </w:p>
    <w:p w14:paraId="6DB831C5" w14:textId="77777777" w:rsidR="00EE18FA" w:rsidRPr="004A1CA2" w:rsidRDefault="00EE18FA" w:rsidP="00EE18FA">
      <w:pPr>
        <w:ind w:left="360"/>
        <w:rPr>
          <w:rFonts w:cs="Arial"/>
          <w:sz w:val="18"/>
          <w:szCs w:val="18"/>
        </w:rPr>
      </w:pPr>
      <w:r w:rsidRPr="004A1CA2">
        <w:rPr>
          <w:rFonts w:cs="Arial"/>
          <w:sz w:val="18"/>
          <w:szCs w:val="18"/>
        </w:rPr>
        <w:t xml:space="preserve">vlastněné nebo provozované pojištěným nebo jinou stranou. </w:t>
      </w:r>
    </w:p>
    <w:p w14:paraId="4E5A4D4C" w14:textId="77777777" w:rsidR="00EE18FA" w:rsidRPr="004A1CA2" w:rsidRDefault="00EE18FA" w:rsidP="00EE18FA">
      <w:pPr>
        <w:pStyle w:val="Odstavecseseznamem"/>
        <w:numPr>
          <w:ilvl w:val="0"/>
          <w:numId w:val="37"/>
        </w:numPr>
        <w:contextualSpacing/>
        <w:rPr>
          <w:rFonts w:cs="Arial"/>
          <w:sz w:val="18"/>
          <w:szCs w:val="18"/>
        </w:rPr>
      </w:pPr>
      <w:r w:rsidRPr="004A1CA2">
        <w:rPr>
          <w:rFonts w:cs="Arial"/>
          <w:i/>
          <w:iCs/>
          <w:sz w:val="18"/>
          <w:szCs w:val="18"/>
        </w:rPr>
        <w:t>Data</w:t>
      </w:r>
      <w:r w:rsidRPr="004A1CA2">
        <w:rPr>
          <w:rFonts w:cs="Arial"/>
          <w:sz w:val="18"/>
          <w:szCs w:val="18"/>
        </w:rPr>
        <w:t xml:space="preserve"> znamenají informace, skutečnosti, pojmy, kódy nebo jiné informace jakéhokoliv druhu, které jsou zaznamenány nebo přenášeny ve formě určené k použití, přístupu, zpracování, přenosu nebo uložení </w:t>
      </w:r>
      <w:r w:rsidRPr="004A1CA2">
        <w:rPr>
          <w:rFonts w:cs="Arial"/>
          <w:i/>
          <w:iCs/>
          <w:sz w:val="18"/>
          <w:szCs w:val="18"/>
        </w:rPr>
        <w:t>počítačovým systémem</w:t>
      </w:r>
      <w:r w:rsidRPr="004A1CA2">
        <w:rPr>
          <w:rFonts w:cs="Arial"/>
          <w:sz w:val="18"/>
          <w:szCs w:val="18"/>
        </w:rPr>
        <w:t>.</w:t>
      </w:r>
    </w:p>
    <w:bookmarkEnd w:id="12"/>
    <w:p w14:paraId="79544AD3" w14:textId="77777777" w:rsidR="00EE18FA" w:rsidRDefault="00EE18FA" w:rsidP="00EE18FA">
      <w:pPr>
        <w:pStyle w:val="Default"/>
        <w:rPr>
          <w:caps/>
          <w:sz w:val="18"/>
          <w:szCs w:val="18"/>
          <w:u w:val="single"/>
        </w:rPr>
      </w:pPr>
    </w:p>
    <w:p w14:paraId="31C78846" w14:textId="77777777" w:rsidR="00EE18FA" w:rsidRPr="00A64D84" w:rsidRDefault="00EE18FA" w:rsidP="00EE18FA">
      <w:pPr>
        <w:pStyle w:val="Default"/>
        <w:rPr>
          <w:sz w:val="18"/>
          <w:szCs w:val="18"/>
          <w:u w:val="single"/>
        </w:rPr>
      </w:pPr>
      <w:r w:rsidRPr="00A64D84">
        <w:rPr>
          <w:caps/>
          <w:sz w:val="18"/>
          <w:szCs w:val="18"/>
          <w:u w:val="single"/>
        </w:rPr>
        <w:t>DOLOŽKA o vyloučení přenosných NEMOCÍ</w:t>
      </w:r>
      <w:r w:rsidRPr="00A64D84">
        <w:rPr>
          <w:sz w:val="18"/>
          <w:szCs w:val="18"/>
          <w:u w:val="single"/>
        </w:rPr>
        <w:t xml:space="preserve"> (LMA5393)</w:t>
      </w:r>
    </w:p>
    <w:p w14:paraId="4EC3B694" w14:textId="77777777" w:rsidR="00EE18FA" w:rsidRPr="00A64D84" w:rsidRDefault="00EE18FA" w:rsidP="00EE18FA">
      <w:pPr>
        <w:pStyle w:val="Default"/>
        <w:numPr>
          <w:ilvl w:val="0"/>
          <w:numId w:val="32"/>
        </w:numPr>
        <w:ind w:left="360"/>
        <w:jc w:val="both"/>
        <w:rPr>
          <w:sz w:val="18"/>
          <w:szCs w:val="18"/>
        </w:rPr>
      </w:pPr>
      <w:r w:rsidRPr="00A64D84">
        <w:rPr>
          <w:sz w:val="18"/>
          <w:szCs w:val="18"/>
        </w:rPr>
        <w:t xml:space="preserve">Bez ohledu na jiná ustanovení této pojistné smlouvy, která mohou být s ní v rozporu, tato pojistná smlouva nezahrnuje pojištění jakýchkoliv ztrát, škod, nároků, nákladů, výdajů nebo jiných částek, které přímo nebo nepřímo vznikly v důsledku, jsou připisované nebo vznikly současně nebo v návaznosti na </w:t>
      </w:r>
      <w:r w:rsidRPr="00A64D84">
        <w:rPr>
          <w:i/>
          <w:iCs/>
          <w:sz w:val="18"/>
          <w:szCs w:val="18"/>
        </w:rPr>
        <w:t>Přenosnou nemoc</w:t>
      </w:r>
      <w:r w:rsidRPr="00A64D84">
        <w:rPr>
          <w:sz w:val="18"/>
          <w:szCs w:val="18"/>
        </w:rPr>
        <w:t xml:space="preserve"> nebo obavou či hrozbu přenosu této nemoci (ať už skutečnou nebo domnělou).</w:t>
      </w:r>
    </w:p>
    <w:p w14:paraId="45401ABD" w14:textId="77777777" w:rsidR="00EE18FA" w:rsidRPr="00A64D84" w:rsidRDefault="00EE18FA" w:rsidP="00EE18FA">
      <w:pPr>
        <w:pStyle w:val="Default"/>
        <w:numPr>
          <w:ilvl w:val="0"/>
          <w:numId w:val="32"/>
        </w:numPr>
        <w:ind w:left="360"/>
        <w:jc w:val="both"/>
        <w:rPr>
          <w:sz w:val="18"/>
          <w:szCs w:val="18"/>
        </w:rPr>
      </w:pPr>
      <w:r w:rsidRPr="00A64D84">
        <w:rPr>
          <w:sz w:val="18"/>
          <w:szCs w:val="18"/>
        </w:rPr>
        <w:t>Pro účely této doložky zahrnuje ztráta, škody, nároky, náklady, výdaje nebo jiné částky jakékoliv náklady na vyčištění, detoxikaci, odstranění, monitorování nebo testování:</w:t>
      </w:r>
    </w:p>
    <w:p w14:paraId="474EAFBC" w14:textId="77777777" w:rsidR="00EE18FA" w:rsidRPr="00A64D84" w:rsidRDefault="00EE18FA" w:rsidP="00EE18FA">
      <w:pPr>
        <w:pStyle w:val="Odstavecseseznamem"/>
        <w:numPr>
          <w:ilvl w:val="0"/>
          <w:numId w:val="33"/>
        </w:numPr>
        <w:autoSpaceDE w:val="0"/>
        <w:autoSpaceDN w:val="0"/>
        <w:adjustRightInd w:val="0"/>
        <w:rPr>
          <w:rFonts w:eastAsiaTheme="minorHAnsi" w:cs="Arial"/>
          <w:vanish/>
          <w:color w:val="000000"/>
          <w:sz w:val="18"/>
          <w:szCs w:val="18"/>
          <w:lang w:eastAsia="en-US"/>
        </w:rPr>
      </w:pPr>
    </w:p>
    <w:p w14:paraId="30B8886E" w14:textId="77777777" w:rsidR="00EE18FA" w:rsidRPr="00A64D84" w:rsidRDefault="00EE18FA" w:rsidP="00EE18FA">
      <w:pPr>
        <w:pStyle w:val="Odstavecseseznamem"/>
        <w:numPr>
          <w:ilvl w:val="0"/>
          <w:numId w:val="33"/>
        </w:numPr>
        <w:autoSpaceDE w:val="0"/>
        <w:autoSpaceDN w:val="0"/>
        <w:adjustRightInd w:val="0"/>
        <w:rPr>
          <w:rFonts w:eastAsiaTheme="minorHAnsi" w:cs="Arial"/>
          <w:vanish/>
          <w:color w:val="000000"/>
          <w:sz w:val="18"/>
          <w:szCs w:val="18"/>
          <w:lang w:eastAsia="en-US"/>
        </w:rPr>
      </w:pPr>
    </w:p>
    <w:p w14:paraId="3256A23A" w14:textId="77777777" w:rsidR="00EE18FA" w:rsidRPr="00A64D84" w:rsidRDefault="00EE18FA" w:rsidP="00EE18FA">
      <w:pPr>
        <w:pStyle w:val="Default"/>
        <w:numPr>
          <w:ilvl w:val="1"/>
          <w:numId w:val="33"/>
        </w:numPr>
        <w:jc w:val="both"/>
        <w:rPr>
          <w:sz w:val="18"/>
          <w:szCs w:val="18"/>
        </w:rPr>
      </w:pPr>
      <w:r w:rsidRPr="00A64D84">
        <w:rPr>
          <w:sz w:val="18"/>
          <w:szCs w:val="18"/>
        </w:rPr>
        <w:t xml:space="preserve">na </w:t>
      </w:r>
      <w:r w:rsidRPr="00A64D84">
        <w:rPr>
          <w:i/>
          <w:iCs/>
          <w:sz w:val="18"/>
          <w:szCs w:val="18"/>
        </w:rPr>
        <w:t>Přenosnou nemoc</w:t>
      </w:r>
      <w:r w:rsidRPr="00A64D84">
        <w:rPr>
          <w:sz w:val="18"/>
          <w:szCs w:val="18"/>
        </w:rPr>
        <w:t xml:space="preserve"> nebo</w:t>
      </w:r>
    </w:p>
    <w:p w14:paraId="409A62BD" w14:textId="77777777" w:rsidR="00EE18FA" w:rsidRPr="00A64D84" w:rsidRDefault="00EE18FA" w:rsidP="00EE18FA">
      <w:pPr>
        <w:pStyle w:val="Default"/>
        <w:numPr>
          <w:ilvl w:val="1"/>
          <w:numId w:val="33"/>
        </w:numPr>
        <w:jc w:val="both"/>
        <w:rPr>
          <w:sz w:val="18"/>
          <w:szCs w:val="18"/>
        </w:rPr>
      </w:pPr>
      <w:r w:rsidRPr="00A64D84">
        <w:rPr>
          <w:sz w:val="18"/>
          <w:szCs w:val="18"/>
        </w:rPr>
        <w:t xml:space="preserve">majetku pojištěného podle této smlouvy, který je </w:t>
      </w:r>
      <w:r w:rsidRPr="00A64D84">
        <w:rPr>
          <w:i/>
          <w:iCs/>
          <w:sz w:val="18"/>
          <w:szCs w:val="18"/>
        </w:rPr>
        <w:t>Přenosnou nemocí</w:t>
      </w:r>
      <w:r w:rsidRPr="00A64D84">
        <w:rPr>
          <w:sz w:val="18"/>
          <w:szCs w:val="18"/>
        </w:rPr>
        <w:t xml:space="preserve"> zasažen.</w:t>
      </w:r>
    </w:p>
    <w:p w14:paraId="7DCAB410" w14:textId="77777777" w:rsidR="00EE18FA" w:rsidRPr="00A64D84" w:rsidRDefault="00EE18FA" w:rsidP="00EE18FA">
      <w:pPr>
        <w:pStyle w:val="Default"/>
        <w:numPr>
          <w:ilvl w:val="0"/>
          <w:numId w:val="33"/>
        </w:numPr>
        <w:jc w:val="both"/>
        <w:rPr>
          <w:sz w:val="18"/>
          <w:szCs w:val="18"/>
        </w:rPr>
      </w:pPr>
      <w:r w:rsidRPr="00A64D84">
        <w:rPr>
          <w:sz w:val="18"/>
          <w:szCs w:val="18"/>
        </w:rPr>
        <w:t xml:space="preserve">V této doložce se </w:t>
      </w:r>
      <w:r w:rsidRPr="00A64D84">
        <w:rPr>
          <w:i/>
          <w:iCs/>
          <w:sz w:val="18"/>
          <w:szCs w:val="18"/>
        </w:rPr>
        <w:t>Přenosnou nemocí</w:t>
      </w:r>
      <w:r w:rsidRPr="00A64D84">
        <w:rPr>
          <w:sz w:val="18"/>
          <w:szCs w:val="18"/>
        </w:rPr>
        <w:t xml:space="preserve"> rozumí jakákoliv nemoc, která může být přenesena prostřednictvím látky nebo činitele z libovolného organismu na jiný organismus, pokud:</w:t>
      </w:r>
    </w:p>
    <w:p w14:paraId="646ACDFC" w14:textId="77777777" w:rsidR="00EE18FA" w:rsidRPr="00A64D84" w:rsidRDefault="00EE18FA" w:rsidP="00EE18FA">
      <w:pPr>
        <w:pStyle w:val="Default"/>
        <w:numPr>
          <w:ilvl w:val="1"/>
          <w:numId w:val="33"/>
        </w:numPr>
        <w:jc w:val="both"/>
        <w:rPr>
          <w:sz w:val="18"/>
          <w:szCs w:val="18"/>
        </w:rPr>
      </w:pPr>
      <w:r w:rsidRPr="00A64D84">
        <w:rPr>
          <w:sz w:val="18"/>
          <w:szCs w:val="18"/>
        </w:rPr>
        <w:t xml:space="preserve">látka nebo činitel zahrnuje mimo jiné virus, bakterii, parazita nebo jiný druh nákazy, který je přenosný na člověka, nebo jejich variantu, ať už jsou považovány za živé, nebo neživé, </w:t>
      </w:r>
    </w:p>
    <w:p w14:paraId="706D2645" w14:textId="77777777" w:rsidR="00EE18FA" w:rsidRPr="00A64D84" w:rsidRDefault="00EE18FA" w:rsidP="00EE18FA">
      <w:pPr>
        <w:pStyle w:val="Default"/>
        <w:numPr>
          <w:ilvl w:val="1"/>
          <w:numId w:val="33"/>
        </w:numPr>
        <w:jc w:val="both"/>
        <w:rPr>
          <w:sz w:val="18"/>
          <w:szCs w:val="18"/>
        </w:rPr>
      </w:pPr>
      <w:r w:rsidRPr="00A64D84">
        <w:rPr>
          <w:sz w:val="18"/>
          <w:szCs w:val="18"/>
        </w:rPr>
        <w:t>způsob přenosu, přímého nebo nepřímého, zahrnuje mimo jiné,</w:t>
      </w:r>
    </w:p>
    <w:p w14:paraId="26620A39" w14:textId="77777777" w:rsidR="00EE18FA" w:rsidRPr="00A64D84" w:rsidRDefault="00EE18FA" w:rsidP="00EE18FA">
      <w:pPr>
        <w:pStyle w:val="Default"/>
        <w:numPr>
          <w:ilvl w:val="1"/>
          <w:numId w:val="33"/>
        </w:numPr>
        <w:jc w:val="both"/>
        <w:rPr>
          <w:sz w:val="18"/>
          <w:szCs w:val="18"/>
        </w:rPr>
      </w:pPr>
      <w:r w:rsidRPr="00A64D84">
        <w:rPr>
          <w:sz w:val="18"/>
          <w:szCs w:val="18"/>
        </w:rPr>
        <w:t>přenos vzduchem, přenos tělními tekutinami, přenos z jakéhokoliv povrchu nebo na jiný povrch nebo předmět, mezi pevnými látkami, kapalinami nebo plyny nebo mezi organismy a</w:t>
      </w:r>
    </w:p>
    <w:p w14:paraId="1A2EE894" w14:textId="77777777" w:rsidR="00EE18FA" w:rsidRPr="00A64D84" w:rsidRDefault="00EE18FA" w:rsidP="00EE18FA">
      <w:pPr>
        <w:pStyle w:val="Default"/>
        <w:numPr>
          <w:ilvl w:val="1"/>
          <w:numId w:val="33"/>
        </w:numPr>
        <w:jc w:val="both"/>
        <w:rPr>
          <w:sz w:val="18"/>
          <w:szCs w:val="18"/>
        </w:rPr>
      </w:pPr>
      <w:r w:rsidRPr="00A64D84">
        <w:rPr>
          <w:sz w:val="18"/>
          <w:szCs w:val="18"/>
        </w:rPr>
        <w:t>nemoc, látka nebo činitel mohou způsobit nebo ohrozit poškození lidského zdraví nebo lidského organismu nebo mohou způsobit nebo může hrozit poškození, znehodnocení, ztráta hodnoty nebo prodejnosti nebo ztrátu použitelnosti majetku pojištěného podle těchto pojistných podmínek.</w:t>
      </w:r>
    </w:p>
    <w:p w14:paraId="149D2E44" w14:textId="77777777" w:rsidR="00EE18FA" w:rsidRPr="00A64D84" w:rsidRDefault="00EE18FA" w:rsidP="00EE18FA">
      <w:pPr>
        <w:pStyle w:val="Default"/>
        <w:numPr>
          <w:ilvl w:val="0"/>
          <w:numId w:val="33"/>
        </w:numPr>
        <w:jc w:val="both"/>
        <w:rPr>
          <w:sz w:val="18"/>
          <w:szCs w:val="18"/>
        </w:rPr>
      </w:pPr>
      <w:r w:rsidRPr="00A64D84">
        <w:rPr>
          <w:sz w:val="18"/>
          <w:szCs w:val="18"/>
        </w:rPr>
        <w:lastRenderedPageBreak/>
        <w:t>T</w:t>
      </w:r>
      <w:r>
        <w:rPr>
          <w:sz w:val="18"/>
          <w:szCs w:val="18"/>
        </w:rPr>
        <w:t>a</w:t>
      </w:r>
      <w:r w:rsidRPr="00A64D84">
        <w:rPr>
          <w:sz w:val="18"/>
          <w:szCs w:val="18"/>
        </w:rPr>
        <w:t>to doložka se vztahuje na veškerá rozšíření pojištění, doplňková pojištění, výjimky z pojistných výluk a další poskytnutá krytí.</w:t>
      </w:r>
    </w:p>
    <w:p w14:paraId="6D049887" w14:textId="77777777" w:rsidR="00EE18FA" w:rsidRPr="00A64D84" w:rsidRDefault="00EE18FA" w:rsidP="00EE18FA">
      <w:pPr>
        <w:pStyle w:val="Default"/>
        <w:numPr>
          <w:ilvl w:val="0"/>
          <w:numId w:val="33"/>
        </w:numPr>
        <w:jc w:val="both"/>
        <w:rPr>
          <w:sz w:val="18"/>
          <w:szCs w:val="18"/>
        </w:rPr>
      </w:pPr>
      <w:r w:rsidRPr="00A64D84">
        <w:rPr>
          <w:sz w:val="18"/>
          <w:szCs w:val="18"/>
        </w:rPr>
        <w:t>Všechny ostatní podmínky a výluky pojistné smlouvy zůstávají beze změny.</w:t>
      </w:r>
    </w:p>
    <w:p w14:paraId="645C6B3A" w14:textId="77777777" w:rsidR="00EE18FA" w:rsidRPr="00A64D84" w:rsidRDefault="00EE18FA" w:rsidP="00EE18FA">
      <w:pPr>
        <w:pStyle w:val="Default"/>
        <w:rPr>
          <w:sz w:val="18"/>
          <w:szCs w:val="18"/>
        </w:rPr>
      </w:pPr>
    </w:p>
    <w:p w14:paraId="6F75363E" w14:textId="77777777" w:rsidR="00B65FF9" w:rsidRPr="006E0EFB" w:rsidRDefault="00B65FF9" w:rsidP="00B65FF9">
      <w:pPr>
        <w:rPr>
          <w:caps/>
          <w:sz w:val="18"/>
          <w:u w:val="single"/>
        </w:rPr>
      </w:pPr>
      <w:r w:rsidRPr="006E0EFB">
        <w:rPr>
          <w:caps/>
          <w:sz w:val="18"/>
          <w:u w:val="single"/>
        </w:rPr>
        <w:t>Doložka o hospodářských a obchodních sankcích</w:t>
      </w:r>
    </w:p>
    <w:p w14:paraId="7EAEEC52" w14:textId="77777777" w:rsidR="00B65FF9" w:rsidRPr="006E0EFB" w:rsidRDefault="00B65FF9" w:rsidP="00B65FF9">
      <w:pPr>
        <w:rPr>
          <w:rFonts w:cs="Arial"/>
          <w:sz w:val="18"/>
          <w:szCs w:val="18"/>
        </w:rPr>
      </w:pPr>
      <w:r w:rsidRPr="006E0EFB">
        <w:rPr>
          <w:rFonts w:cs="Arial"/>
          <w:sz w:val="18"/>
          <w:szCs w:val="18"/>
        </w:rPr>
        <w:t xml:space="preserve">Tato doložka má v tomto pojištění přednost před všemi ostatními ustanoveními </w:t>
      </w:r>
      <w:r w:rsidRPr="006E0EFB">
        <w:rPr>
          <w:rFonts w:cs="Arial"/>
          <w:i/>
          <w:sz w:val="18"/>
          <w:szCs w:val="18"/>
        </w:rPr>
        <w:t>podmínek</w:t>
      </w:r>
      <w:r w:rsidRPr="006E0EFB">
        <w:rPr>
          <w:rFonts w:cs="Arial"/>
          <w:sz w:val="18"/>
          <w:szCs w:val="18"/>
        </w:rPr>
        <w:t xml:space="preserve"> a </w:t>
      </w:r>
      <w:r w:rsidRPr="006E0EFB">
        <w:rPr>
          <w:rFonts w:cs="Arial"/>
          <w:i/>
          <w:sz w:val="18"/>
          <w:szCs w:val="18"/>
        </w:rPr>
        <w:t>pojistné smlouvy</w:t>
      </w:r>
      <w:r w:rsidRPr="006E0EFB">
        <w:rPr>
          <w:rFonts w:cs="Arial"/>
          <w:sz w:val="18"/>
          <w:szCs w:val="18"/>
        </w:rPr>
        <w:t xml:space="preserve"> a jejích příloh.</w:t>
      </w:r>
    </w:p>
    <w:p w14:paraId="17ACF31D" w14:textId="187D34A7" w:rsidR="00B65FF9" w:rsidRPr="006E0EFB" w:rsidRDefault="00B65FF9" w:rsidP="00B65FF9">
      <w:pPr>
        <w:rPr>
          <w:rFonts w:cs="Arial"/>
          <w:sz w:val="18"/>
          <w:szCs w:val="18"/>
        </w:rPr>
      </w:pPr>
      <w:r w:rsidRPr="006E0EFB">
        <w:rPr>
          <w:rFonts w:cs="Arial"/>
          <w:i/>
          <w:sz w:val="18"/>
          <w:szCs w:val="18"/>
        </w:rPr>
        <w:t>Pojistitel</w:t>
      </w:r>
      <w:r w:rsidRPr="006E0EFB">
        <w:rPr>
          <w:rFonts w:cs="Arial"/>
          <w:sz w:val="18"/>
          <w:szCs w:val="18"/>
        </w:rPr>
        <w:t xml:space="preserve"> neposkytne pojištění a neponese povinnost plnění jakéhokoliv nároku, ani neposkytne žádné pojistné plnění podle této smlouvy v rozsahu, v jakém by poskytnutí takového pojištění, plnění takového nároku nebo poskytnutí takového pojistného plnění vystavilo </w:t>
      </w:r>
      <w:r w:rsidRPr="006E0EFB">
        <w:rPr>
          <w:rFonts w:cs="Arial"/>
          <w:i/>
          <w:sz w:val="18"/>
          <w:szCs w:val="18"/>
        </w:rPr>
        <w:t xml:space="preserve">pojistitele </w:t>
      </w:r>
      <w:r w:rsidRPr="006E0EFB">
        <w:rPr>
          <w:rFonts w:cs="Arial"/>
          <w:sz w:val="18"/>
          <w:szCs w:val="18"/>
        </w:rPr>
        <w:t>riziku jakékoliv sankce, zákazu či omezení podle rezolucí Organizace spojených národů nebo riziku obchodních či hospodářských sankcí, zákonů či předpisů Evropské unie</w:t>
      </w:r>
      <w:r w:rsidR="00370A14">
        <w:rPr>
          <w:rFonts w:cs="Arial"/>
          <w:sz w:val="18"/>
          <w:szCs w:val="18"/>
        </w:rPr>
        <w:t>, Velké Británie</w:t>
      </w:r>
      <w:r w:rsidRPr="006E0EFB">
        <w:rPr>
          <w:rFonts w:cs="Arial"/>
          <w:sz w:val="18"/>
          <w:szCs w:val="18"/>
        </w:rPr>
        <w:t xml:space="preserve"> nebo Spojených států amerických.  </w:t>
      </w:r>
    </w:p>
    <w:p w14:paraId="60F7539C" w14:textId="77777777" w:rsidR="00CE4A70" w:rsidRDefault="00CE4A70" w:rsidP="00CE4A70">
      <w:pPr>
        <w:rPr>
          <w:rFonts w:cs="Arial"/>
          <w:u w:val="single"/>
        </w:rPr>
      </w:pPr>
    </w:p>
    <w:p w14:paraId="0B4F6ABB" w14:textId="77777777" w:rsidR="00CE4A70" w:rsidRPr="00CE4A70" w:rsidRDefault="00CE4A70" w:rsidP="00CE4A70">
      <w:pPr>
        <w:rPr>
          <w:rFonts w:cs="Arial"/>
          <w:sz w:val="18"/>
          <w:szCs w:val="18"/>
          <w:u w:val="single"/>
        </w:rPr>
      </w:pPr>
      <w:r w:rsidRPr="00CE4A70">
        <w:rPr>
          <w:rFonts w:cs="Arial"/>
          <w:sz w:val="18"/>
          <w:szCs w:val="18"/>
          <w:u w:val="single"/>
        </w:rPr>
        <w:t>REGISTR SMLUV</w:t>
      </w:r>
    </w:p>
    <w:p w14:paraId="00BE405C" w14:textId="77777777" w:rsidR="00CE4A70" w:rsidRPr="00CE4A70" w:rsidRDefault="00CE4A70" w:rsidP="00CE4A70">
      <w:pPr>
        <w:autoSpaceDE w:val="0"/>
        <w:autoSpaceDN w:val="0"/>
        <w:rPr>
          <w:rFonts w:cs="Arial"/>
          <w:color w:val="000000"/>
          <w:sz w:val="18"/>
          <w:szCs w:val="18"/>
        </w:rPr>
      </w:pPr>
      <w:r w:rsidRPr="00CE4A70">
        <w:rPr>
          <w:rFonts w:cs="Arial"/>
          <w:color w:val="000000"/>
          <w:sz w:val="18"/>
          <w:szCs w:val="18"/>
        </w:rPr>
        <w:t xml:space="preserve">Pokud tato pojistná smlouva podléhá povinnosti uveřejnění v registru smluv (dále jen „registr“) ve smyslu zákona č. 340/2015 Sb., zavazuje se pojistník k jejímu uveřejnění v rozsahu, způsobem a ve lhůtách stanovených citovaným zákonem. Při vyplnění formuláře pro uveřejnění smlouvy v registru je pojistník povinen vyplnit údaje o pojistiteli (jako smluvní straně) a do pole „Datová schránka“ uvést: </w:t>
      </w:r>
      <w:r w:rsidRPr="00CE4A70">
        <w:rPr>
          <w:rFonts w:cs="Arial"/>
          <w:b/>
          <w:bCs/>
          <w:sz w:val="18"/>
          <w:szCs w:val="18"/>
        </w:rPr>
        <w:t>33qanji</w:t>
      </w:r>
      <w:r w:rsidRPr="00CE4A70">
        <w:rPr>
          <w:rFonts w:cs="Arial"/>
          <w:b/>
          <w:bCs/>
          <w:color w:val="000000"/>
          <w:sz w:val="18"/>
          <w:szCs w:val="18"/>
        </w:rPr>
        <w:t xml:space="preserve">. </w:t>
      </w:r>
      <w:r w:rsidRPr="00CE4A70">
        <w:rPr>
          <w:rFonts w:cs="Arial"/>
          <w:color w:val="000000"/>
          <w:sz w:val="18"/>
          <w:szCs w:val="18"/>
        </w:rPr>
        <w:t>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1DB7B449" w14:textId="77777777" w:rsidR="00B65FF9" w:rsidRDefault="00B65FF9" w:rsidP="00CE4A70">
      <w:pPr>
        <w:rPr>
          <w:sz w:val="18"/>
        </w:rPr>
      </w:pPr>
    </w:p>
    <w:p w14:paraId="2B8C041A" w14:textId="77777777" w:rsidR="008A7C3A" w:rsidRPr="00EA5376" w:rsidRDefault="008A7C3A" w:rsidP="008A7C3A">
      <w:pPr>
        <w:rPr>
          <w:caps/>
          <w:sz w:val="18"/>
          <w:u w:val="single"/>
        </w:rPr>
      </w:pPr>
      <w:r w:rsidRPr="00EA5376">
        <w:rPr>
          <w:caps/>
          <w:sz w:val="18"/>
          <w:u w:val="single"/>
        </w:rPr>
        <w:t xml:space="preserve">Řešení stížností </w:t>
      </w:r>
    </w:p>
    <w:p w14:paraId="35862589" w14:textId="77777777" w:rsidR="008A7C3A" w:rsidRPr="00EA5376" w:rsidRDefault="008A7C3A" w:rsidP="008A7C3A">
      <w:pPr>
        <w:autoSpaceDE w:val="0"/>
        <w:autoSpaceDN w:val="0"/>
        <w:adjustRightInd w:val="0"/>
        <w:jc w:val="left"/>
        <w:rPr>
          <w:rFonts w:cs="Arial"/>
          <w:sz w:val="18"/>
          <w:szCs w:val="18"/>
        </w:rPr>
      </w:pPr>
      <w:r w:rsidRPr="00EA5376">
        <w:rPr>
          <w:rFonts w:cs="Arial"/>
          <w:sz w:val="18"/>
          <w:szCs w:val="18"/>
        </w:rPr>
        <w:t>Vynakládáme veškeré úsilí k tomu, abyste obdrželi služby nejvyšší kvality. Pokud však přesto nebudete s těmito službami spokojeni, kontaktujte prosím:</w:t>
      </w:r>
    </w:p>
    <w:p w14:paraId="765AD0EB" w14:textId="77777777" w:rsidR="008A7C3A" w:rsidRPr="00EA5376" w:rsidRDefault="008A7C3A" w:rsidP="008A7C3A">
      <w:pPr>
        <w:autoSpaceDE w:val="0"/>
        <w:autoSpaceDN w:val="0"/>
        <w:adjustRightInd w:val="0"/>
        <w:jc w:val="left"/>
        <w:rPr>
          <w:rFonts w:cs="Arial"/>
          <w:sz w:val="18"/>
          <w:szCs w:val="18"/>
        </w:rPr>
      </w:pPr>
      <w:r w:rsidRPr="00EA5376">
        <w:rPr>
          <w:rFonts w:cs="Arial"/>
          <w:sz w:val="18"/>
          <w:szCs w:val="18"/>
        </w:rPr>
        <w:t>1. Vašeho pojišťovacího zprostředkovatele, jehož prostřednictvím byla pojistná smlouva uzavřena; nebo</w:t>
      </w:r>
    </w:p>
    <w:p w14:paraId="150DCF4B" w14:textId="77777777" w:rsidR="008A7C3A" w:rsidRPr="00EA5376" w:rsidRDefault="008A7C3A" w:rsidP="008A7C3A">
      <w:pPr>
        <w:autoSpaceDE w:val="0"/>
        <w:autoSpaceDN w:val="0"/>
        <w:adjustRightInd w:val="0"/>
        <w:jc w:val="left"/>
        <w:rPr>
          <w:rFonts w:cs="Arial"/>
          <w:sz w:val="18"/>
          <w:szCs w:val="18"/>
        </w:rPr>
      </w:pPr>
      <w:r w:rsidRPr="00EA5376">
        <w:rPr>
          <w:rFonts w:cs="Arial"/>
          <w:sz w:val="18"/>
          <w:szCs w:val="18"/>
        </w:rPr>
        <w:t xml:space="preserve">2. </w:t>
      </w:r>
      <w:r w:rsidR="00D05728">
        <w:rPr>
          <w:rFonts w:cs="Arial"/>
          <w:sz w:val="18"/>
          <w:szCs w:val="18"/>
        </w:rPr>
        <w:t xml:space="preserve">Colonnade </w:t>
      </w:r>
      <w:proofErr w:type="gramStart"/>
      <w:r w:rsidR="00D05728">
        <w:rPr>
          <w:rFonts w:cs="Arial"/>
          <w:sz w:val="18"/>
          <w:szCs w:val="18"/>
        </w:rPr>
        <w:t>S.A.</w:t>
      </w:r>
      <w:proofErr w:type="gramEnd"/>
      <w:r w:rsidRPr="00EA5376">
        <w:rPr>
          <w:rFonts w:cs="Arial"/>
          <w:sz w:val="18"/>
          <w:szCs w:val="18"/>
        </w:rPr>
        <w:t xml:space="preserve">, organizační složka, generální ředitel, </w:t>
      </w:r>
      <w:r w:rsidR="007415C0" w:rsidRPr="007415C0">
        <w:rPr>
          <w:rFonts w:cs="Arial"/>
          <w:sz w:val="18"/>
          <w:szCs w:val="18"/>
        </w:rPr>
        <w:t>Na Pankráci 1683/127, 140 00 Praha 4</w:t>
      </w:r>
      <w:r w:rsidRPr="00EA5376">
        <w:rPr>
          <w:rFonts w:cs="Arial"/>
          <w:sz w:val="18"/>
          <w:szCs w:val="18"/>
        </w:rPr>
        <w:t>, Tel.: +420 234 108 311, Fax: +420 234 384.</w:t>
      </w:r>
    </w:p>
    <w:p w14:paraId="4DD636E7" w14:textId="77777777" w:rsidR="008A7C3A" w:rsidRPr="00EA5376" w:rsidRDefault="008A7C3A" w:rsidP="008A7C3A">
      <w:pPr>
        <w:autoSpaceDE w:val="0"/>
        <w:autoSpaceDN w:val="0"/>
        <w:adjustRightInd w:val="0"/>
        <w:jc w:val="left"/>
        <w:rPr>
          <w:rFonts w:cs="Arial"/>
          <w:sz w:val="18"/>
          <w:szCs w:val="18"/>
        </w:rPr>
      </w:pPr>
      <w:r w:rsidRPr="00EA5376">
        <w:rPr>
          <w:rFonts w:cs="Arial"/>
          <w:sz w:val="18"/>
          <w:szCs w:val="18"/>
        </w:rPr>
        <w:t xml:space="preserve">Abychom mohli Vaši stížnost rychle řešit, uvádějte vždy prosím číslo pojistné smlouvy nebo pojistné události a jméno pojistníka či pojištěného. </w:t>
      </w:r>
    </w:p>
    <w:p w14:paraId="2E0520C6" w14:textId="77777777" w:rsidR="008A7C3A" w:rsidRPr="00EA5376" w:rsidRDefault="008A7C3A" w:rsidP="008A7C3A">
      <w:pPr>
        <w:autoSpaceDE w:val="0"/>
        <w:autoSpaceDN w:val="0"/>
        <w:adjustRightInd w:val="0"/>
        <w:jc w:val="left"/>
        <w:rPr>
          <w:rFonts w:cs="Arial"/>
          <w:sz w:val="18"/>
          <w:szCs w:val="18"/>
        </w:rPr>
      </w:pPr>
      <w:r w:rsidRPr="00EA5376">
        <w:rPr>
          <w:rFonts w:cs="Arial"/>
          <w:sz w:val="18"/>
          <w:szCs w:val="18"/>
        </w:rPr>
        <w:t>Vynasnažíme se vyřešit Váš problém, pokud Vám však nebudeme schopní vyhovět, máte právo se obrátit na Českou národní banku, na adrese Česká národní banka sekce regulace a dohledu nad pojišťovnami, Na Příkopě 28, 115 03 Praha 1.</w:t>
      </w:r>
    </w:p>
    <w:p w14:paraId="15C71224" w14:textId="77777777" w:rsidR="00CE4A70" w:rsidRDefault="00CE4A70">
      <w:pPr>
        <w:jc w:val="center"/>
      </w:pPr>
    </w:p>
    <w:p w14:paraId="20FE4633" w14:textId="77777777" w:rsidR="00EC46C8" w:rsidRPr="00C872BF" w:rsidRDefault="00EC46C8" w:rsidP="00CE4A70">
      <w:pPr>
        <w:jc w:val="center"/>
        <w:rPr>
          <w:b/>
          <w:caps/>
          <w:sz w:val="18"/>
          <w:szCs w:val="18"/>
          <w:u w:val="single"/>
        </w:rPr>
      </w:pPr>
      <w:r w:rsidRPr="00C872BF">
        <w:rPr>
          <w:b/>
          <w:caps/>
          <w:sz w:val="18"/>
          <w:szCs w:val="18"/>
          <w:u w:val="single"/>
        </w:rPr>
        <w:t>Smluvní ujednání pro pojištění věcných škod</w:t>
      </w:r>
      <w:r w:rsidR="008B7401" w:rsidRPr="00C872BF">
        <w:rPr>
          <w:b/>
          <w:caps/>
          <w:sz w:val="18"/>
          <w:szCs w:val="18"/>
          <w:u w:val="single"/>
        </w:rPr>
        <w:t xml:space="preserve"> </w:t>
      </w:r>
      <w:r w:rsidR="008B7401" w:rsidRPr="00C872BF">
        <w:rPr>
          <w:b/>
          <w:sz w:val="18"/>
          <w:szCs w:val="18"/>
          <w:u w:val="single"/>
        </w:rPr>
        <w:t>(</w:t>
      </w:r>
      <w:r w:rsidR="00D05728">
        <w:rPr>
          <w:b/>
          <w:snapToGrid w:val="0"/>
          <w:sz w:val="18"/>
          <w:szCs w:val="18"/>
          <w:u w:val="single"/>
          <w:lang w:eastAsia="en-US"/>
        </w:rPr>
        <w:t>PRO 01-05/2017</w:t>
      </w:r>
      <w:r w:rsidR="008B7401" w:rsidRPr="00C872BF">
        <w:rPr>
          <w:b/>
          <w:snapToGrid w:val="0"/>
          <w:sz w:val="18"/>
          <w:szCs w:val="18"/>
          <w:u w:val="single"/>
          <w:lang w:eastAsia="en-US"/>
        </w:rPr>
        <w:t>)</w:t>
      </w:r>
    </w:p>
    <w:p w14:paraId="55D7CB52" w14:textId="77777777" w:rsidR="00EC46C8" w:rsidRPr="00D177D8" w:rsidRDefault="00EC46C8">
      <w:pPr>
        <w:rPr>
          <w:sz w:val="18"/>
        </w:rPr>
      </w:pPr>
    </w:p>
    <w:p w14:paraId="529FFCDA" w14:textId="77777777" w:rsidR="00EC46C8" w:rsidRPr="003409DA" w:rsidRDefault="00EC46C8" w:rsidP="003409DA">
      <w:pPr>
        <w:rPr>
          <w:caps/>
          <w:sz w:val="18"/>
          <w:u w:val="single"/>
        </w:rPr>
      </w:pPr>
      <w:r w:rsidRPr="003409DA">
        <w:rPr>
          <w:caps/>
          <w:sz w:val="18"/>
          <w:u w:val="single"/>
        </w:rPr>
        <w:t xml:space="preserve">Univerzální ustanovení </w:t>
      </w:r>
    </w:p>
    <w:p w14:paraId="5EB41EE5" w14:textId="77777777" w:rsidR="00EC46C8" w:rsidRPr="00D177D8" w:rsidRDefault="00EC46C8">
      <w:pPr>
        <w:rPr>
          <w:sz w:val="18"/>
        </w:rPr>
      </w:pPr>
      <w:r w:rsidRPr="00D177D8">
        <w:rPr>
          <w:sz w:val="18"/>
        </w:rPr>
        <w:t xml:space="preserve">Pro vyloučení pochybností se uvádí, že částky </w:t>
      </w:r>
      <w:r w:rsidRPr="00D177D8">
        <w:rPr>
          <w:i/>
          <w:sz w:val="18"/>
        </w:rPr>
        <w:t>limitů pojistných plnění</w:t>
      </w:r>
      <w:r w:rsidRPr="00D177D8">
        <w:rPr>
          <w:sz w:val="18"/>
        </w:rPr>
        <w:t xml:space="preserve">, které jsou uváděny ve smluvních ujednáních v </w:t>
      </w:r>
      <w:r w:rsidRPr="00D177D8">
        <w:rPr>
          <w:i/>
          <w:sz w:val="18"/>
        </w:rPr>
        <w:t>pojistné smlouvě</w:t>
      </w:r>
      <w:r w:rsidRPr="00D177D8">
        <w:rPr>
          <w:sz w:val="18"/>
        </w:rPr>
        <w:t xml:space="preserve">, nijak nezvyšují </w:t>
      </w:r>
      <w:r w:rsidRPr="00D177D8">
        <w:rPr>
          <w:i/>
          <w:sz w:val="18"/>
        </w:rPr>
        <w:t xml:space="preserve">roční limit pojistného plnění </w:t>
      </w:r>
      <w:r w:rsidRPr="00D177D8">
        <w:rPr>
          <w:sz w:val="18"/>
        </w:rPr>
        <w:t>a jsou jeho sub-limity.</w:t>
      </w:r>
    </w:p>
    <w:p w14:paraId="3F122004" w14:textId="77777777" w:rsidR="00EC46C8" w:rsidRPr="00D177D8" w:rsidRDefault="00EC46C8">
      <w:pPr>
        <w:rPr>
          <w:sz w:val="18"/>
        </w:rPr>
      </w:pPr>
    </w:p>
    <w:p w14:paraId="6C7CED42" w14:textId="77777777" w:rsidR="001A0CE8" w:rsidRPr="003409DA" w:rsidRDefault="001A0CE8" w:rsidP="003409DA">
      <w:pPr>
        <w:rPr>
          <w:caps/>
          <w:sz w:val="18"/>
          <w:u w:val="single"/>
        </w:rPr>
      </w:pPr>
      <w:r w:rsidRPr="003409DA">
        <w:rPr>
          <w:caps/>
          <w:sz w:val="18"/>
          <w:u w:val="single"/>
        </w:rPr>
        <w:t>Likvidace pojistných událostí</w:t>
      </w:r>
    </w:p>
    <w:p w14:paraId="0FA6E308" w14:textId="77777777" w:rsidR="001A0CE8" w:rsidRPr="00D177D8" w:rsidRDefault="001A0CE8" w:rsidP="001A0CE8">
      <w:pPr>
        <w:rPr>
          <w:sz w:val="18"/>
        </w:rPr>
      </w:pPr>
      <w:r w:rsidRPr="00D177D8">
        <w:rPr>
          <w:sz w:val="18"/>
        </w:rPr>
        <w:t xml:space="preserve">V případě, že se toto pojištění týká "velkých pojistných rizik" ve smyslu §  131 zákona č. 277/2009 Sb. o pojišťovnictví, ujednává se, že se na </w:t>
      </w:r>
      <w:r w:rsidRPr="00D177D8">
        <w:rPr>
          <w:i/>
          <w:sz w:val="18"/>
        </w:rPr>
        <w:t>pojistnou smlouvu</w:t>
      </w:r>
      <w:r w:rsidRPr="00D177D8">
        <w:rPr>
          <w:sz w:val="18"/>
        </w:rPr>
        <w:t xml:space="preserve"> nebude aplikovat ustanovení § </w:t>
      </w:r>
      <w:r w:rsidR="00654AC4">
        <w:rPr>
          <w:sz w:val="18"/>
        </w:rPr>
        <w:t>2798</w:t>
      </w:r>
      <w:r w:rsidRPr="00D177D8">
        <w:rPr>
          <w:sz w:val="18"/>
        </w:rPr>
        <w:t xml:space="preserve"> zákona č. </w:t>
      </w:r>
      <w:r w:rsidR="00654AC4">
        <w:rPr>
          <w:sz w:val="18"/>
        </w:rPr>
        <w:t>89</w:t>
      </w:r>
      <w:r w:rsidRPr="00D177D8">
        <w:rPr>
          <w:sz w:val="18"/>
        </w:rPr>
        <w:t>/20</w:t>
      </w:r>
      <w:r w:rsidR="00654AC4">
        <w:rPr>
          <w:sz w:val="18"/>
        </w:rPr>
        <w:t>12</w:t>
      </w:r>
      <w:r w:rsidRPr="00D177D8">
        <w:rPr>
          <w:sz w:val="18"/>
        </w:rPr>
        <w:t xml:space="preserve"> </w:t>
      </w:r>
      <w:r w:rsidR="00654AC4">
        <w:rPr>
          <w:sz w:val="18"/>
        </w:rPr>
        <w:t>občanský zákoník</w:t>
      </w:r>
      <w:r w:rsidRPr="00D177D8">
        <w:rPr>
          <w:sz w:val="18"/>
        </w:rPr>
        <w:t xml:space="preserve"> (dále jen </w:t>
      </w:r>
      <w:r w:rsidRPr="00D177D8">
        <w:rPr>
          <w:b/>
          <w:sz w:val="18"/>
        </w:rPr>
        <w:t>"</w:t>
      </w:r>
      <w:r w:rsidR="00654AC4">
        <w:rPr>
          <w:b/>
          <w:sz w:val="18"/>
        </w:rPr>
        <w:t>NOZ</w:t>
      </w:r>
      <w:r w:rsidRPr="00D177D8">
        <w:rPr>
          <w:b/>
          <w:sz w:val="18"/>
        </w:rPr>
        <w:t>"</w:t>
      </w:r>
      <w:r w:rsidRPr="00D177D8">
        <w:rPr>
          <w:sz w:val="18"/>
        </w:rPr>
        <w:t xml:space="preserve">) a příslušná práva a povinnosti </w:t>
      </w:r>
      <w:r w:rsidRPr="00D177D8">
        <w:rPr>
          <w:i/>
          <w:sz w:val="18"/>
        </w:rPr>
        <w:t>pojistitele</w:t>
      </w:r>
      <w:r w:rsidRPr="00D177D8">
        <w:rPr>
          <w:sz w:val="18"/>
        </w:rPr>
        <w:t xml:space="preserve">, </w:t>
      </w:r>
      <w:r w:rsidRPr="00D177D8">
        <w:rPr>
          <w:i/>
          <w:sz w:val="18"/>
        </w:rPr>
        <w:t>pojistníka</w:t>
      </w:r>
      <w:r w:rsidRPr="00D177D8">
        <w:rPr>
          <w:sz w:val="18"/>
        </w:rPr>
        <w:t xml:space="preserve"> a </w:t>
      </w:r>
      <w:r w:rsidRPr="00D177D8">
        <w:rPr>
          <w:i/>
          <w:sz w:val="18"/>
        </w:rPr>
        <w:t>pojištěného/</w:t>
      </w:r>
      <w:proofErr w:type="spellStart"/>
      <w:r w:rsidRPr="00D177D8">
        <w:rPr>
          <w:i/>
          <w:sz w:val="18"/>
        </w:rPr>
        <w:t>ých</w:t>
      </w:r>
      <w:proofErr w:type="spellEnd"/>
      <w:r w:rsidRPr="00D177D8">
        <w:rPr>
          <w:sz w:val="18"/>
        </w:rPr>
        <w:t xml:space="preserve"> se budou řídit pouze ustanoveními </w:t>
      </w:r>
      <w:r w:rsidRPr="00D177D8">
        <w:rPr>
          <w:i/>
          <w:sz w:val="18"/>
        </w:rPr>
        <w:t>pojistné smlouvy</w:t>
      </w:r>
      <w:r w:rsidRPr="00D177D8">
        <w:rPr>
          <w:sz w:val="18"/>
        </w:rPr>
        <w:t xml:space="preserve"> a </w:t>
      </w:r>
      <w:r w:rsidRPr="00D177D8">
        <w:rPr>
          <w:i/>
          <w:sz w:val="18"/>
        </w:rPr>
        <w:t>podmínek</w:t>
      </w:r>
      <w:r w:rsidRPr="00D177D8">
        <w:rPr>
          <w:sz w:val="18"/>
        </w:rPr>
        <w:t xml:space="preserve">.  </w:t>
      </w:r>
    </w:p>
    <w:p w14:paraId="10606CAC" w14:textId="77777777" w:rsidR="00EC46C8" w:rsidRPr="00D177D8" w:rsidRDefault="00EC46C8">
      <w:pPr>
        <w:rPr>
          <w:sz w:val="18"/>
        </w:rPr>
      </w:pPr>
    </w:p>
    <w:p w14:paraId="5E35AFE4" w14:textId="77777777" w:rsidR="00EC46C8" w:rsidRPr="003409DA" w:rsidRDefault="00EC46C8" w:rsidP="003409DA">
      <w:pPr>
        <w:rPr>
          <w:caps/>
          <w:sz w:val="18"/>
          <w:u w:val="single"/>
        </w:rPr>
      </w:pPr>
      <w:r w:rsidRPr="003409DA">
        <w:rPr>
          <w:caps/>
          <w:sz w:val="18"/>
          <w:u w:val="single"/>
        </w:rPr>
        <w:t xml:space="preserve">Pojistné plnění </w:t>
      </w:r>
    </w:p>
    <w:p w14:paraId="4CA99A84" w14:textId="77777777" w:rsidR="00EC46C8" w:rsidRPr="00D177D8" w:rsidRDefault="00E53DBE" w:rsidP="00E53DBE">
      <w:pPr>
        <w:rPr>
          <w:sz w:val="18"/>
        </w:rPr>
      </w:pPr>
      <w:r>
        <w:rPr>
          <w:sz w:val="18"/>
        </w:rPr>
        <w:t xml:space="preserve">1) </w:t>
      </w:r>
      <w:r w:rsidR="00EC46C8" w:rsidRPr="00D177D8">
        <w:rPr>
          <w:sz w:val="18"/>
        </w:rPr>
        <w:t>budov</w:t>
      </w:r>
      <w:r w:rsidR="00F3209F">
        <w:rPr>
          <w:sz w:val="18"/>
        </w:rPr>
        <w:t>y</w:t>
      </w:r>
      <w:r w:rsidR="00EC46C8" w:rsidRPr="00D177D8">
        <w:rPr>
          <w:sz w:val="18"/>
        </w:rPr>
        <w:t>, stav</w:t>
      </w:r>
      <w:r>
        <w:rPr>
          <w:sz w:val="18"/>
        </w:rPr>
        <w:t>by a ostatní nemovitý majetek a stroje</w:t>
      </w:r>
      <w:r w:rsidR="00EC46C8" w:rsidRPr="00D177D8">
        <w:rPr>
          <w:sz w:val="18"/>
        </w:rPr>
        <w:t>, zařízení, inventář a další movit</w:t>
      </w:r>
      <w:r>
        <w:rPr>
          <w:sz w:val="18"/>
        </w:rPr>
        <w:t>ý</w:t>
      </w:r>
      <w:r w:rsidR="00EC46C8" w:rsidRPr="00D177D8">
        <w:rPr>
          <w:sz w:val="18"/>
        </w:rPr>
        <w:t xml:space="preserve"> majet</w:t>
      </w:r>
      <w:r>
        <w:rPr>
          <w:sz w:val="18"/>
        </w:rPr>
        <w:t>e</w:t>
      </w:r>
      <w:r w:rsidR="00EC46C8" w:rsidRPr="00D177D8">
        <w:rPr>
          <w:sz w:val="18"/>
        </w:rPr>
        <w:t>k</w:t>
      </w:r>
      <w:r>
        <w:rPr>
          <w:sz w:val="18"/>
        </w:rPr>
        <w:t xml:space="preserve"> s výjimkou zásob</w:t>
      </w:r>
    </w:p>
    <w:p w14:paraId="219987E1" w14:textId="77777777" w:rsidR="00EC46C8" w:rsidRPr="00D177D8" w:rsidRDefault="00EC46C8">
      <w:pPr>
        <w:rPr>
          <w:sz w:val="18"/>
        </w:rPr>
      </w:pPr>
      <w:r w:rsidRPr="00D177D8">
        <w:rPr>
          <w:sz w:val="18"/>
        </w:rPr>
        <w:t xml:space="preserve">Pokud není v </w:t>
      </w:r>
      <w:r w:rsidRPr="00D177D8">
        <w:rPr>
          <w:i/>
          <w:sz w:val="18"/>
        </w:rPr>
        <w:t xml:space="preserve">podmínkách </w:t>
      </w:r>
      <w:r w:rsidRPr="00D177D8">
        <w:rPr>
          <w:sz w:val="18"/>
        </w:rPr>
        <w:t xml:space="preserve">nebo v </w:t>
      </w:r>
      <w:r w:rsidRPr="00D177D8">
        <w:rPr>
          <w:i/>
          <w:sz w:val="18"/>
        </w:rPr>
        <w:t xml:space="preserve">pojistné smlouvě </w:t>
      </w:r>
      <w:r w:rsidRPr="00D177D8">
        <w:rPr>
          <w:sz w:val="18"/>
        </w:rPr>
        <w:t xml:space="preserve">stanoveno jinak, bude základem pro výpočet pojistného plnění v případě </w:t>
      </w:r>
      <w:r w:rsidRPr="00D177D8">
        <w:rPr>
          <w:i/>
          <w:sz w:val="18"/>
        </w:rPr>
        <w:t xml:space="preserve">pojistné události </w:t>
      </w:r>
      <w:r w:rsidRPr="00D177D8">
        <w:rPr>
          <w:sz w:val="18"/>
        </w:rPr>
        <w:t>částka nutná k obnově zničené nebo poškozené věci. Obnova zničené nebo poškozené věci znamená:</w:t>
      </w:r>
    </w:p>
    <w:p w14:paraId="19FE98FC" w14:textId="77777777" w:rsidR="00EC46C8" w:rsidRPr="00D177D8" w:rsidRDefault="00EC46C8">
      <w:pPr>
        <w:numPr>
          <w:ilvl w:val="0"/>
          <w:numId w:val="15"/>
        </w:numPr>
        <w:rPr>
          <w:sz w:val="18"/>
        </w:rPr>
      </w:pPr>
      <w:r w:rsidRPr="00D177D8">
        <w:rPr>
          <w:sz w:val="18"/>
        </w:rPr>
        <w:t xml:space="preserve">v případě úplného zničení znovuvybudování, jde-li o budovu nebo v případě jiné věci, její nahrazení obdobnou věcí, do stejného stavu (nikoliv lepšího nebo rozšířenějšího) jako když byla tato věc nová, a </w:t>
      </w:r>
    </w:p>
    <w:p w14:paraId="573FB1A5" w14:textId="77777777" w:rsidR="00EC46C8" w:rsidRPr="00D177D8" w:rsidRDefault="00EC46C8">
      <w:pPr>
        <w:numPr>
          <w:ilvl w:val="0"/>
          <w:numId w:val="15"/>
        </w:numPr>
        <w:rPr>
          <w:sz w:val="18"/>
        </w:rPr>
      </w:pPr>
      <w:r w:rsidRPr="00D177D8">
        <w:rPr>
          <w:sz w:val="18"/>
        </w:rPr>
        <w:t>v případě částečného poškození oprava vzniklé škody a znovuobnovení poškozené části věci do stejného stavu (nikoliv lepšího nebo rozšířenějšího) jako když byla tato věc nová.</w:t>
      </w:r>
    </w:p>
    <w:p w14:paraId="418EE653" w14:textId="77777777" w:rsidR="00EC46C8" w:rsidRPr="00D177D8" w:rsidRDefault="00EC46C8">
      <w:pPr>
        <w:rPr>
          <w:sz w:val="18"/>
        </w:rPr>
      </w:pPr>
      <w:r w:rsidRPr="00D177D8">
        <w:rPr>
          <w:sz w:val="18"/>
        </w:rPr>
        <w:t xml:space="preserve">Obnovovací práce lze provádět na jiném místě jakýmkoliv způsobem vyhovujícím požadavkům </w:t>
      </w:r>
      <w:proofErr w:type="gramStart"/>
      <w:r w:rsidRPr="00D177D8">
        <w:rPr>
          <w:i/>
          <w:sz w:val="18"/>
        </w:rPr>
        <w:t>pojištěného</w:t>
      </w:r>
      <w:r w:rsidRPr="00D177D8">
        <w:rPr>
          <w:sz w:val="18"/>
        </w:rPr>
        <w:t xml:space="preserve"> pokud</w:t>
      </w:r>
      <w:proofErr w:type="gramEnd"/>
      <w:r w:rsidRPr="00D177D8">
        <w:rPr>
          <w:sz w:val="18"/>
        </w:rPr>
        <w:t xml:space="preserve"> tím nedojde ke zvýšení rozsahu povinnosti </w:t>
      </w:r>
      <w:r w:rsidRPr="00D177D8">
        <w:rPr>
          <w:i/>
          <w:sz w:val="18"/>
        </w:rPr>
        <w:t>pojistitele</w:t>
      </w:r>
      <w:r w:rsidRPr="00D177D8">
        <w:rPr>
          <w:sz w:val="18"/>
        </w:rPr>
        <w:t xml:space="preserve"> poskytnou pojistné plnění, musí být započaty a provedeny bez zbytečného prodlení.</w:t>
      </w:r>
    </w:p>
    <w:p w14:paraId="2226E0C3" w14:textId="77777777" w:rsidR="00EC46C8" w:rsidRPr="00D177D8" w:rsidRDefault="00EC46C8">
      <w:pPr>
        <w:rPr>
          <w:sz w:val="18"/>
        </w:rPr>
      </w:pPr>
      <w:r w:rsidRPr="00D177D8">
        <w:rPr>
          <w:sz w:val="18"/>
        </w:rPr>
        <w:t xml:space="preserve">V případě částečné škody pojistné plnění nepřevýší částku představující náklady na obnovu, které by </w:t>
      </w:r>
      <w:r w:rsidRPr="00D177D8">
        <w:rPr>
          <w:i/>
          <w:sz w:val="18"/>
        </w:rPr>
        <w:t>pojištěný</w:t>
      </w:r>
      <w:r w:rsidRPr="00D177D8">
        <w:rPr>
          <w:sz w:val="18"/>
        </w:rPr>
        <w:t xml:space="preserve"> musel vynaložit při totální škodě daného majetku.</w:t>
      </w:r>
    </w:p>
    <w:p w14:paraId="48894DD0" w14:textId="77777777" w:rsidR="00EC46C8" w:rsidRDefault="00EC46C8">
      <w:pPr>
        <w:rPr>
          <w:sz w:val="18"/>
        </w:rPr>
      </w:pPr>
      <w:r w:rsidRPr="00D177D8">
        <w:rPr>
          <w:sz w:val="18"/>
        </w:rPr>
        <w:t xml:space="preserve">V případě, že se </w:t>
      </w:r>
      <w:r w:rsidRPr="00D177D8">
        <w:rPr>
          <w:i/>
          <w:sz w:val="18"/>
        </w:rPr>
        <w:t>pojištěný</w:t>
      </w:r>
      <w:r w:rsidRPr="00D177D8">
        <w:rPr>
          <w:sz w:val="18"/>
        </w:rPr>
        <w:t xml:space="preserve"> rozhodne neobnovit ztracenou, poškozenou nebo zničenou </w:t>
      </w:r>
      <w:r w:rsidRPr="00D177D8">
        <w:rPr>
          <w:i/>
          <w:sz w:val="18"/>
        </w:rPr>
        <w:t>pojištěnou věc</w:t>
      </w:r>
      <w:r w:rsidRPr="00D177D8">
        <w:rPr>
          <w:sz w:val="18"/>
        </w:rPr>
        <w:t xml:space="preserve">, potom bude pojistné plnění vypočteno na základě časové ceny takového majetku, tj. hodnoty, kterou měla </w:t>
      </w:r>
      <w:r w:rsidRPr="00D177D8">
        <w:rPr>
          <w:i/>
          <w:sz w:val="18"/>
        </w:rPr>
        <w:t>pojištěná věc</w:t>
      </w:r>
      <w:r w:rsidRPr="00D177D8">
        <w:rPr>
          <w:sz w:val="18"/>
        </w:rPr>
        <w:t xml:space="preserve"> bezprostředně před </w:t>
      </w:r>
      <w:r w:rsidRPr="00D177D8">
        <w:rPr>
          <w:i/>
          <w:sz w:val="18"/>
        </w:rPr>
        <w:t>pojistnou událostí</w:t>
      </w:r>
      <w:r w:rsidRPr="00D177D8">
        <w:rPr>
          <w:sz w:val="18"/>
        </w:rPr>
        <w:t>.</w:t>
      </w:r>
    </w:p>
    <w:p w14:paraId="567B0E83" w14:textId="77777777" w:rsidR="00E53DBE" w:rsidRDefault="00E53DBE">
      <w:pPr>
        <w:rPr>
          <w:sz w:val="18"/>
        </w:rPr>
      </w:pPr>
      <w:r>
        <w:rPr>
          <w:sz w:val="18"/>
        </w:rPr>
        <w:t>2) zásoby</w:t>
      </w:r>
    </w:p>
    <w:p w14:paraId="49E88B49" w14:textId="77777777" w:rsidR="00E53DBE" w:rsidRPr="00D177D8" w:rsidRDefault="00E53DBE" w:rsidP="00E53DBE">
      <w:pPr>
        <w:rPr>
          <w:sz w:val="18"/>
        </w:rPr>
      </w:pPr>
      <w:r w:rsidRPr="00D177D8">
        <w:rPr>
          <w:sz w:val="18"/>
        </w:rPr>
        <w:lastRenderedPageBreak/>
        <w:t xml:space="preserve">Pokud není v </w:t>
      </w:r>
      <w:r w:rsidRPr="00D177D8">
        <w:rPr>
          <w:i/>
          <w:sz w:val="18"/>
        </w:rPr>
        <w:t xml:space="preserve">podmínkách </w:t>
      </w:r>
      <w:r w:rsidRPr="00D177D8">
        <w:rPr>
          <w:sz w:val="18"/>
        </w:rPr>
        <w:t xml:space="preserve">nebo v </w:t>
      </w:r>
      <w:r w:rsidRPr="00D177D8">
        <w:rPr>
          <w:i/>
          <w:sz w:val="18"/>
        </w:rPr>
        <w:t xml:space="preserve">pojistné smlouvě </w:t>
      </w:r>
      <w:r w:rsidRPr="00D177D8">
        <w:rPr>
          <w:sz w:val="18"/>
        </w:rPr>
        <w:t xml:space="preserve">stanoveno jinak, bude základem pro výpočet pojistného plnění v případě </w:t>
      </w:r>
      <w:r w:rsidRPr="00D177D8">
        <w:rPr>
          <w:i/>
          <w:sz w:val="18"/>
        </w:rPr>
        <w:t xml:space="preserve">pojistné události </w:t>
      </w:r>
      <w:r w:rsidRPr="00D177D8">
        <w:rPr>
          <w:sz w:val="18"/>
        </w:rPr>
        <w:t>částka nutná k obnově zničené nebo poškozené věci. Obnova zničené nebo poškozené věci znamená:</w:t>
      </w:r>
    </w:p>
    <w:p w14:paraId="7934453C" w14:textId="77777777" w:rsidR="00E53DBE" w:rsidRDefault="00E53DBE" w:rsidP="00E53DBE">
      <w:pPr>
        <w:rPr>
          <w:sz w:val="18"/>
        </w:rPr>
      </w:pPr>
      <w:r>
        <w:rPr>
          <w:sz w:val="18"/>
        </w:rPr>
        <w:t xml:space="preserve">a) </w:t>
      </w:r>
      <w:r w:rsidRPr="00D177D8">
        <w:rPr>
          <w:sz w:val="18"/>
        </w:rPr>
        <w:t xml:space="preserve">v případě úplného zničení </w:t>
      </w:r>
      <w:r>
        <w:rPr>
          <w:sz w:val="18"/>
        </w:rPr>
        <w:t>n</w:t>
      </w:r>
      <w:r w:rsidRPr="00D177D8">
        <w:rPr>
          <w:sz w:val="18"/>
        </w:rPr>
        <w:t>ahrazení obdobnou věcí</w:t>
      </w:r>
      <w:r>
        <w:rPr>
          <w:sz w:val="18"/>
        </w:rPr>
        <w:t xml:space="preserve"> stejného charakteru</w:t>
      </w:r>
    </w:p>
    <w:p w14:paraId="65510734" w14:textId="77777777" w:rsidR="00E53DBE" w:rsidRPr="00D177D8" w:rsidRDefault="00E53DBE" w:rsidP="00E53DBE">
      <w:pPr>
        <w:rPr>
          <w:sz w:val="18"/>
        </w:rPr>
      </w:pPr>
      <w:r>
        <w:rPr>
          <w:sz w:val="18"/>
        </w:rPr>
        <w:t xml:space="preserve">b) </w:t>
      </w:r>
      <w:r w:rsidRPr="00D177D8">
        <w:rPr>
          <w:sz w:val="18"/>
        </w:rPr>
        <w:t>v případě částečného poškození oprava vzniklé škody a znovuobnovení poškozené části věci do stejného stavu (nikoliv lepšího nebo rozšířenějšího) jako když byla tato věc nová.</w:t>
      </w:r>
      <w:r>
        <w:rPr>
          <w:sz w:val="18"/>
        </w:rPr>
        <w:t xml:space="preserve"> P</w:t>
      </w:r>
      <w:r w:rsidRPr="00D177D8">
        <w:rPr>
          <w:sz w:val="18"/>
        </w:rPr>
        <w:t xml:space="preserve">ojistné plnění nepřevýší částku představující náklady na obnovu, které by </w:t>
      </w:r>
      <w:r w:rsidRPr="00D177D8">
        <w:rPr>
          <w:i/>
          <w:sz w:val="18"/>
        </w:rPr>
        <w:t>pojištěný</w:t>
      </w:r>
      <w:r w:rsidRPr="00D177D8">
        <w:rPr>
          <w:sz w:val="18"/>
        </w:rPr>
        <w:t xml:space="preserve"> musel vynaložit při totální škodě daného majetku.</w:t>
      </w:r>
    </w:p>
    <w:p w14:paraId="708E5232" w14:textId="77777777" w:rsidR="00E53DBE" w:rsidRPr="00D177D8" w:rsidRDefault="00E53DBE">
      <w:pPr>
        <w:rPr>
          <w:sz w:val="18"/>
        </w:rPr>
      </w:pPr>
    </w:p>
    <w:p w14:paraId="18C05B8E" w14:textId="32F95EE8" w:rsidR="00EC46C8" w:rsidRPr="00D177D8" w:rsidRDefault="00EC46C8">
      <w:pPr>
        <w:rPr>
          <w:sz w:val="18"/>
        </w:rPr>
      </w:pPr>
      <w:r w:rsidRPr="00D177D8">
        <w:rPr>
          <w:i/>
          <w:sz w:val="18"/>
        </w:rPr>
        <w:t xml:space="preserve">Pojistitel </w:t>
      </w:r>
      <w:r w:rsidRPr="00D177D8">
        <w:rPr>
          <w:sz w:val="18"/>
        </w:rPr>
        <w:t xml:space="preserve">uplatní podpojištění podle článku 7 pouze v případě, kdy bude rozdíl mezi výdaji na obnovovací práce v době, kdy jsou prováděny a sjednanou </w:t>
      </w:r>
      <w:r w:rsidRPr="00D177D8">
        <w:rPr>
          <w:i/>
          <w:sz w:val="18"/>
        </w:rPr>
        <w:t>pojistnou částkou</w:t>
      </w:r>
      <w:r w:rsidRPr="00D177D8">
        <w:rPr>
          <w:sz w:val="18"/>
        </w:rPr>
        <w:t xml:space="preserve"> věci, která je obnovována, v době vzniku škody více než 15 %. </w:t>
      </w:r>
    </w:p>
    <w:p w14:paraId="26851F45" w14:textId="77777777" w:rsidR="001579E9" w:rsidRPr="00EA5376" w:rsidRDefault="001579E9" w:rsidP="001579E9">
      <w:pPr>
        <w:pStyle w:val="Zkladntext"/>
        <w:spacing w:after="0"/>
        <w:rPr>
          <w:caps/>
          <w:snapToGrid w:val="0"/>
          <w:sz w:val="18"/>
          <w:u w:val="single"/>
          <w:lang w:eastAsia="en-US"/>
        </w:rPr>
      </w:pPr>
      <w:r w:rsidRPr="00EA5376">
        <w:rPr>
          <w:caps/>
          <w:snapToGrid w:val="0"/>
          <w:sz w:val="18"/>
          <w:u w:val="single"/>
          <w:lang w:eastAsia="en-US"/>
        </w:rPr>
        <w:t xml:space="preserve">Oprava poškozeného majetku   </w:t>
      </w:r>
    </w:p>
    <w:p w14:paraId="5C0D54E2" w14:textId="77777777" w:rsidR="001579E9" w:rsidRPr="00EA5376" w:rsidRDefault="001579E9" w:rsidP="00E14029">
      <w:pPr>
        <w:pStyle w:val="Zkladntext"/>
        <w:spacing w:before="0" w:after="0"/>
        <w:rPr>
          <w:snapToGrid w:val="0"/>
          <w:sz w:val="18"/>
          <w:lang w:eastAsia="en-US"/>
        </w:rPr>
      </w:pPr>
      <w:r w:rsidRPr="00D177D8">
        <w:rPr>
          <w:snapToGrid w:val="0"/>
          <w:sz w:val="18"/>
          <w:lang w:eastAsia="en-US"/>
        </w:rPr>
        <w:t xml:space="preserve">S odvoláním na čl. </w:t>
      </w:r>
      <w:r>
        <w:rPr>
          <w:snapToGrid w:val="0"/>
          <w:sz w:val="18"/>
          <w:lang w:eastAsia="en-US"/>
        </w:rPr>
        <w:t>12.4</w:t>
      </w:r>
      <w:r w:rsidRPr="00D177D8">
        <w:rPr>
          <w:snapToGrid w:val="0"/>
          <w:sz w:val="18"/>
          <w:lang w:eastAsia="en-US"/>
        </w:rPr>
        <w:t xml:space="preserve"> </w:t>
      </w:r>
      <w:r w:rsidRPr="00D177D8">
        <w:rPr>
          <w:i/>
          <w:snapToGrid w:val="0"/>
          <w:sz w:val="18"/>
          <w:lang w:eastAsia="en-US"/>
        </w:rPr>
        <w:t>podmínek</w:t>
      </w:r>
      <w:r w:rsidRPr="00D177D8">
        <w:rPr>
          <w:snapToGrid w:val="0"/>
          <w:sz w:val="18"/>
          <w:lang w:eastAsia="en-US"/>
        </w:rPr>
        <w:t xml:space="preserve"> činí doba, po kterou je </w:t>
      </w:r>
      <w:r w:rsidRPr="00D177D8">
        <w:rPr>
          <w:i/>
          <w:snapToGrid w:val="0"/>
          <w:sz w:val="18"/>
          <w:lang w:eastAsia="en-US"/>
        </w:rPr>
        <w:t>pojištěný</w:t>
      </w:r>
      <w:r w:rsidRPr="00D177D8">
        <w:rPr>
          <w:snapToGrid w:val="0"/>
          <w:sz w:val="18"/>
          <w:lang w:eastAsia="en-US"/>
        </w:rPr>
        <w:t xml:space="preserve"> nejdéle povinen vyčkat s opravou majetku poškozeného pojistnou událostí nebo s odstraňováním zbytků takto zničeného majetku, 30 kalendářních dní.</w:t>
      </w:r>
      <w:r>
        <w:rPr>
          <w:snapToGrid w:val="0"/>
          <w:sz w:val="18"/>
          <w:lang w:eastAsia="en-US"/>
        </w:rPr>
        <w:t xml:space="preserve"> </w:t>
      </w:r>
      <w:r w:rsidRPr="00C064AB">
        <w:rPr>
          <w:sz w:val="18"/>
          <w:szCs w:val="18"/>
        </w:rPr>
        <w:t>Tato doba počíná běžet od data nahlášení pojistné události pojistiteli.</w:t>
      </w:r>
    </w:p>
    <w:p w14:paraId="067E527F" w14:textId="77777777" w:rsidR="00EC46C8" w:rsidRDefault="00EC46C8">
      <w:pPr>
        <w:rPr>
          <w:caps/>
          <w:sz w:val="18"/>
          <w:u w:val="single"/>
        </w:rPr>
      </w:pPr>
    </w:p>
    <w:p w14:paraId="37CC0B30" w14:textId="77777777" w:rsidR="00EC46C8" w:rsidRPr="003409DA" w:rsidRDefault="00EC46C8" w:rsidP="003409DA">
      <w:pPr>
        <w:rPr>
          <w:caps/>
          <w:sz w:val="18"/>
          <w:u w:val="single"/>
        </w:rPr>
      </w:pPr>
      <w:r w:rsidRPr="003409DA">
        <w:rPr>
          <w:caps/>
          <w:sz w:val="18"/>
          <w:u w:val="single"/>
        </w:rPr>
        <w:t>Náklady na odstranění trosek, demolici, čištění apod.</w:t>
      </w:r>
    </w:p>
    <w:p w14:paraId="29D5FC57" w14:textId="77777777" w:rsidR="00EC46C8" w:rsidRPr="00D177D8" w:rsidRDefault="00EC46C8">
      <w:pPr>
        <w:rPr>
          <w:sz w:val="18"/>
        </w:rPr>
      </w:pPr>
      <w:r w:rsidRPr="00D177D8">
        <w:rPr>
          <w:sz w:val="18"/>
        </w:rPr>
        <w:t xml:space="preserve">Pojištění věcných škod na pojištěných věcech kromě zásob a věcí na základě nájemní nebo leasingové smlouvy, je podle tohoto smluvního ujednání rozšířeno o náklady a výdaje, které </w:t>
      </w:r>
      <w:r w:rsidRPr="00D177D8">
        <w:rPr>
          <w:i/>
          <w:sz w:val="18"/>
        </w:rPr>
        <w:t>pojištěný</w:t>
      </w:r>
      <w:r w:rsidRPr="00D177D8">
        <w:rPr>
          <w:sz w:val="18"/>
        </w:rPr>
        <w:t xml:space="preserve"> se souhlasem </w:t>
      </w:r>
      <w:r w:rsidRPr="00D177D8">
        <w:rPr>
          <w:i/>
          <w:sz w:val="18"/>
        </w:rPr>
        <w:t>pojistitele</w:t>
      </w:r>
      <w:r w:rsidRPr="00D177D8">
        <w:rPr>
          <w:sz w:val="18"/>
        </w:rPr>
        <w:t xml:space="preserve"> vynaložil při:</w:t>
      </w:r>
    </w:p>
    <w:p w14:paraId="113E6F86" w14:textId="77777777" w:rsidR="00EC46C8" w:rsidRPr="00D177D8" w:rsidRDefault="00EC46C8">
      <w:pPr>
        <w:rPr>
          <w:sz w:val="18"/>
        </w:rPr>
      </w:pPr>
    </w:p>
    <w:p w14:paraId="234919F5" w14:textId="77777777" w:rsidR="00EC46C8" w:rsidRPr="00D177D8" w:rsidRDefault="00EC46C8">
      <w:pPr>
        <w:numPr>
          <w:ilvl w:val="0"/>
          <w:numId w:val="11"/>
        </w:numPr>
        <w:rPr>
          <w:sz w:val="18"/>
        </w:rPr>
      </w:pPr>
      <w:r w:rsidRPr="00D177D8">
        <w:rPr>
          <w:sz w:val="18"/>
        </w:rPr>
        <w:t>odstraňování trosek a zbytků;</w:t>
      </w:r>
    </w:p>
    <w:p w14:paraId="4675A146" w14:textId="77777777" w:rsidR="00EC46C8" w:rsidRPr="00D177D8" w:rsidRDefault="00EC46C8">
      <w:pPr>
        <w:numPr>
          <w:ilvl w:val="0"/>
          <w:numId w:val="11"/>
        </w:numPr>
        <w:rPr>
          <w:sz w:val="18"/>
        </w:rPr>
      </w:pPr>
      <w:r w:rsidRPr="00D177D8">
        <w:rPr>
          <w:sz w:val="18"/>
        </w:rPr>
        <w:t>demontáži nebo demolici;</w:t>
      </w:r>
    </w:p>
    <w:p w14:paraId="29B8C908" w14:textId="77777777" w:rsidR="00EC46C8" w:rsidRPr="00D177D8" w:rsidRDefault="00EC46C8">
      <w:pPr>
        <w:numPr>
          <w:ilvl w:val="0"/>
          <w:numId w:val="11"/>
        </w:numPr>
        <w:rPr>
          <w:sz w:val="18"/>
        </w:rPr>
      </w:pPr>
      <w:r w:rsidRPr="00D177D8">
        <w:rPr>
          <w:sz w:val="18"/>
        </w:rPr>
        <w:t xml:space="preserve">podpírání nebo stavění podpěr; </w:t>
      </w:r>
    </w:p>
    <w:p w14:paraId="31050023" w14:textId="77777777" w:rsidR="00EC46C8" w:rsidRPr="00D177D8" w:rsidRDefault="00EC46C8">
      <w:pPr>
        <w:numPr>
          <w:ilvl w:val="0"/>
          <w:numId w:val="11"/>
        </w:numPr>
        <w:rPr>
          <w:sz w:val="18"/>
        </w:rPr>
      </w:pPr>
      <w:r w:rsidRPr="00D177D8">
        <w:rPr>
          <w:sz w:val="18"/>
        </w:rPr>
        <w:t>čištění drenáží nebo odpadů,</w:t>
      </w:r>
    </w:p>
    <w:p w14:paraId="27E31C74" w14:textId="77777777" w:rsidR="00EC46C8" w:rsidRPr="00D177D8" w:rsidRDefault="00EC46C8">
      <w:pPr>
        <w:rPr>
          <w:sz w:val="18"/>
        </w:rPr>
      </w:pPr>
    </w:p>
    <w:p w14:paraId="4EC74A88" w14:textId="77777777" w:rsidR="00EC46C8" w:rsidRPr="00D177D8" w:rsidRDefault="00EC46C8">
      <w:pPr>
        <w:rPr>
          <w:b/>
          <w:sz w:val="18"/>
          <w:u w:val="single"/>
        </w:rPr>
      </w:pPr>
      <w:r w:rsidRPr="00D177D8">
        <w:rPr>
          <w:sz w:val="18"/>
        </w:rPr>
        <w:t xml:space="preserve">části nebo částí </w:t>
      </w:r>
      <w:r w:rsidRPr="00D177D8">
        <w:rPr>
          <w:i/>
          <w:sz w:val="18"/>
        </w:rPr>
        <w:t>pojištěných věcí</w:t>
      </w:r>
      <w:r w:rsidRPr="00D177D8">
        <w:rPr>
          <w:sz w:val="18"/>
        </w:rPr>
        <w:t xml:space="preserve">, které byly poškozeny nebo zničeny v důsledku </w:t>
      </w:r>
      <w:r w:rsidRPr="00D177D8">
        <w:rPr>
          <w:i/>
          <w:sz w:val="18"/>
        </w:rPr>
        <w:t>pojistné události</w:t>
      </w:r>
      <w:r w:rsidRPr="00D177D8">
        <w:rPr>
          <w:sz w:val="18"/>
        </w:rPr>
        <w:t xml:space="preserve">. Plnění </w:t>
      </w:r>
      <w:r w:rsidRPr="00D177D8">
        <w:rPr>
          <w:i/>
          <w:sz w:val="18"/>
        </w:rPr>
        <w:t>pojistitele</w:t>
      </w:r>
      <w:r w:rsidRPr="00D177D8">
        <w:rPr>
          <w:sz w:val="18"/>
        </w:rPr>
        <w:t xml:space="preserve"> nepřekročí pro tento účel sjednanou </w:t>
      </w:r>
      <w:r w:rsidRPr="00D177D8">
        <w:rPr>
          <w:i/>
          <w:sz w:val="18"/>
        </w:rPr>
        <w:t>pojistnou částku</w:t>
      </w:r>
      <w:r w:rsidRPr="00D177D8">
        <w:rPr>
          <w:sz w:val="18"/>
        </w:rPr>
        <w:t xml:space="preserve"> nebo</w:t>
      </w:r>
      <w:r w:rsidRPr="00D177D8">
        <w:rPr>
          <w:i/>
          <w:sz w:val="18"/>
        </w:rPr>
        <w:t xml:space="preserve"> limit pojistného plnění </w:t>
      </w:r>
      <w:r w:rsidRPr="00D177D8">
        <w:rPr>
          <w:sz w:val="18"/>
        </w:rPr>
        <w:t>uvedený v </w:t>
      </w:r>
      <w:r w:rsidRPr="00D177D8">
        <w:rPr>
          <w:i/>
          <w:sz w:val="18"/>
        </w:rPr>
        <w:t>pojistné smlouvě</w:t>
      </w:r>
      <w:r w:rsidRPr="00D177D8">
        <w:rPr>
          <w:sz w:val="18"/>
        </w:rPr>
        <w:t xml:space="preserve">. </w:t>
      </w:r>
      <w:r w:rsidR="001579E9" w:rsidRPr="00D157AF">
        <w:rPr>
          <w:rFonts w:eastAsia="Batang" w:cs="Arial"/>
          <w:sz w:val="18"/>
          <w:szCs w:val="18"/>
        </w:rPr>
        <w:t>Limitem plnění je částka uvedená ve Specifikaci.</w:t>
      </w:r>
      <w:r w:rsidR="001579E9" w:rsidRPr="00D177D8">
        <w:rPr>
          <w:sz w:val="18"/>
        </w:rPr>
        <w:t xml:space="preserve"> </w:t>
      </w:r>
      <w:r w:rsidRPr="00D177D8">
        <w:rPr>
          <w:sz w:val="18"/>
        </w:rPr>
        <w:t xml:space="preserve">Pokud </w:t>
      </w:r>
      <w:r w:rsidRPr="00D177D8">
        <w:rPr>
          <w:i/>
          <w:sz w:val="18"/>
        </w:rPr>
        <w:t>pojistná smlouva</w:t>
      </w:r>
      <w:r w:rsidRPr="00D177D8">
        <w:rPr>
          <w:sz w:val="18"/>
        </w:rPr>
        <w:t xml:space="preserve"> neobsahuje pro tento účel uvedenou </w:t>
      </w:r>
      <w:r w:rsidRPr="00D177D8">
        <w:rPr>
          <w:i/>
          <w:sz w:val="18"/>
        </w:rPr>
        <w:t xml:space="preserve">pojistnou částku </w:t>
      </w:r>
      <w:r w:rsidRPr="00D177D8">
        <w:rPr>
          <w:sz w:val="18"/>
        </w:rPr>
        <w:t xml:space="preserve">nebo </w:t>
      </w:r>
      <w:r w:rsidRPr="00D177D8">
        <w:rPr>
          <w:i/>
          <w:sz w:val="18"/>
        </w:rPr>
        <w:t>limit pojistného plnění</w:t>
      </w:r>
      <w:r w:rsidRPr="00D177D8">
        <w:rPr>
          <w:sz w:val="18"/>
        </w:rPr>
        <w:t xml:space="preserve">, rozšíření pojištění podle tohoto smluvního ujednání se neuplatní. </w:t>
      </w:r>
    </w:p>
    <w:p w14:paraId="4E832CAE" w14:textId="77777777" w:rsidR="00EC46C8" w:rsidRPr="00D177D8" w:rsidRDefault="00EC46C8">
      <w:pPr>
        <w:rPr>
          <w:sz w:val="18"/>
        </w:rPr>
      </w:pPr>
    </w:p>
    <w:p w14:paraId="1955F0EC" w14:textId="77777777" w:rsidR="00EC46C8" w:rsidRPr="003409DA" w:rsidRDefault="00EC46C8" w:rsidP="003409DA">
      <w:pPr>
        <w:rPr>
          <w:caps/>
          <w:sz w:val="18"/>
          <w:u w:val="single"/>
        </w:rPr>
      </w:pPr>
      <w:r w:rsidRPr="003409DA">
        <w:rPr>
          <w:caps/>
          <w:sz w:val="18"/>
          <w:u w:val="single"/>
        </w:rPr>
        <w:t>Zachraňovací náklady</w:t>
      </w:r>
    </w:p>
    <w:p w14:paraId="11083BD2" w14:textId="77777777" w:rsidR="00EC46C8" w:rsidRDefault="00EC46C8">
      <w:pPr>
        <w:rPr>
          <w:sz w:val="18"/>
        </w:rPr>
      </w:pPr>
      <w:r w:rsidRPr="00D177D8">
        <w:rPr>
          <w:i/>
          <w:sz w:val="18"/>
        </w:rPr>
        <w:t>Pojistitel</w:t>
      </w:r>
      <w:r w:rsidRPr="00D177D8">
        <w:rPr>
          <w:sz w:val="18"/>
        </w:rPr>
        <w:t xml:space="preserve"> uhradí </w:t>
      </w:r>
      <w:r w:rsidRPr="00D177D8">
        <w:rPr>
          <w:i/>
          <w:sz w:val="18"/>
        </w:rPr>
        <w:t xml:space="preserve">pojištěnému </w:t>
      </w:r>
      <w:r w:rsidRPr="00D177D8">
        <w:rPr>
          <w:sz w:val="18"/>
        </w:rPr>
        <w:t xml:space="preserve">zachraňovací náklady, které </w:t>
      </w:r>
      <w:r w:rsidRPr="00D177D8">
        <w:rPr>
          <w:i/>
          <w:sz w:val="18"/>
        </w:rPr>
        <w:t>pojištěný</w:t>
      </w:r>
      <w:r w:rsidRPr="00D177D8">
        <w:rPr>
          <w:sz w:val="18"/>
        </w:rPr>
        <w:t xml:space="preserve"> prokazatelně účelně a přiměřeně okolnostem vynaložil v příčinné souvislosti s </w:t>
      </w:r>
      <w:r w:rsidRPr="00D177D8">
        <w:rPr>
          <w:i/>
          <w:sz w:val="18"/>
        </w:rPr>
        <w:t>pojistnou událostí</w:t>
      </w:r>
      <w:r w:rsidRPr="00D177D8">
        <w:rPr>
          <w:sz w:val="18"/>
        </w:rPr>
        <w:t>. Zachraňovacími náklady nejsou náklady na zásah hasičů nebo jiných osob, které jsou povinny zasáhnout ve veřejném zájmu, ani náklady na dekontaminaci půdy nebo vody.</w:t>
      </w:r>
      <w:r w:rsidR="001579E9">
        <w:rPr>
          <w:sz w:val="18"/>
        </w:rPr>
        <w:t xml:space="preserve"> </w:t>
      </w:r>
      <w:r w:rsidRPr="00D177D8">
        <w:rPr>
          <w:sz w:val="18"/>
        </w:rPr>
        <w:t>Pokud není ujednáno jinak v</w:t>
      </w:r>
      <w:r w:rsidRPr="00D177D8">
        <w:rPr>
          <w:i/>
          <w:sz w:val="18"/>
        </w:rPr>
        <w:t xml:space="preserve"> pojistné smlouvě</w:t>
      </w:r>
      <w:r w:rsidRPr="00D177D8">
        <w:rPr>
          <w:sz w:val="18"/>
        </w:rPr>
        <w:t xml:space="preserve">, </w:t>
      </w:r>
      <w:r w:rsidRPr="00D177D8">
        <w:rPr>
          <w:i/>
          <w:sz w:val="18"/>
        </w:rPr>
        <w:t>pojistitel</w:t>
      </w:r>
      <w:r w:rsidRPr="00D177D8">
        <w:rPr>
          <w:sz w:val="18"/>
        </w:rPr>
        <w:t xml:space="preserve"> poskytne plnění v souvislosti se zachraňovacími náklady podle § </w:t>
      </w:r>
      <w:r w:rsidR="004C046A">
        <w:rPr>
          <w:sz w:val="18"/>
        </w:rPr>
        <w:t>2819</w:t>
      </w:r>
      <w:r w:rsidRPr="00D177D8">
        <w:rPr>
          <w:sz w:val="18"/>
        </w:rPr>
        <w:t xml:space="preserve"> odst. </w:t>
      </w:r>
      <w:r w:rsidR="004C046A">
        <w:rPr>
          <w:sz w:val="18"/>
        </w:rPr>
        <w:t>1</w:t>
      </w:r>
      <w:r w:rsidRPr="00D177D8">
        <w:rPr>
          <w:sz w:val="18"/>
        </w:rPr>
        <w:t xml:space="preserve"> </w:t>
      </w:r>
      <w:r w:rsidR="004C046A">
        <w:rPr>
          <w:sz w:val="18"/>
        </w:rPr>
        <w:t>občanského zákoníku</w:t>
      </w:r>
      <w:r w:rsidRPr="00D177D8">
        <w:rPr>
          <w:sz w:val="18"/>
        </w:rPr>
        <w:t xml:space="preserve"> pouze do výše  (</w:t>
      </w:r>
      <w:r w:rsidR="004C046A">
        <w:rPr>
          <w:sz w:val="18"/>
        </w:rPr>
        <w:t>1</w:t>
      </w:r>
      <w:r w:rsidRPr="00D177D8">
        <w:rPr>
          <w:sz w:val="18"/>
        </w:rPr>
        <w:t xml:space="preserve">) 5% </w:t>
      </w:r>
      <w:r w:rsidRPr="00D177D8">
        <w:rPr>
          <w:i/>
          <w:sz w:val="18"/>
        </w:rPr>
        <w:t>pojistné částky</w:t>
      </w:r>
      <w:r w:rsidRPr="00D177D8">
        <w:rPr>
          <w:sz w:val="18"/>
        </w:rPr>
        <w:t xml:space="preserve"> podle </w:t>
      </w:r>
      <w:r w:rsidRPr="00D177D8">
        <w:rPr>
          <w:i/>
          <w:sz w:val="18"/>
        </w:rPr>
        <w:t>pojistné smlouvy</w:t>
      </w:r>
      <w:r w:rsidRPr="00D177D8">
        <w:rPr>
          <w:sz w:val="18"/>
        </w:rPr>
        <w:t xml:space="preserve">; </w:t>
      </w:r>
      <w:r w:rsidR="00090630">
        <w:rPr>
          <w:sz w:val="18"/>
        </w:rPr>
        <w:t>nebo</w:t>
      </w:r>
      <w:r w:rsidR="00090630" w:rsidRPr="00D177D8">
        <w:rPr>
          <w:sz w:val="18"/>
        </w:rPr>
        <w:t xml:space="preserve"> </w:t>
      </w:r>
      <w:r w:rsidRPr="00D177D8">
        <w:rPr>
          <w:sz w:val="18"/>
        </w:rPr>
        <w:t>(</w:t>
      </w:r>
      <w:r w:rsidR="004C046A">
        <w:rPr>
          <w:sz w:val="18"/>
        </w:rPr>
        <w:t>2</w:t>
      </w:r>
      <w:r w:rsidRPr="00D177D8">
        <w:rPr>
          <w:sz w:val="18"/>
        </w:rPr>
        <w:t>) 50</w:t>
      </w:r>
      <w:r w:rsidR="001579E9">
        <w:rPr>
          <w:sz w:val="18"/>
        </w:rPr>
        <w:t> </w:t>
      </w:r>
      <w:r w:rsidRPr="00D177D8">
        <w:rPr>
          <w:sz w:val="18"/>
        </w:rPr>
        <w:t>000</w:t>
      </w:r>
      <w:r w:rsidR="001579E9">
        <w:rPr>
          <w:sz w:val="18"/>
        </w:rPr>
        <w:t>,-</w:t>
      </w:r>
      <w:r w:rsidRPr="00D177D8">
        <w:rPr>
          <w:sz w:val="18"/>
        </w:rPr>
        <w:t xml:space="preserve"> Kč podle toho, co je nižší.</w:t>
      </w:r>
      <w:r w:rsidR="001579E9">
        <w:rPr>
          <w:sz w:val="18"/>
        </w:rPr>
        <w:t xml:space="preserve"> </w:t>
      </w:r>
      <w:r w:rsidRPr="00D177D8">
        <w:rPr>
          <w:sz w:val="18"/>
        </w:rPr>
        <w:t xml:space="preserve">Zachraňovací náklady vynaložené na záchranu života nebo zdraví osob jsou omezeny částkou 30 % sjednané </w:t>
      </w:r>
      <w:r w:rsidRPr="00D177D8">
        <w:rPr>
          <w:i/>
          <w:sz w:val="18"/>
        </w:rPr>
        <w:t>pojistné částky</w:t>
      </w:r>
      <w:r w:rsidRPr="00D177D8">
        <w:rPr>
          <w:sz w:val="18"/>
        </w:rPr>
        <w:t>.</w:t>
      </w:r>
    </w:p>
    <w:p w14:paraId="61C30CF0" w14:textId="77777777" w:rsidR="0002789C" w:rsidRDefault="0002789C">
      <w:pPr>
        <w:rPr>
          <w:sz w:val="18"/>
        </w:rPr>
      </w:pPr>
    </w:p>
    <w:p w14:paraId="23DE1CF3" w14:textId="77777777" w:rsidR="0002789C" w:rsidRDefault="0002789C" w:rsidP="0002789C">
      <w:pPr>
        <w:jc w:val="center"/>
        <w:rPr>
          <w:b/>
          <w:caps/>
          <w:sz w:val="18"/>
          <w:szCs w:val="18"/>
          <w:u w:val="single"/>
        </w:rPr>
      </w:pPr>
    </w:p>
    <w:p w14:paraId="71BBEC9B" w14:textId="22BF66F9" w:rsidR="0002789C" w:rsidRDefault="0002789C" w:rsidP="0002789C">
      <w:pPr>
        <w:jc w:val="center"/>
        <w:rPr>
          <w:sz w:val="18"/>
        </w:rPr>
      </w:pPr>
      <w:r>
        <w:rPr>
          <w:b/>
          <w:caps/>
          <w:sz w:val="18"/>
          <w:szCs w:val="18"/>
          <w:u w:val="single"/>
        </w:rPr>
        <w:t xml:space="preserve">další </w:t>
      </w:r>
      <w:r w:rsidRPr="00C872BF">
        <w:rPr>
          <w:b/>
          <w:caps/>
          <w:sz w:val="18"/>
          <w:szCs w:val="18"/>
          <w:u w:val="single"/>
        </w:rPr>
        <w:t>Smluvní ujednání</w:t>
      </w:r>
    </w:p>
    <w:p w14:paraId="71143D44" w14:textId="77777777" w:rsidR="002E0B89" w:rsidRDefault="002E0B89">
      <w:pPr>
        <w:rPr>
          <w:sz w:val="18"/>
        </w:rPr>
      </w:pPr>
    </w:p>
    <w:p w14:paraId="1DE2EAE6" w14:textId="583CE81E" w:rsidR="002E0B89" w:rsidRDefault="002E0B89" w:rsidP="0002789C">
      <w:pPr>
        <w:rPr>
          <w:caps/>
          <w:sz w:val="18"/>
          <w:u w:val="single"/>
        </w:rPr>
      </w:pPr>
      <w:r w:rsidRPr="002E0B89">
        <w:rPr>
          <w:caps/>
          <w:sz w:val="18"/>
          <w:u w:val="single"/>
        </w:rPr>
        <w:t>Zplnomocněný makléř</w:t>
      </w:r>
    </w:p>
    <w:p w14:paraId="0BCF217A" w14:textId="0341B559" w:rsidR="002E0B89" w:rsidRPr="002E0B89" w:rsidRDefault="0049717E" w:rsidP="0002789C">
      <w:pPr>
        <w:rPr>
          <w:caps/>
          <w:sz w:val="18"/>
          <w:u w:val="single"/>
        </w:rPr>
      </w:pPr>
      <w:r w:rsidRPr="002E0B89">
        <w:rPr>
          <w:i/>
          <w:iCs/>
          <w:sz w:val="18"/>
          <w:szCs w:val="18"/>
        </w:rPr>
        <w:t>Pojistná smlouva</w:t>
      </w:r>
      <w:r w:rsidR="002E0B89" w:rsidRPr="00A77DC1">
        <w:rPr>
          <w:rFonts w:cs="Arial"/>
          <w:snapToGrid w:val="0"/>
          <w:sz w:val="18"/>
          <w:szCs w:val="18"/>
          <w:lang w:eastAsia="en-US"/>
        </w:rPr>
        <w:t xml:space="preserve"> je sjednán</w:t>
      </w:r>
      <w:r>
        <w:rPr>
          <w:rFonts w:cs="Arial"/>
          <w:snapToGrid w:val="0"/>
          <w:sz w:val="18"/>
          <w:szCs w:val="18"/>
          <w:lang w:eastAsia="en-US"/>
        </w:rPr>
        <w:t>a</w:t>
      </w:r>
      <w:r w:rsidR="002E0B89" w:rsidRPr="00A77DC1">
        <w:rPr>
          <w:rFonts w:cs="Arial"/>
          <w:snapToGrid w:val="0"/>
          <w:sz w:val="18"/>
          <w:szCs w:val="18"/>
          <w:lang w:eastAsia="en-US"/>
        </w:rPr>
        <w:t xml:space="preserve"> a spravován</w:t>
      </w:r>
      <w:r>
        <w:rPr>
          <w:rFonts w:cs="Arial"/>
          <w:snapToGrid w:val="0"/>
          <w:sz w:val="18"/>
          <w:szCs w:val="18"/>
          <w:lang w:eastAsia="en-US"/>
        </w:rPr>
        <w:t>a</w:t>
      </w:r>
      <w:r w:rsidR="002E0B89" w:rsidRPr="00A77DC1">
        <w:rPr>
          <w:rFonts w:cs="Arial"/>
          <w:snapToGrid w:val="0"/>
          <w:sz w:val="18"/>
          <w:szCs w:val="18"/>
          <w:lang w:eastAsia="en-US"/>
        </w:rPr>
        <w:t xml:space="preserve"> prostřednictvím zplnomocněného makléře </w:t>
      </w:r>
      <w:proofErr w:type="spellStart"/>
      <w:r w:rsidR="002E0B89" w:rsidRPr="00A77DC1">
        <w:rPr>
          <w:rFonts w:cs="Arial"/>
          <w:snapToGrid w:val="0"/>
          <w:sz w:val="18"/>
          <w:szCs w:val="18"/>
          <w:lang w:eastAsia="en-US"/>
        </w:rPr>
        <w:t>Eurovalley</w:t>
      </w:r>
      <w:proofErr w:type="spellEnd"/>
      <w:r w:rsidR="002E0B89" w:rsidRPr="00A77DC1">
        <w:rPr>
          <w:rFonts w:cs="Arial"/>
          <w:snapToGrid w:val="0"/>
          <w:sz w:val="18"/>
          <w:szCs w:val="18"/>
          <w:lang w:eastAsia="en-US"/>
        </w:rPr>
        <w:t xml:space="preserve"> s.r.o.</w:t>
      </w:r>
      <w:r w:rsidR="002E0B89">
        <w:rPr>
          <w:rFonts w:cs="Arial"/>
          <w:snapToGrid w:val="0"/>
          <w:sz w:val="18"/>
          <w:szCs w:val="18"/>
          <w:lang w:eastAsia="en-US"/>
        </w:rPr>
        <w:t xml:space="preserve"> </w:t>
      </w:r>
      <w:r w:rsidR="002E0B89" w:rsidRPr="00A77DC1">
        <w:rPr>
          <w:rFonts w:cs="Arial"/>
          <w:snapToGrid w:val="0"/>
          <w:sz w:val="18"/>
          <w:szCs w:val="18"/>
          <w:lang w:eastAsia="en-US"/>
        </w:rPr>
        <w:t xml:space="preserve">(Příkop 838/6, Zábrdovice, Brno, 602 00, IČ: 29368324, DIČ: CZ29368324). </w:t>
      </w:r>
      <w:r w:rsidRPr="0049717E">
        <w:rPr>
          <w:rFonts w:cs="Arial"/>
          <w:i/>
          <w:iCs/>
          <w:snapToGrid w:val="0"/>
          <w:sz w:val="18"/>
          <w:szCs w:val="18"/>
          <w:lang w:eastAsia="en-US"/>
        </w:rPr>
        <w:t>Pojištěný</w:t>
      </w:r>
      <w:r w:rsidR="002E0B89" w:rsidRPr="00A77DC1">
        <w:rPr>
          <w:rFonts w:cs="Arial"/>
          <w:snapToGrid w:val="0"/>
          <w:sz w:val="18"/>
          <w:szCs w:val="18"/>
          <w:lang w:eastAsia="en-US"/>
        </w:rPr>
        <w:t xml:space="preserve"> má uzavřenou</w:t>
      </w:r>
      <w:r w:rsidR="002E0B89">
        <w:rPr>
          <w:rFonts w:cs="Arial"/>
          <w:snapToGrid w:val="0"/>
          <w:sz w:val="18"/>
          <w:szCs w:val="18"/>
          <w:lang w:eastAsia="en-US"/>
        </w:rPr>
        <w:t xml:space="preserve"> </w:t>
      </w:r>
      <w:r w:rsidR="002E0B89" w:rsidRPr="00A77DC1">
        <w:rPr>
          <w:rFonts w:cs="Arial"/>
          <w:snapToGrid w:val="0"/>
          <w:sz w:val="18"/>
          <w:szCs w:val="18"/>
          <w:lang w:eastAsia="en-US"/>
        </w:rPr>
        <w:t xml:space="preserve">smlouvu s tímto makléřem na dobu určitou do </w:t>
      </w:r>
      <w:proofErr w:type="gramStart"/>
      <w:r w:rsidR="002E0B89" w:rsidRPr="00A77DC1">
        <w:rPr>
          <w:rFonts w:cs="Arial"/>
          <w:snapToGrid w:val="0"/>
          <w:sz w:val="18"/>
          <w:szCs w:val="18"/>
          <w:lang w:eastAsia="en-US"/>
        </w:rPr>
        <w:t>31.12.2027</w:t>
      </w:r>
      <w:proofErr w:type="gramEnd"/>
      <w:r w:rsidR="002E0B89" w:rsidRPr="00A77DC1">
        <w:rPr>
          <w:rFonts w:cs="Arial"/>
          <w:snapToGrid w:val="0"/>
          <w:sz w:val="18"/>
          <w:szCs w:val="18"/>
          <w:lang w:eastAsia="en-US"/>
        </w:rPr>
        <w:t>. Po dobu trvání této smlouvy jsou veškeré</w:t>
      </w:r>
      <w:r w:rsidR="002E0B89">
        <w:rPr>
          <w:rFonts w:cs="Arial"/>
          <w:snapToGrid w:val="0"/>
          <w:sz w:val="18"/>
          <w:szCs w:val="18"/>
          <w:lang w:eastAsia="en-US"/>
        </w:rPr>
        <w:t xml:space="preserve"> </w:t>
      </w:r>
      <w:r w:rsidR="002E0B89" w:rsidRPr="00A77DC1">
        <w:rPr>
          <w:rFonts w:cs="Arial"/>
          <w:snapToGrid w:val="0"/>
          <w:sz w:val="18"/>
          <w:szCs w:val="18"/>
          <w:lang w:eastAsia="en-US"/>
        </w:rPr>
        <w:t xml:space="preserve">úkony související s touto </w:t>
      </w:r>
      <w:r w:rsidR="002E0B89" w:rsidRPr="0049717E">
        <w:rPr>
          <w:rFonts w:cs="Arial"/>
          <w:i/>
          <w:iCs/>
          <w:snapToGrid w:val="0"/>
          <w:sz w:val="18"/>
          <w:szCs w:val="18"/>
          <w:lang w:eastAsia="en-US"/>
        </w:rPr>
        <w:t>pojistnou smlouvou</w:t>
      </w:r>
      <w:r w:rsidR="002E0B89" w:rsidRPr="00A77DC1">
        <w:rPr>
          <w:rFonts w:cs="Arial"/>
          <w:snapToGrid w:val="0"/>
          <w:sz w:val="18"/>
          <w:szCs w:val="18"/>
          <w:lang w:eastAsia="en-US"/>
        </w:rPr>
        <w:t xml:space="preserve"> prováděny výhradně prostřednictvím zplnomocněného</w:t>
      </w:r>
      <w:r w:rsidR="002E0B89">
        <w:rPr>
          <w:rFonts w:cs="Arial"/>
          <w:snapToGrid w:val="0"/>
          <w:sz w:val="18"/>
          <w:szCs w:val="18"/>
          <w:lang w:eastAsia="en-US"/>
        </w:rPr>
        <w:t xml:space="preserve"> </w:t>
      </w:r>
      <w:r w:rsidR="002E0B89" w:rsidRPr="00A77DC1">
        <w:rPr>
          <w:rFonts w:cs="Arial"/>
          <w:snapToGrid w:val="0"/>
          <w:sz w:val="18"/>
          <w:szCs w:val="18"/>
          <w:lang w:eastAsia="en-US"/>
        </w:rPr>
        <w:t xml:space="preserve">makléře </w:t>
      </w:r>
      <w:proofErr w:type="spellStart"/>
      <w:r w:rsidR="002E0B89" w:rsidRPr="00A77DC1">
        <w:rPr>
          <w:rFonts w:cs="Arial"/>
          <w:snapToGrid w:val="0"/>
          <w:sz w:val="18"/>
          <w:szCs w:val="18"/>
          <w:lang w:eastAsia="en-US"/>
        </w:rPr>
        <w:t>Eurovalley</w:t>
      </w:r>
      <w:proofErr w:type="spellEnd"/>
      <w:r w:rsidR="002E0B89" w:rsidRPr="00A77DC1">
        <w:rPr>
          <w:rFonts w:cs="Arial"/>
          <w:snapToGrid w:val="0"/>
          <w:sz w:val="18"/>
          <w:szCs w:val="18"/>
          <w:lang w:eastAsia="en-US"/>
        </w:rPr>
        <w:t xml:space="preserve"> s.r.o.</w:t>
      </w:r>
    </w:p>
    <w:p w14:paraId="630E20E7" w14:textId="77777777" w:rsidR="002E0B89" w:rsidRDefault="002E0B89" w:rsidP="0002789C">
      <w:pPr>
        <w:widowControl w:val="0"/>
        <w:autoSpaceDE w:val="0"/>
        <w:autoSpaceDN w:val="0"/>
        <w:adjustRightInd w:val="0"/>
        <w:spacing w:before="240" w:after="120"/>
        <w:contextualSpacing/>
        <w:rPr>
          <w:b/>
        </w:rPr>
      </w:pPr>
      <w:bookmarkStart w:id="13" w:name="_Hlk22732358"/>
    </w:p>
    <w:p w14:paraId="2B743006" w14:textId="29E576DF" w:rsidR="002E0B89" w:rsidRPr="00E1214F" w:rsidRDefault="002E0B89" w:rsidP="0002789C">
      <w:pPr>
        <w:widowControl w:val="0"/>
        <w:autoSpaceDE w:val="0"/>
        <w:autoSpaceDN w:val="0"/>
        <w:adjustRightInd w:val="0"/>
        <w:spacing w:before="240" w:after="120"/>
        <w:contextualSpacing/>
        <w:rPr>
          <w:bCs/>
          <w:caps/>
          <w:sz w:val="18"/>
          <w:szCs w:val="18"/>
          <w:u w:val="single"/>
        </w:rPr>
      </w:pPr>
      <w:r w:rsidRPr="00E1214F">
        <w:rPr>
          <w:bCs/>
          <w:caps/>
          <w:sz w:val="18"/>
          <w:szCs w:val="18"/>
          <w:u w:val="single"/>
        </w:rPr>
        <w:t>Smluvní ujednání zvláštní povahy</w:t>
      </w:r>
    </w:p>
    <w:bookmarkEnd w:id="13"/>
    <w:p w14:paraId="2B7BAC6D" w14:textId="77777777" w:rsidR="002E0B89" w:rsidRPr="00E1214F" w:rsidRDefault="002E0B89" w:rsidP="0002789C">
      <w:pPr>
        <w:rPr>
          <w:sz w:val="18"/>
          <w:szCs w:val="18"/>
        </w:rPr>
      </w:pPr>
      <w:r w:rsidRPr="00E1214F">
        <w:rPr>
          <w:sz w:val="18"/>
          <w:szCs w:val="18"/>
        </w:rPr>
        <w:t xml:space="preserve">Společnost Brněnské vodárny a kanalizace, a.s. podporuje rovný přístup, spravedlnost, legálnost, slušnost a etické chování ve všech obchodních vztazích v souladu s </w:t>
      </w:r>
      <w:proofErr w:type="gramStart"/>
      <w:r w:rsidRPr="00E1214F">
        <w:rPr>
          <w:sz w:val="18"/>
          <w:szCs w:val="18"/>
        </w:rPr>
        <w:t>Etickou</w:t>
      </w:r>
      <w:proofErr w:type="gramEnd"/>
      <w:r w:rsidRPr="00E1214F">
        <w:rPr>
          <w:sz w:val="18"/>
          <w:szCs w:val="18"/>
        </w:rPr>
        <w:t xml:space="preserve"> chartu a Etikou ve vztazích s dodavateli, kterou vydal SUEZ, a která je umístěna na internetových stránkách společnosti www.bvk.cz. Pro oznámení nelegálního a neetického chování je možné použít emailovou adresu: ethics@suez.com.</w:t>
      </w:r>
    </w:p>
    <w:p w14:paraId="42929E1A" w14:textId="77777777" w:rsidR="002E0B89" w:rsidRPr="00E1214F" w:rsidRDefault="002E0B89" w:rsidP="0002789C">
      <w:pPr>
        <w:rPr>
          <w:sz w:val="18"/>
          <w:szCs w:val="18"/>
        </w:rPr>
      </w:pPr>
    </w:p>
    <w:p w14:paraId="0DC81062" w14:textId="2997047F" w:rsidR="002E0B89" w:rsidRPr="00E1214F" w:rsidRDefault="0049717E" w:rsidP="0002789C">
      <w:pPr>
        <w:rPr>
          <w:sz w:val="18"/>
          <w:szCs w:val="18"/>
        </w:rPr>
      </w:pPr>
      <w:r w:rsidRPr="00E1214F">
        <w:rPr>
          <w:i/>
          <w:iCs/>
          <w:sz w:val="18"/>
          <w:szCs w:val="18"/>
        </w:rPr>
        <w:t>Pojistná smlouva</w:t>
      </w:r>
      <w:r w:rsidR="002E0B89" w:rsidRPr="00E1214F">
        <w:rPr>
          <w:sz w:val="18"/>
          <w:szCs w:val="18"/>
        </w:rPr>
        <w:t xml:space="preserve"> byla uzavřena v běžném obchodním styku právnickou osobou, která byla založena za účelem uspokojování potřeb majících průmyslovou nebo obchodní povahu.</w:t>
      </w:r>
    </w:p>
    <w:p w14:paraId="4F293746" w14:textId="596FEAAB" w:rsidR="009A4481" w:rsidRDefault="0049717E" w:rsidP="0002789C">
      <w:pPr>
        <w:rPr>
          <w:sz w:val="18"/>
          <w:szCs w:val="18"/>
        </w:rPr>
      </w:pPr>
      <w:r w:rsidRPr="00E1214F">
        <w:rPr>
          <w:i/>
          <w:iCs/>
          <w:sz w:val="18"/>
          <w:szCs w:val="18"/>
        </w:rPr>
        <w:t>Pojistná smlouva</w:t>
      </w:r>
      <w:r w:rsidR="002E0B89" w:rsidRPr="00E1214F">
        <w:rPr>
          <w:sz w:val="18"/>
          <w:szCs w:val="18"/>
        </w:rPr>
        <w:t xml:space="preserve"> nepodléhá uveřejnění v registru smluv dle zákona č. 340/2015 Sb., o zvláštních podmínkách účinnosti některých smluv, uveřejňování těchto smluv a o registru smluv (zákon o registru smluv) ve znění pozdějších předpisů.</w:t>
      </w:r>
    </w:p>
    <w:p w14:paraId="358A8F25" w14:textId="77777777" w:rsidR="009A4481" w:rsidRDefault="009A4481">
      <w:pPr>
        <w:jc w:val="left"/>
        <w:rPr>
          <w:sz w:val="18"/>
          <w:szCs w:val="18"/>
        </w:rPr>
      </w:pPr>
      <w:r>
        <w:rPr>
          <w:sz w:val="18"/>
          <w:szCs w:val="18"/>
        </w:rPr>
        <w:br w:type="page"/>
      </w:r>
    </w:p>
    <w:p w14:paraId="6376A39F" w14:textId="77777777" w:rsidR="002E0B89" w:rsidRPr="00E1214F" w:rsidRDefault="002E0B89" w:rsidP="0002789C">
      <w:pPr>
        <w:rPr>
          <w:sz w:val="18"/>
          <w:szCs w:val="18"/>
        </w:rPr>
      </w:pPr>
    </w:p>
    <w:p w14:paraId="7B3A50B1" w14:textId="1BAA9FAD" w:rsidR="002E0B89" w:rsidRPr="00E1214F" w:rsidRDefault="002E0B89" w:rsidP="0002789C">
      <w:pPr>
        <w:rPr>
          <w:sz w:val="18"/>
          <w:szCs w:val="18"/>
        </w:rPr>
      </w:pPr>
      <w:r w:rsidRPr="00E1214F">
        <w:rPr>
          <w:sz w:val="18"/>
          <w:szCs w:val="18"/>
        </w:rPr>
        <w:t xml:space="preserve">Smluvní strany se dohodly, že pro naplnění transparentnosti při uzavření smlouvy společnost Brněnské vodárny a kanalizace, a.s. zveřejní </w:t>
      </w:r>
      <w:r w:rsidR="0049717E" w:rsidRPr="00E1214F">
        <w:rPr>
          <w:i/>
          <w:iCs/>
          <w:sz w:val="18"/>
          <w:szCs w:val="18"/>
        </w:rPr>
        <w:t>pojistn</w:t>
      </w:r>
      <w:r w:rsidR="00D64A26">
        <w:rPr>
          <w:i/>
          <w:iCs/>
          <w:sz w:val="18"/>
          <w:szCs w:val="18"/>
        </w:rPr>
        <w:t>ou</w:t>
      </w:r>
      <w:r w:rsidR="0049717E" w:rsidRPr="00E1214F">
        <w:rPr>
          <w:i/>
          <w:iCs/>
          <w:sz w:val="18"/>
          <w:szCs w:val="18"/>
        </w:rPr>
        <w:t xml:space="preserve"> smlouv</w:t>
      </w:r>
      <w:r w:rsidR="00D64A26">
        <w:rPr>
          <w:i/>
          <w:iCs/>
          <w:sz w:val="18"/>
          <w:szCs w:val="18"/>
        </w:rPr>
        <w:t>u</w:t>
      </w:r>
      <w:r w:rsidRPr="00E1214F">
        <w:rPr>
          <w:sz w:val="18"/>
          <w:szCs w:val="18"/>
        </w:rPr>
        <w:t xml:space="preserve"> v registru smluv. Smluvní strany prohlašují, že skutečnosti uvedené v této </w:t>
      </w:r>
      <w:r w:rsidR="0049717E" w:rsidRPr="00E1214F">
        <w:rPr>
          <w:sz w:val="18"/>
          <w:szCs w:val="18"/>
        </w:rPr>
        <w:t>p</w:t>
      </w:r>
      <w:r w:rsidR="0049717E" w:rsidRPr="00E1214F">
        <w:rPr>
          <w:i/>
          <w:iCs/>
          <w:sz w:val="18"/>
          <w:szCs w:val="18"/>
        </w:rPr>
        <w:t>ojistné smlouvě</w:t>
      </w:r>
      <w:r w:rsidRPr="00E1214F">
        <w:rPr>
          <w:sz w:val="18"/>
          <w:szCs w:val="18"/>
        </w:rPr>
        <w:t xml:space="preserve"> nepovažují za obchodní tajemství ve smyslu ustanovení § 504 zákona č. 89/2012 Sb. a udělují</w:t>
      </w:r>
      <w:r w:rsidR="009A4481">
        <w:rPr>
          <w:sz w:val="18"/>
          <w:szCs w:val="18"/>
        </w:rPr>
        <w:t xml:space="preserve"> svolení k jejich užití a zveřejnění bez stanovení jakýchkoliv dalších podmínek.</w:t>
      </w:r>
      <w:r w:rsidRPr="00E1214F">
        <w:rPr>
          <w:sz w:val="18"/>
          <w:szCs w:val="18"/>
        </w:rPr>
        <w:t xml:space="preserve"> </w:t>
      </w:r>
    </w:p>
    <w:p w14:paraId="07369575" w14:textId="77777777" w:rsidR="002E0B89" w:rsidRPr="00E1214F" w:rsidRDefault="002E0B89" w:rsidP="0002789C">
      <w:pPr>
        <w:rPr>
          <w:sz w:val="18"/>
          <w:szCs w:val="18"/>
        </w:rPr>
      </w:pPr>
    </w:p>
    <w:p w14:paraId="5410666B" w14:textId="68862685" w:rsidR="002E0B89" w:rsidRPr="00E1214F" w:rsidRDefault="002E0B89" w:rsidP="0002789C">
      <w:pPr>
        <w:rPr>
          <w:sz w:val="18"/>
          <w:szCs w:val="18"/>
        </w:rPr>
      </w:pPr>
      <w:r w:rsidRPr="00E1214F">
        <w:rPr>
          <w:i/>
          <w:iCs/>
          <w:sz w:val="18"/>
          <w:szCs w:val="18"/>
        </w:rPr>
        <w:t xml:space="preserve">Pojistitel </w:t>
      </w:r>
      <w:r w:rsidRPr="00E1214F">
        <w:rPr>
          <w:sz w:val="18"/>
          <w:szCs w:val="18"/>
        </w:rPr>
        <w:t>bere na vědomí, že společnost Brněnské vodárny a kanalizace, a.s. je povinným subjektem dle zákona č. 106/1999 Sb., o svobodném přístupu k informacím, ve znění pozdějších předpisů</w:t>
      </w:r>
      <w:r w:rsidR="0002789C" w:rsidRPr="00E1214F">
        <w:rPr>
          <w:sz w:val="18"/>
          <w:szCs w:val="18"/>
        </w:rPr>
        <w:t>.</w:t>
      </w:r>
    </w:p>
    <w:p w14:paraId="597E977B" w14:textId="77777777" w:rsidR="0002789C" w:rsidRPr="00E1214F" w:rsidRDefault="0002789C" w:rsidP="0002789C">
      <w:pPr>
        <w:rPr>
          <w:sz w:val="18"/>
          <w:szCs w:val="18"/>
        </w:rPr>
      </w:pPr>
    </w:p>
    <w:p w14:paraId="783FFB2B" w14:textId="441E4D0C" w:rsidR="002E0B89" w:rsidRPr="00E1214F" w:rsidRDefault="002E0B89" w:rsidP="0002789C">
      <w:pPr>
        <w:rPr>
          <w:sz w:val="18"/>
          <w:szCs w:val="18"/>
        </w:rPr>
      </w:pPr>
      <w:r w:rsidRPr="00E1214F">
        <w:rPr>
          <w:sz w:val="18"/>
          <w:szCs w:val="18"/>
        </w:rPr>
        <w:t>Smluvní strany prohlašují, že údaje uvedené ve smlouvě nejsou informacemi požívajícími ochrany důvěrnosti majetkových poměrů.</w:t>
      </w:r>
    </w:p>
    <w:p w14:paraId="49939E0D" w14:textId="77777777" w:rsidR="002E0B89" w:rsidRPr="00E1214F" w:rsidRDefault="002E0B89" w:rsidP="0002789C">
      <w:pPr>
        <w:autoSpaceDE w:val="0"/>
        <w:autoSpaceDN w:val="0"/>
        <w:adjustRightInd w:val="0"/>
        <w:rPr>
          <w:rFonts w:ascii="Calibri" w:hAnsi="Calibri" w:cs="Calibri"/>
          <w:color w:val="000000"/>
          <w:sz w:val="18"/>
          <w:szCs w:val="18"/>
        </w:rPr>
      </w:pPr>
    </w:p>
    <w:p w14:paraId="3F233542" w14:textId="77777777" w:rsidR="002E0B89" w:rsidRPr="00E1214F" w:rsidRDefault="002E0B89" w:rsidP="0002789C">
      <w:pPr>
        <w:autoSpaceDE w:val="0"/>
        <w:autoSpaceDN w:val="0"/>
        <w:adjustRightInd w:val="0"/>
        <w:contextualSpacing/>
        <w:rPr>
          <w:rFonts w:cs="Arial"/>
          <w:caps/>
          <w:color w:val="000000"/>
          <w:sz w:val="18"/>
          <w:szCs w:val="18"/>
          <w:u w:val="single"/>
        </w:rPr>
      </w:pPr>
      <w:r w:rsidRPr="00E1214F">
        <w:rPr>
          <w:rFonts w:cs="Arial"/>
          <w:caps/>
          <w:color w:val="000000"/>
          <w:sz w:val="18"/>
          <w:szCs w:val="18"/>
          <w:u w:val="single"/>
        </w:rPr>
        <w:t xml:space="preserve">Elektronická komunikace a dodatek </w:t>
      </w:r>
    </w:p>
    <w:p w14:paraId="702273FF" w14:textId="4AE09AC8" w:rsidR="002E0B89" w:rsidRPr="00E1214F" w:rsidRDefault="002E0B89" w:rsidP="0002789C">
      <w:pPr>
        <w:autoSpaceDE w:val="0"/>
        <w:autoSpaceDN w:val="0"/>
        <w:adjustRightInd w:val="0"/>
        <w:rPr>
          <w:rFonts w:cs="Arial"/>
          <w:color w:val="000000"/>
          <w:sz w:val="18"/>
          <w:szCs w:val="18"/>
        </w:rPr>
      </w:pPr>
      <w:r w:rsidRPr="00E1214F">
        <w:rPr>
          <w:rFonts w:cs="Arial"/>
          <w:iCs/>
          <w:color w:val="000000"/>
          <w:sz w:val="18"/>
          <w:szCs w:val="18"/>
        </w:rPr>
        <w:t>V souladu se zadávací dokumentací se ujednává: Smluvní strany neakceptují právní jednání protistrany učiněné elektronicky nebo jinými technickými prostředky</w:t>
      </w:r>
      <w:r w:rsidR="00D64A26">
        <w:rPr>
          <w:rFonts w:cs="Arial"/>
          <w:iCs/>
          <w:color w:val="000000"/>
          <w:sz w:val="18"/>
          <w:szCs w:val="18"/>
        </w:rPr>
        <w:t xml:space="preserve">, </w:t>
      </w:r>
      <w:r w:rsidR="00D64A26" w:rsidRPr="00D64A26">
        <w:rPr>
          <w:rFonts w:cs="Arial"/>
          <w:iCs/>
          <w:color w:val="000000"/>
          <w:sz w:val="18"/>
          <w:szCs w:val="18"/>
        </w:rPr>
        <w:t>vyjma elektronického podpisu smlouvy</w:t>
      </w:r>
      <w:r w:rsidRPr="00E1214F">
        <w:rPr>
          <w:rFonts w:cs="Arial"/>
          <w:iCs/>
          <w:color w:val="000000"/>
          <w:sz w:val="18"/>
          <w:szCs w:val="18"/>
        </w:rPr>
        <w:t>. Smluvní strany vylučují přijetí nabídky s dodatkem nebo odchylkou:</w:t>
      </w:r>
    </w:p>
    <w:p w14:paraId="74C8FFB6" w14:textId="1288E9A6" w:rsidR="002E0B89" w:rsidRPr="00E1214F" w:rsidRDefault="002E0B89" w:rsidP="0002789C">
      <w:pPr>
        <w:autoSpaceDE w:val="0"/>
        <w:autoSpaceDN w:val="0"/>
        <w:adjustRightInd w:val="0"/>
        <w:rPr>
          <w:rFonts w:cs="Arial"/>
          <w:color w:val="000000"/>
          <w:sz w:val="18"/>
          <w:szCs w:val="18"/>
        </w:rPr>
      </w:pPr>
      <w:r w:rsidRPr="00E1214F">
        <w:rPr>
          <w:rFonts w:cs="Arial"/>
          <w:color w:val="000000"/>
          <w:sz w:val="18"/>
          <w:szCs w:val="18"/>
        </w:rPr>
        <w:t xml:space="preserve">pro </w:t>
      </w:r>
      <w:r w:rsidRPr="00E1214F">
        <w:rPr>
          <w:rFonts w:cs="Arial"/>
          <w:i/>
          <w:iCs/>
          <w:color w:val="000000"/>
          <w:sz w:val="18"/>
          <w:szCs w:val="18"/>
        </w:rPr>
        <w:t>pojistn</w:t>
      </w:r>
      <w:r w:rsidR="0002789C" w:rsidRPr="00E1214F">
        <w:rPr>
          <w:rFonts w:cs="Arial"/>
          <w:i/>
          <w:iCs/>
          <w:color w:val="000000"/>
          <w:sz w:val="18"/>
          <w:szCs w:val="18"/>
        </w:rPr>
        <w:t>ou</w:t>
      </w:r>
      <w:r w:rsidRPr="00E1214F">
        <w:rPr>
          <w:rFonts w:cs="Arial"/>
          <w:i/>
          <w:iCs/>
          <w:color w:val="000000"/>
          <w:sz w:val="18"/>
          <w:szCs w:val="18"/>
        </w:rPr>
        <w:t xml:space="preserve"> smlouv</w:t>
      </w:r>
      <w:r w:rsidR="0002789C" w:rsidRPr="00E1214F">
        <w:rPr>
          <w:rFonts w:cs="Arial"/>
          <w:i/>
          <w:iCs/>
          <w:color w:val="000000"/>
          <w:sz w:val="18"/>
          <w:szCs w:val="18"/>
        </w:rPr>
        <w:t>u</w:t>
      </w:r>
      <w:r w:rsidRPr="00E1214F">
        <w:rPr>
          <w:rFonts w:cs="Arial"/>
          <w:color w:val="000000"/>
          <w:sz w:val="18"/>
          <w:szCs w:val="18"/>
        </w:rPr>
        <w:t xml:space="preserve"> </w:t>
      </w:r>
    </w:p>
    <w:p w14:paraId="5E06CF8B" w14:textId="2978503C" w:rsidR="002E0B89" w:rsidRPr="00E1214F" w:rsidRDefault="002E0B89" w:rsidP="0002789C">
      <w:pPr>
        <w:pStyle w:val="Odstavecseseznamem"/>
        <w:numPr>
          <w:ilvl w:val="0"/>
          <w:numId w:val="40"/>
        </w:numPr>
        <w:autoSpaceDE w:val="0"/>
        <w:autoSpaceDN w:val="0"/>
        <w:adjustRightInd w:val="0"/>
        <w:spacing w:after="39"/>
        <w:contextualSpacing/>
        <w:rPr>
          <w:rFonts w:cs="Arial"/>
          <w:color w:val="000000"/>
          <w:sz w:val="18"/>
          <w:szCs w:val="18"/>
        </w:rPr>
      </w:pPr>
      <w:r w:rsidRPr="00E1214F">
        <w:rPr>
          <w:rFonts w:cs="Arial"/>
          <w:color w:val="000000"/>
          <w:sz w:val="18"/>
          <w:szCs w:val="18"/>
        </w:rPr>
        <w:t>pojištění násilností</w:t>
      </w:r>
      <w:r w:rsidR="0002789C" w:rsidRPr="00E1214F">
        <w:rPr>
          <w:rFonts w:cs="Arial"/>
          <w:color w:val="000000"/>
          <w:sz w:val="18"/>
          <w:szCs w:val="18"/>
        </w:rPr>
        <w:t>.</w:t>
      </w:r>
    </w:p>
    <w:p w14:paraId="4315DDBD" w14:textId="77777777" w:rsidR="002E0B89" w:rsidRPr="00E1214F" w:rsidRDefault="002E0B89" w:rsidP="0002789C">
      <w:pPr>
        <w:autoSpaceDE w:val="0"/>
        <w:autoSpaceDN w:val="0"/>
        <w:adjustRightInd w:val="0"/>
        <w:rPr>
          <w:rFonts w:cs="Arial"/>
          <w:color w:val="000000"/>
          <w:sz w:val="18"/>
          <w:szCs w:val="18"/>
        </w:rPr>
      </w:pPr>
      <w:r w:rsidRPr="00E1214F">
        <w:rPr>
          <w:rFonts w:cs="Arial"/>
          <w:i/>
          <w:iCs/>
          <w:color w:val="000000"/>
          <w:sz w:val="18"/>
          <w:szCs w:val="18"/>
        </w:rPr>
        <w:t xml:space="preserve">Pojistitel </w:t>
      </w:r>
      <w:r w:rsidRPr="00E1214F">
        <w:rPr>
          <w:rFonts w:cs="Arial"/>
          <w:color w:val="000000"/>
          <w:sz w:val="18"/>
          <w:szCs w:val="18"/>
        </w:rPr>
        <w:t xml:space="preserve">dále potvrzuje, že pojistné za 4 roky trvání pojištění a jeho splatnost je pro příslušné pojistné smlouvy následující: </w:t>
      </w:r>
    </w:p>
    <w:p w14:paraId="38E87E57" w14:textId="77777777" w:rsidR="002E0B89" w:rsidRPr="00E1214F" w:rsidRDefault="002E0B89" w:rsidP="0002789C">
      <w:pPr>
        <w:pStyle w:val="Odstavecseseznamem"/>
        <w:numPr>
          <w:ilvl w:val="0"/>
          <w:numId w:val="39"/>
        </w:numPr>
        <w:autoSpaceDE w:val="0"/>
        <w:autoSpaceDN w:val="0"/>
        <w:adjustRightInd w:val="0"/>
        <w:spacing w:after="39"/>
        <w:contextualSpacing/>
        <w:rPr>
          <w:rFonts w:cs="Arial"/>
          <w:color w:val="000000"/>
          <w:sz w:val="18"/>
          <w:szCs w:val="18"/>
        </w:rPr>
      </w:pPr>
      <w:r w:rsidRPr="00E1214F">
        <w:rPr>
          <w:rFonts w:cs="Arial"/>
          <w:color w:val="000000"/>
          <w:sz w:val="18"/>
          <w:szCs w:val="18"/>
        </w:rPr>
        <w:t>pojištění násilností – 3.840.000,- Kč</w:t>
      </w:r>
    </w:p>
    <w:p w14:paraId="4A43B1E9" w14:textId="77777777" w:rsidR="002E0B89" w:rsidRPr="00E1214F" w:rsidRDefault="002E0B89" w:rsidP="0002789C">
      <w:pPr>
        <w:autoSpaceDE w:val="0"/>
        <w:autoSpaceDN w:val="0"/>
        <w:adjustRightInd w:val="0"/>
        <w:spacing w:after="39"/>
        <w:rPr>
          <w:rFonts w:cs="Arial"/>
          <w:color w:val="000000"/>
          <w:sz w:val="18"/>
          <w:szCs w:val="18"/>
        </w:rPr>
      </w:pPr>
    </w:p>
    <w:p w14:paraId="220D1D79" w14:textId="77777777" w:rsidR="002E0B89" w:rsidRPr="00E1214F" w:rsidRDefault="002E0B89" w:rsidP="0002789C">
      <w:pPr>
        <w:contextualSpacing/>
        <w:rPr>
          <w:rFonts w:cs="Arial"/>
          <w:caps/>
          <w:color w:val="000000"/>
          <w:sz w:val="18"/>
          <w:szCs w:val="18"/>
          <w:u w:val="single"/>
        </w:rPr>
      </w:pPr>
      <w:r w:rsidRPr="00E1214F">
        <w:rPr>
          <w:rFonts w:cs="Arial"/>
          <w:caps/>
          <w:color w:val="000000"/>
          <w:sz w:val="18"/>
          <w:szCs w:val="18"/>
          <w:u w:val="single"/>
        </w:rPr>
        <w:t>Vyhotovení pojistné smlouvy</w:t>
      </w:r>
    </w:p>
    <w:p w14:paraId="1B8601BE" w14:textId="544BB384" w:rsidR="002E0B89" w:rsidRPr="00E1214F" w:rsidRDefault="002E0B89" w:rsidP="0002789C">
      <w:pPr>
        <w:rPr>
          <w:sz w:val="18"/>
          <w:szCs w:val="18"/>
        </w:rPr>
      </w:pPr>
      <w:r w:rsidRPr="00E1214F">
        <w:rPr>
          <w:i/>
          <w:iCs/>
          <w:sz w:val="18"/>
          <w:szCs w:val="18"/>
        </w:rPr>
        <w:t>Pojistná smlouva</w:t>
      </w:r>
      <w:r w:rsidRPr="00E1214F">
        <w:rPr>
          <w:sz w:val="18"/>
          <w:szCs w:val="18"/>
        </w:rPr>
        <w:t xml:space="preserve"> je vyhotovena v elektronické a listinné podobě. Listinná podoba je vyhotovena ve 4 stejnopisech, z nichž jeden obdrží </w:t>
      </w:r>
      <w:r w:rsidRPr="00E1214F">
        <w:rPr>
          <w:i/>
          <w:iCs/>
          <w:sz w:val="18"/>
          <w:szCs w:val="18"/>
        </w:rPr>
        <w:t>pojistník</w:t>
      </w:r>
      <w:r w:rsidRPr="00E1214F">
        <w:rPr>
          <w:sz w:val="18"/>
          <w:szCs w:val="18"/>
        </w:rPr>
        <w:t xml:space="preserve">, jeden pojišťovací zprostředkovatel a dva </w:t>
      </w:r>
      <w:r w:rsidRPr="00E1214F">
        <w:rPr>
          <w:i/>
          <w:iCs/>
          <w:sz w:val="18"/>
          <w:szCs w:val="18"/>
        </w:rPr>
        <w:t>pojišťovna</w:t>
      </w:r>
      <w:r w:rsidRPr="00E1214F">
        <w:rPr>
          <w:sz w:val="18"/>
          <w:szCs w:val="18"/>
        </w:rPr>
        <w:t xml:space="preserve">. V případě rozporu je rozhodující listinné vyhotovení </w:t>
      </w:r>
      <w:r w:rsidR="0049717E" w:rsidRPr="00E1214F">
        <w:rPr>
          <w:rFonts w:cs="Arial"/>
          <w:i/>
          <w:iCs/>
          <w:sz w:val="18"/>
          <w:szCs w:val="18"/>
        </w:rPr>
        <w:t>pojistné smlouvy</w:t>
      </w:r>
      <w:r w:rsidRPr="00E1214F">
        <w:rPr>
          <w:sz w:val="18"/>
          <w:szCs w:val="18"/>
        </w:rPr>
        <w:t>.</w:t>
      </w:r>
    </w:p>
    <w:p w14:paraId="7EFD9389" w14:textId="77777777" w:rsidR="002E0B89" w:rsidRPr="00E1214F" w:rsidRDefault="002E0B89" w:rsidP="0002789C">
      <w:pPr>
        <w:rPr>
          <w:sz w:val="18"/>
          <w:szCs w:val="18"/>
        </w:rPr>
      </w:pPr>
    </w:p>
    <w:p w14:paraId="6111F3D7" w14:textId="77777777" w:rsidR="002E0B89" w:rsidRPr="00E1214F" w:rsidRDefault="002E0B89" w:rsidP="0002789C">
      <w:pPr>
        <w:pStyle w:val="xnadpisdoloky"/>
        <w:ind w:firstLine="0"/>
        <w:rPr>
          <w:b w:val="0"/>
          <w:bCs w:val="0"/>
          <w:caps/>
          <w:sz w:val="18"/>
          <w:szCs w:val="18"/>
          <w:u w:val="single"/>
        </w:rPr>
      </w:pPr>
      <w:r w:rsidRPr="00E1214F">
        <w:rPr>
          <w:b w:val="0"/>
          <w:bCs w:val="0"/>
          <w:caps/>
          <w:sz w:val="18"/>
          <w:szCs w:val="18"/>
          <w:u w:val="single"/>
        </w:rPr>
        <w:t>Formát dokumentů</w:t>
      </w:r>
    </w:p>
    <w:p w14:paraId="72FEE645" w14:textId="0D8AB664" w:rsidR="002E0B89" w:rsidRPr="00E1214F" w:rsidRDefault="002E0B89" w:rsidP="0002789C">
      <w:pPr>
        <w:pStyle w:val="xmsonormal"/>
        <w:jc w:val="both"/>
        <w:rPr>
          <w:rFonts w:ascii="Arial" w:hAnsi="Arial" w:cs="Arial"/>
          <w:sz w:val="18"/>
          <w:szCs w:val="18"/>
        </w:rPr>
      </w:pPr>
      <w:r w:rsidRPr="00E1214F">
        <w:rPr>
          <w:rFonts w:ascii="Arial" w:hAnsi="Arial" w:cs="Arial"/>
          <w:sz w:val="18"/>
          <w:szCs w:val="18"/>
        </w:rPr>
        <w:t xml:space="preserve">Pro účely vložení </w:t>
      </w:r>
      <w:r w:rsidR="0049717E" w:rsidRPr="00E1214F">
        <w:rPr>
          <w:rFonts w:ascii="Arial" w:hAnsi="Arial" w:cs="Arial"/>
          <w:i/>
          <w:iCs/>
          <w:sz w:val="18"/>
          <w:szCs w:val="18"/>
        </w:rPr>
        <w:t xml:space="preserve">pojistné </w:t>
      </w:r>
      <w:r w:rsidRPr="00E1214F">
        <w:rPr>
          <w:rFonts w:ascii="Arial" w:hAnsi="Arial" w:cs="Arial"/>
          <w:i/>
          <w:iCs/>
          <w:sz w:val="18"/>
          <w:szCs w:val="18"/>
        </w:rPr>
        <w:t>smlouvy</w:t>
      </w:r>
      <w:r w:rsidRPr="00E1214F">
        <w:rPr>
          <w:rFonts w:ascii="Arial" w:hAnsi="Arial" w:cs="Arial"/>
          <w:sz w:val="18"/>
          <w:szCs w:val="18"/>
        </w:rPr>
        <w:t xml:space="preserve"> do registru smluv je pojistitel povinen zaslat pojistníkovi veškerou smluvní dokumentaci ve strojově čitelném formátu (soubory </w:t>
      </w:r>
      <w:proofErr w:type="gramStart"/>
      <w:r w:rsidRPr="00E1214F">
        <w:rPr>
          <w:rFonts w:ascii="Arial" w:hAnsi="Arial" w:cs="Arial"/>
          <w:sz w:val="18"/>
          <w:szCs w:val="18"/>
        </w:rPr>
        <w:t>typu .doc</w:t>
      </w:r>
      <w:proofErr w:type="gramEnd"/>
      <w:r w:rsidRPr="00E1214F">
        <w:rPr>
          <w:rFonts w:ascii="Arial" w:hAnsi="Arial" w:cs="Arial"/>
          <w:sz w:val="18"/>
          <w:szCs w:val="18"/>
        </w:rPr>
        <w:t xml:space="preserve"> nebo .</w:t>
      </w:r>
      <w:proofErr w:type="spellStart"/>
      <w:r w:rsidRPr="00E1214F">
        <w:rPr>
          <w:rFonts w:ascii="Arial" w:hAnsi="Arial" w:cs="Arial"/>
          <w:sz w:val="18"/>
          <w:szCs w:val="18"/>
        </w:rPr>
        <w:t>pdf</w:t>
      </w:r>
      <w:proofErr w:type="spellEnd"/>
      <w:r w:rsidRPr="00E1214F">
        <w:rPr>
          <w:rFonts w:ascii="Arial" w:hAnsi="Arial" w:cs="Arial"/>
          <w:sz w:val="18"/>
          <w:szCs w:val="18"/>
        </w:rPr>
        <w:t xml:space="preserve"> s kompletní textovou vrstvou – nikoliv např. soubory .</w:t>
      </w:r>
      <w:proofErr w:type="spellStart"/>
      <w:r w:rsidRPr="00E1214F">
        <w:rPr>
          <w:rFonts w:ascii="Arial" w:hAnsi="Arial" w:cs="Arial"/>
          <w:sz w:val="18"/>
          <w:szCs w:val="18"/>
        </w:rPr>
        <w:t>pdf</w:t>
      </w:r>
      <w:proofErr w:type="spellEnd"/>
      <w:r w:rsidRPr="00E1214F">
        <w:rPr>
          <w:rFonts w:ascii="Arial" w:hAnsi="Arial" w:cs="Arial"/>
          <w:sz w:val="18"/>
          <w:szCs w:val="18"/>
        </w:rPr>
        <w:t xml:space="preserve"> vzniklé naskenováním příslušného dokumentu).</w:t>
      </w:r>
    </w:p>
    <w:p w14:paraId="37D4CBA5" w14:textId="77777777" w:rsidR="002E0B89" w:rsidRPr="00E1214F" w:rsidRDefault="002E0B89" w:rsidP="0002789C">
      <w:pPr>
        <w:pStyle w:val="xmsolistparagraph"/>
        <w:jc w:val="both"/>
        <w:rPr>
          <w:rFonts w:ascii="Arial" w:hAnsi="Arial" w:cs="Arial"/>
          <w:sz w:val="18"/>
          <w:szCs w:val="18"/>
        </w:rPr>
      </w:pPr>
      <w:r w:rsidRPr="00E1214F">
        <w:rPr>
          <w:rFonts w:ascii="Arial" w:hAnsi="Arial" w:cs="Arial"/>
          <w:sz w:val="18"/>
          <w:szCs w:val="18"/>
        </w:rPr>
        <w:t> </w:t>
      </w:r>
    </w:p>
    <w:p w14:paraId="7995460A" w14:textId="77777777" w:rsidR="002E0B89" w:rsidRPr="00E1214F" w:rsidRDefault="002E0B89" w:rsidP="0002789C">
      <w:pPr>
        <w:pStyle w:val="xnadpisdoloky"/>
        <w:spacing w:line="240" w:lineRule="auto"/>
        <w:ind w:firstLine="0"/>
        <w:rPr>
          <w:b w:val="0"/>
          <w:bCs w:val="0"/>
          <w:caps/>
          <w:sz w:val="18"/>
          <w:szCs w:val="18"/>
          <w:u w:val="single"/>
        </w:rPr>
      </w:pPr>
      <w:r w:rsidRPr="00E1214F">
        <w:rPr>
          <w:b w:val="0"/>
          <w:bCs w:val="0"/>
          <w:caps/>
          <w:sz w:val="18"/>
          <w:szCs w:val="18"/>
          <w:u w:val="single"/>
        </w:rPr>
        <w:t>Odpovědné zadávání</w:t>
      </w:r>
    </w:p>
    <w:p w14:paraId="7AA5E27D" w14:textId="77777777" w:rsidR="002E0B89" w:rsidRPr="00E1214F" w:rsidRDefault="002E0B89" w:rsidP="0002789C">
      <w:pPr>
        <w:pStyle w:val="xtextdoloky"/>
        <w:spacing w:before="0" w:after="0" w:line="240" w:lineRule="auto"/>
      </w:pPr>
      <w:r w:rsidRPr="00E1214F">
        <w:rPr>
          <w:i/>
          <w:iCs/>
        </w:rPr>
        <w:t xml:space="preserve">Pojistitel </w:t>
      </w:r>
      <w:r w:rsidRPr="00E1214F">
        <w:t>se zavazuje, že ve smyslu a dle obsahu jím vyplněného čestného prohlášení, dostojí svým závazkům, vyplývajícím ze zásady společensky odpovědného zadávání dle § 6 odst. 4 zákona č. 134/2016 Sb., o zadávání veřejných zakázek, ve znění pozdějších předpisů, a to zejména:</w:t>
      </w:r>
    </w:p>
    <w:p w14:paraId="48EED71C" w14:textId="77777777" w:rsidR="002E0B89" w:rsidRPr="00E1214F" w:rsidRDefault="002E0B89" w:rsidP="0002789C">
      <w:pPr>
        <w:pStyle w:val="xtextdoloky"/>
        <w:numPr>
          <w:ilvl w:val="0"/>
          <w:numId w:val="39"/>
        </w:numPr>
        <w:spacing w:before="0" w:after="0" w:line="240" w:lineRule="auto"/>
      </w:pPr>
      <w:r w:rsidRPr="00E1214F">
        <w:t>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sociálních či pracovních právech a pojistitel bude odpovídat vůči pojistníkovi za to, aby ani jeho zaměstnanci, ani jiné osoby provádějící pro něho činnost související s touto smlouvou nevykonávali takovou činnost jako nelegální práci ve smyslu § 5 písm. e) zák. č. 435/2004 Sb., o zaměstnanosti, v platném znění. Pojistitel se zavazuje vynaložit náležitou péči a podniknout veškerá opatření zejména pokud jde o předcházení výskytu nelegální práce při plnění této smlouvy, a to i u svých subdodavatelů</w:t>
      </w:r>
    </w:p>
    <w:p w14:paraId="0DBF3733" w14:textId="77777777" w:rsidR="002E0B89" w:rsidRPr="00E1214F" w:rsidRDefault="002E0B89" w:rsidP="0002789C">
      <w:pPr>
        <w:pStyle w:val="xtextdoloky"/>
        <w:numPr>
          <w:ilvl w:val="0"/>
          <w:numId w:val="39"/>
        </w:numPr>
        <w:spacing w:before="0" w:after="0" w:line="240" w:lineRule="auto"/>
      </w:pPr>
      <w:r w:rsidRPr="00E1214F">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7BB553D3" w14:textId="77777777" w:rsidR="002E0B89" w:rsidRPr="00E1214F" w:rsidRDefault="002E0B89" w:rsidP="0002789C">
      <w:pPr>
        <w:pStyle w:val="xtextdoloky"/>
        <w:numPr>
          <w:ilvl w:val="0"/>
          <w:numId w:val="39"/>
        </w:numPr>
        <w:spacing w:before="0" w:after="0" w:line="240" w:lineRule="auto"/>
      </w:pPr>
      <w:r w:rsidRPr="00E1214F">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765DBD9C" w14:textId="77777777" w:rsidR="002E0B89" w:rsidRPr="00E1214F" w:rsidRDefault="002E0B89" w:rsidP="0002789C">
      <w:pPr>
        <w:pStyle w:val="xtextdoloky"/>
        <w:numPr>
          <w:ilvl w:val="0"/>
          <w:numId w:val="39"/>
        </w:numPr>
        <w:spacing w:before="0" w:after="0" w:line="240" w:lineRule="auto"/>
      </w:pPr>
      <w:r w:rsidRPr="00E1214F">
        <w:t>při plnění zakázky bude preferováno ekonomicky přijatelné řešení pro inovaci, tedy pro implementaci nového nebo značně zlepšeného produktu nebo služby</w:t>
      </w:r>
    </w:p>
    <w:p w14:paraId="05400289" w14:textId="77777777" w:rsidR="002E0B89" w:rsidRPr="00E1214F" w:rsidRDefault="002E0B89" w:rsidP="0002789C">
      <w:pPr>
        <w:pStyle w:val="xtextdoloky"/>
        <w:numPr>
          <w:ilvl w:val="0"/>
          <w:numId w:val="39"/>
        </w:numPr>
        <w:spacing w:before="0" w:after="0" w:line="240" w:lineRule="auto"/>
      </w:pPr>
      <w:r w:rsidRPr="00E1214F">
        <w:t>při plnění zakázky bude kladen důraz na dodržení postupů a použití materiálů zajišťujících kvalitu služby a tento postup doloží příslušnými doklady.</w:t>
      </w:r>
    </w:p>
    <w:p w14:paraId="03ADF4CD" w14:textId="77777777" w:rsidR="002E0B89" w:rsidRPr="00E1214F" w:rsidRDefault="002E0B89" w:rsidP="0002789C">
      <w:pPr>
        <w:pStyle w:val="xtextdoloky"/>
        <w:spacing w:before="0" w:after="0" w:line="240" w:lineRule="auto"/>
      </w:pPr>
      <w:r w:rsidRPr="00E1214F">
        <w:rPr>
          <w:i/>
          <w:iCs/>
        </w:rPr>
        <w:t>Pojistitel</w:t>
      </w:r>
      <w:r w:rsidRPr="00E1214F">
        <w:t xml:space="preserve"> bere na vědomí a souhlasí s tím, že porušování uvedených povinností může být bráno jako podstatné porušení smluvního vztahu.</w:t>
      </w:r>
    </w:p>
    <w:p w14:paraId="765CAF9B" w14:textId="77777777" w:rsidR="0049717E" w:rsidRPr="00E1214F" w:rsidRDefault="0049717E" w:rsidP="0002789C">
      <w:pPr>
        <w:contextualSpacing/>
        <w:rPr>
          <w:rFonts w:cs="Arial"/>
          <w:color w:val="000000"/>
          <w:sz w:val="18"/>
          <w:szCs w:val="18"/>
        </w:rPr>
      </w:pPr>
    </w:p>
    <w:p w14:paraId="45370867" w14:textId="77777777" w:rsidR="0049717E" w:rsidRPr="00E1214F" w:rsidRDefault="0049717E" w:rsidP="0002789C">
      <w:pPr>
        <w:rPr>
          <w:rFonts w:cs="Arial"/>
          <w:color w:val="000000"/>
          <w:sz w:val="18"/>
          <w:szCs w:val="18"/>
        </w:rPr>
      </w:pPr>
      <w:r w:rsidRPr="00E1214F">
        <w:rPr>
          <w:rFonts w:cs="Arial"/>
          <w:color w:val="000000"/>
          <w:sz w:val="18"/>
          <w:szCs w:val="18"/>
        </w:rPr>
        <w:br w:type="page"/>
      </w:r>
    </w:p>
    <w:p w14:paraId="46D422FF" w14:textId="5CC9CFD5" w:rsidR="002E0B89" w:rsidRPr="00E1214F" w:rsidRDefault="002E0B89" w:rsidP="0002789C">
      <w:pPr>
        <w:contextualSpacing/>
        <w:rPr>
          <w:rFonts w:cs="Arial"/>
          <w:caps/>
          <w:sz w:val="18"/>
          <w:szCs w:val="18"/>
          <w:u w:val="single"/>
        </w:rPr>
      </w:pPr>
      <w:r w:rsidRPr="00E1214F">
        <w:rPr>
          <w:rFonts w:cs="Arial"/>
          <w:caps/>
          <w:sz w:val="18"/>
          <w:szCs w:val="18"/>
          <w:u w:val="single"/>
        </w:rPr>
        <w:lastRenderedPageBreak/>
        <w:t>Shromažďování a zpracování osobních údajů</w:t>
      </w:r>
    </w:p>
    <w:p w14:paraId="26A0D3EB" w14:textId="77777777" w:rsidR="002E0B89" w:rsidRPr="00E1214F" w:rsidRDefault="002E0B89" w:rsidP="0002789C">
      <w:pPr>
        <w:rPr>
          <w:rFonts w:cs="Arial"/>
          <w:sz w:val="18"/>
          <w:szCs w:val="18"/>
        </w:rPr>
      </w:pPr>
      <w:r w:rsidRPr="00E1214F">
        <w:rPr>
          <w:rFonts w:cs="Arial"/>
          <w:i/>
          <w:iCs/>
          <w:sz w:val="18"/>
          <w:szCs w:val="18"/>
        </w:rPr>
        <w:t>Pojistník</w:t>
      </w:r>
      <w:r w:rsidRPr="00E1214F">
        <w:rPr>
          <w:rFonts w:cs="Arial"/>
          <w:sz w:val="18"/>
          <w:szCs w:val="18"/>
        </w:rPr>
        <w:t xml:space="preserve"> resp. </w:t>
      </w:r>
      <w:r w:rsidRPr="00E1214F">
        <w:rPr>
          <w:rFonts w:cs="Arial"/>
          <w:i/>
          <w:iCs/>
          <w:sz w:val="18"/>
          <w:szCs w:val="18"/>
        </w:rPr>
        <w:t>pojištěný</w:t>
      </w:r>
      <w:r w:rsidRPr="00E1214F">
        <w:rPr>
          <w:rFonts w:cs="Arial"/>
          <w:sz w:val="18"/>
          <w:szCs w:val="18"/>
        </w:rPr>
        <w:t xml:space="preserve"> je srozuměn a souhlasí se shromažďováním a zpracováním Osobních údajů v souladu s nařízením Evropského parlamentu a Rady (EU) 2016/679 (GDPR) a zákonem č. 110/2019, o zpracování osobních údajů a s Pravidly ochrany osobních údajů, které naleznete na www.colonnade.cz, a to včetně předávání Osobních údajů do zahraničí a jejich použití pro marketingové účely. Pokud jste společnosti Colonnade Insurance </w:t>
      </w:r>
      <w:proofErr w:type="gramStart"/>
      <w:r w:rsidRPr="00E1214F">
        <w:rPr>
          <w:rFonts w:cs="Arial"/>
          <w:sz w:val="18"/>
          <w:szCs w:val="18"/>
        </w:rPr>
        <w:t>S.A.</w:t>
      </w:r>
      <w:proofErr w:type="gramEnd"/>
      <w:r w:rsidRPr="00E1214F">
        <w:rPr>
          <w:rFonts w:cs="Arial"/>
          <w:sz w:val="18"/>
          <w:szCs w:val="18"/>
        </w:rPr>
        <w:t>, organizační složka, poskytli osobní údaje o jakékoli jiné osobě, potvrzujete, že jste danou osobu o obsahu těchto Pravidel ochrany osobních údajů informovali. Používání Vašich Osobních údajů pro marketingové účely můžete odmítnout emailem na adrese klient@colonnade.cz.</w:t>
      </w:r>
    </w:p>
    <w:p w14:paraId="02EEB2E5" w14:textId="77777777" w:rsidR="002E0B89" w:rsidRPr="00E1214F" w:rsidRDefault="002E0B89" w:rsidP="002E0B89">
      <w:pPr>
        <w:rPr>
          <w:sz w:val="18"/>
          <w:szCs w:val="18"/>
        </w:rPr>
      </w:pPr>
    </w:p>
    <w:p w14:paraId="5C36D7BE" w14:textId="77777777" w:rsidR="00BE2861" w:rsidRPr="00E1214F" w:rsidRDefault="00BE2861" w:rsidP="00F42D6C">
      <w:pPr>
        <w:rPr>
          <w:sz w:val="18"/>
          <w:szCs w:val="18"/>
        </w:rPr>
      </w:pPr>
    </w:p>
    <w:p w14:paraId="3EFF8251" w14:textId="22C44EA0" w:rsidR="000B0125" w:rsidRPr="00E1214F" w:rsidRDefault="000B0125">
      <w:pPr>
        <w:jc w:val="left"/>
        <w:rPr>
          <w:sz w:val="18"/>
          <w:szCs w:val="18"/>
        </w:rPr>
      </w:pPr>
      <w:r w:rsidRPr="00E1214F">
        <w:rPr>
          <w:sz w:val="18"/>
          <w:szCs w:val="18"/>
        </w:rPr>
        <w:br w:type="page"/>
      </w:r>
    </w:p>
    <w:p w14:paraId="600923AB" w14:textId="77777777" w:rsidR="00BE2861" w:rsidRDefault="00BE2861" w:rsidP="00F42D6C"/>
    <w:p w14:paraId="6B3745A6" w14:textId="77777777" w:rsidR="00F42D6C" w:rsidRDefault="00F42D6C" w:rsidP="00F42D6C"/>
    <w:p w14:paraId="4277E48B" w14:textId="77777777" w:rsidR="00F42D6C" w:rsidRDefault="00F42D6C" w:rsidP="00F42D6C"/>
    <w:p w14:paraId="0C87906D" w14:textId="77777777" w:rsidR="00F42D6C" w:rsidRDefault="00F42D6C" w:rsidP="00F42D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tblGrid>
      <w:tr w:rsidR="00F42D6C" w14:paraId="44447A48" w14:textId="77777777" w:rsidTr="00071459">
        <w:trPr>
          <w:jc w:val="center"/>
        </w:trPr>
        <w:tc>
          <w:tcPr>
            <w:tcW w:w="5387" w:type="dxa"/>
            <w:shd w:val="pct5" w:color="auto" w:fill="FFFFFF"/>
          </w:tcPr>
          <w:p w14:paraId="47BC569A" w14:textId="77777777" w:rsidR="00F42D6C" w:rsidRPr="006A41AC" w:rsidRDefault="00F42D6C" w:rsidP="00071459">
            <w:pPr>
              <w:pStyle w:val="Nadpis5"/>
              <w:spacing w:before="60" w:after="60"/>
              <w:jc w:val="center"/>
              <w:rPr>
                <w:sz w:val="32"/>
                <w:lang w:val="cs-CZ" w:eastAsia="cs-CZ"/>
              </w:rPr>
            </w:pPr>
          </w:p>
          <w:p w14:paraId="1F5323D8" w14:textId="77777777" w:rsidR="00F42D6C" w:rsidRPr="006A41AC" w:rsidRDefault="00F42D6C" w:rsidP="00071459">
            <w:pPr>
              <w:pStyle w:val="Nadpis5"/>
              <w:spacing w:before="60" w:after="60"/>
              <w:jc w:val="center"/>
              <w:rPr>
                <w:sz w:val="32"/>
                <w:lang w:val="cs-CZ" w:eastAsia="cs-CZ"/>
              </w:rPr>
            </w:pPr>
            <w:r w:rsidRPr="006A41AC">
              <w:rPr>
                <w:sz w:val="32"/>
                <w:lang w:val="cs-CZ" w:eastAsia="cs-CZ"/>
              </w:rPr>
              <w:t>Přílohy pojistné smlouvy</w:t>
            </w:r>
          </w:p>
          <w:p w14:paraId="5392DD66" w14:textId="77777777" w:rsidR="00F42D6C" w:rsidRPr="006A41AC" w:rsidRDefault="00F42D6C" w:rsidP="00071459">
            <w:pPr>
              <w:pStyle w:val="Nadpis5"/>
              <w:spacing w:before="60" w:after="60"/>
              <w:jc w:val="left"/>
              <w:rPr>
                <w:lang w:val="cs-CZ" w:eastAsia="cs-CZ"/>
              </w:rPr>
            </w:pPr>
          </w:p>
        </w:tc>
      </w:tr>
    </w:tbl>
    <w:p w14:paraId="1213E909" w14:textId="77777777" w:rsidR="00F42D6C" w:rsidRDefault="00F42D6C" w:rsidP="00F42D6C"/>
    <w:p w14:paraId="20DFBFAF" w14:textId="77777777" w:rsidR="00EC46C8" w:rsidRPr="00D177D8" w:rsidRDefault="00EC46C8">
      <w:pPr>
        <w:spacing w:line="240" w:lineRule="atLeast"/>
      </w:pPr>
    </w:p>
    <w:sectPr w:rsidR="00EC46C8" w:rsidRPr="00D177D8" w:rsidSect="000D4012">
      <w:headerReference w:type="even" r:id="rId8"/>
      <w:headerReference w:type="default" r:id="rId9"/>
      <w:footerReference w:type="even" r:id="rId10"/>
      <w:footerReference w:type="default" r:id="rId11"/>
      <w:headerReference w:type="first" r:id="rId12"/>
      <w:footerReference w:type="first" r:id="rId13"/>
      <w:pgSz w:w="11907" w:h="16840" w:code="9"/>
      <w:pgMar w:top="1985" w:right="1418" w:bottom="1418" w:left="1418" w:header="851" w:footer="6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78D6B" w14:textId="77777777" w:rsidR="00830E0D" w:rsidRDefault="00830E0D">
      <w:r>
        <w:separator/>
      </w:r>
    </w:p>
  </w:endnote>
  <w:endnote w:type="continuationSeparator" w:id="0">
    <w:p w14:paraId="2AECE6AD" w14:textId="77777777" w:rsidR="00830E0D" w:rsidRDefault="0083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tima">
    <w:altName w:val="Lucida Sans Unicode"/>
    <w:charset w:val="00"/>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5901" w14:textId="77777777" w:rsidR="00831E85" w:rsidRDefault="00831E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8142" w14:textId="7B45E9A9" w:rsidR="006A3F55" w:rsidRPr="000D4012" w:rsidRDefault="006A3F55" w:rsidP="00450E59">
    <w:pPr>
      <w:pStyle w:val="Nadpis"/>
      <w:tabs>
        <w:tab w:val="right" w:pos="9072"/>
      </w:tabs>
      <w:jc w:val="left"/>
      <w:rPr>
        <w:rFonts w:ascii="Arial" w:hAnsi="Arial" w:cs="Arial"/>
        <w:sz w:val="18"/>
        <w:szCs w:val="18"/>
        <w:lang w:val="cs-CZ"/>
      </w:rPr>
    </w:pPr>
    <w:r w:rsidRPr="006A4952">
      <w:rPr>
        <w:rFonts w:ascii="Arial" w:hAnsi="Arial" w:cs="Arial"/>
        <w:sz w:val="18"/>
        <w:szCs w:val="18"/>
        <w:lang w:val="cs-CZ"/>
      </w:rPr>
      <w:t xml:space="preserve">Colonnade Insurance </w:t>
    </w:r>
    <w:proofErr w:type="gramStart"/>
    <w:r w:rsidRPr="006A4952">
      <w:rPr>
        <w:rFonts w:ascii="Arial" w:hAnsi="Arial" w:cs="Arial"/>
        <w:sz w:val="18"/>
        <w:szCs w:val="18"/>
        <w:lang w:val="cs-CZ"/>
      </w:rPr>
      <w:t>S.A.</w:t>
    </w:r>
    <w:proofErr w:type="gramEnd"/>
    <w:r w:rsidRPr="006A4952">
      <w:rPr>
        <w:rFonts w:ascii="Arial" w:hAnsi="Arial" w:cs="Arial"/>
        <w:sz w:val="18"/>
        <w:szCs w:val="18"/>
        <w:lang w:val="cs-CZ"/>
      </w:rPr>
      <w:t xml:space="preserve"> organizační složka</w:t>
    </w:r>
    <w:r w:rsidRPr="006A4952">
      <w:rPr>
        <w:rFonts w:ascii="Arial" w:hAnsi="Arial" w:cs="Arial"/>
        <w:color w:val="005984"/>
        <w:sz w:val="18"/>
        <w:szCs w:val="18"/>
        <w:lang w:val="cs-CZ"/>
      </w:rPr>
      <w:t xml:space="preserve">               </w:t>
    </w:r>
    <w:r>
      <w:rPr>
        <w:rFonts w:ascii="Arial" w:hAnsi="Arial" w:cs="Arial"/>
        <w:sz w:val="18"/>
        <w:szCs w:val="18"/>
        <w:lang w:val="cs-CZ"/>
      </w:rPr>
      <w:tab/>
      <w:t xml:space="preserve">   Pojistná smlouva  č. </w:t>
    </w:r>
    <w:r w:rsidR="00831E85">
      <w:rPr>
        <w:rFonts w:ascii="Arial" w:hAnsi="Arial" w:cs="Arial"/>
        <w:sz w:val="18"/>
        <w:szCs w:val="18"/>
        <w:lang w:val="cs-CZ"/>
      </w:rPr>
      <w:t>3601 0044 24</w:t>
    </w:r>
  </w:p>
  <w:p w14:paraId="3F1E7A99" w14:textId="77777777" w:rsidR="006A3F55" w:rsidRPr="006A4952" w:rsidRDefault="006A3F55" w:rsidP="00D05728">
    <w:pPr>
      <w:pStyle w:val="Zpat"/>
      <w:rPr>
        <w:rFonts w:cs="Arial"/>
        <w:color w:val="333333"/>
        <w:sz w:val="18"/>
        <w:szCs w:val="18"/>
      </w:rPr>
    </w:pPr>
    <w:r w:rsidRPr="006A4952">
      <w:rPr>
        <w:rFonts w:cs="Arial"/>
        <w:color w:val="333333"/>
        <w:sz w:val="18"/>
        <w:szCs w:val="18"/>
      </w:rPr>
      <w:t xml:space="preserve">Korespondenční adresa: </w:t>
    </w:r>
    <w:r w:rsidRPr="00BD61F0">
      <w:rPr>
        <w:rFonts w:cs="Arial"/>
        <w:color w:val="333333"/>
        <w:sz w:val="18"/>
        <w:szCs w:val="18"/>
      </w:rPr>
      <w:t>Na Pankráci 1683/127, 140 00 Praha 4</w:t>
    </w:r>
    <w:r w:rsidRPr="006A4952">
      <w:rPr>
        <w:rFonts w:cs="Arial"/>
        <w:color w:val="333333"/>
        <w:sz w:val="18"/>
        <w:szCs w:val="18"/>
      </w:rPr>
      <w:t xml:space="preserve">, </w:t>
    </w:r>
  </w:p>
  <w:p w14:paraId="0F520D37" w14:textId="77777777" w:rsidR="006A3F55" w:rsidRPr="006A4952" w:rsidRDefault="006A3F55" w:rsidP="00D05728">
    <w:pPr>
      <w:pStyle w:val="Zpat"/>
      <w:rPr>
        <w:rStyle w:val="slostrnky"/>
        <w:sz w:val="18"/>
        <w:szCs w:val="18"/>
      </w:rPr>
    </w:pPr>
    <w:r w:rsidRPr="006A4952">
      <w:rPr>
        <w:rFonts w:cs="Arial"/>
        <w:color w:val="333333"/>
        <w:sz w:val="18"/>
        <w:szCs w:val="18"/>
      </w:rPr>
      <w:t xml:space="preserve">tel.: +420 234 108 311, </w:t>
    </w:r>
    <w:r w:rsidRPr="006A4952">
      <w:rPr>
        <w:rFonts w:cs="Arial"/>
        <w:bCs/>
        <w:color w:val="333333"/>
        <w:sz w:val="18"/>
        <w:szCs w:val="18"/>
      </w:rPr>
      <w:t>fax: +420 234</w:t>
    </w:r>
    <w:r w:rsidRPr="006A4952">
      <w:rPr>
        <w:rFonts w:cs="Arial"/>
        <w:color w:val="333333"/>
        <w:sz w:val="18"/>
        <w:szCs w:val="18"/>
      </w:rPr>
      <w:t xml:space="preserve"> 108 384</w:t>
    </w:r>
    <w:r w:rsidRPr="006A4952">
      <w:rPr>
        <w:rFonts w:cs="Arial"/>
        <w:color w:val="333333"/>
        <w:sz w:val="18"/>
        <w:szCs w:val="18"/>
      </w:rPr>
      <w:tab/>
    </w:r>
  </w:p>
  <w:p w14:paraId="59D1A1FD" w14:textId="5D617AD8" w:rsidR="006A3F55" w:rsidRPr="00D05728" w:rsidRDefault="006A3F55" w:rsidP="00D05728">
    <w:pPr>
      <w:pStyle w:val="Zpat"/>
      <w:rPr>
        <w:rFonts w:cs="Arial"/>
        <w:color w:val="333333"/>
        <w:szCs w:val="16"/>
        <w:lang w:val="cs-CZ"/>
      </w:rPr>
    </w:pPr>
    <w:proofErr w:type="gramStart"/>
    <w:r w:rsidRPr="006A4952">
      <w:rPr>
        <w:rFonts w:cs="Arial"/>
        <w:color w:val="333333"/>
        <w:sz w:val="18"/>
        <w:szCs w:val="18"/>
        <w:lang w:val="en-US"/>
      </w:rPr>
      <w:t>e-mail</w:t>
    </w:r>
    <w:proofErr w:type="gramEnd"/>
    <w:r w:rsidRPr="006A4952">
      <w:rPr>
        <w:rFonts w:cs="Arial"/>
        <w:color w:val="333333"/>
        <w:sz w:val="18"/>
        <w:szCs w:val="18"/>
        <w:lang w:val="en-US"/>
      </w:rPr>
      <w:t xml:space="preserve">: </w:t>
    </w:r>
    <w:hyperlink r:id="rId1" w:history="1">
      <w:r w:rsidRPr="006A4952">
        <w:rPr>
          <w:rStyle w:val="Hypertextovodkaz"/>
          <w:rFonts w:cs="Arial"/>
          <w:sz w:val="18"/>
          <w:szCs w:val="18"/>
          <w:lang w:val="en-US"/>
        </w:rPr>
        <w:t>info@colonnade.cz</w:t>
      </w:r>
    </w:hyperlink>
    <w:r w:rsidRPr="006A4952">
      <w:rPr>
        <w:rFonts w:cs="Arial"/>
        <w:color w:val="333333"/>
        <w:sz w:val="18"/>
        <w:szCs w:val="18"/>
        <w:lang w:val="en-US"/>
      </w:rPr>
      <w:t xml:space="preserve"> , web: </w:t>
    </w:r>
    <w:hyperlink r:id="rId2" w:history="1">
      <w:r w:rsidRPr="006A4952">
        <w:rPr>
          <w:rStyle w:val="Hypertextovodkaz"/>
          <w:rFonts w:cs="Arial"/>
          <w:sz w:val="18"/>
          <w:szCs w:val="18"/>
          <w:lang w:val="en-US"/>
        </w:rPr>
        <w:t>www.colonnade.cz</w:t>
      </w:r>
    </w:hyperlink>
    <w:r w:rsidRPr="006A4952">
      <w:rPr>
        <w:sz w:val="18"/>
        <w:szCs w:val="18"/>
      </w:rPr>
      <w:t xml:space="preserve"> </w:t>
    </w:r>
    <w:r w:rsidRPr="006A4952">
      <w:rPr>
        <w:sz w:val="18"/>
        <w:szCs w:val="18"/>
      </w:rPr>
      <w:tab/>
    </w:r>
    <w:r>
      <w:rPr>
        <w:sz w:val="18"/>
        <w:szCs w:val="18"/>
        <w:lang w:val="cs-CZ"/>
      </w:rPr>
      <w:tab/>
    </w:r>
    <w:r w:rsidRPr="00721B09">
      <w:rPr>
        <w:rFonts w:cs="Arial"/>
        <w:sz w:val="18"/>
        <w:szCs w:val="18"/>
      </w:rPr>
      <w:t xml:space="preserve">strana </w:t>
    </w:r>
    <w:r w:rsidRPr="00721B09">
      <w:rPr>
        <w:rStyle w:val="slostrnky"/>
        <w:rFonts w:cs="Arial"/>
        <w:sz w:val="18"/>
        <w:szCs w:val="18"/>
      </w:rPr>
      <w:fldChar w:fldCharType="begin"/>
    </w:r>
    <w:r w:rsidRPr="00721B09">
      <w:rPr>
        <w:rStyle w:val="slostrnky"/>
        <w:rFonts w:cs="Arial"/>
        <w:sz w:val="18"/>
        <w:szCs w:val="18"/>
      </w:rPr>
      <w:instrText xml:space="preserve"> PAGE </w:instrText>
    </w:r>
    <w:r w:rsidRPr="00721B09">
      <w:rPr>
        <w:rStyle w:val="slostrnky"/>
        <w:rFonts w:cs="Arial"/>
        <w:sz w:val="18"/>
        <w:szCs w:val="18"/>
      </w:rPr>
      <w:fldChar w:fldCharType="separate"/>
    </w:r>
    <w:r w:rsidR="000665F2">
      <w:rPr>
        <w:rStyle w:val="slostrnky"/>
        <w:rFonts w:cs="Arial"/>
        <w:noProof/>
        <w:sz w:val="18"/>
        <w:szCs w:val="18"/>
      </w:rPr>
      <w:t>4</w:t>
    </w:r>
    <w:r w:rsidRPr="00721B09">
      <w:rPr>
        <w:rStyle w:val="slostrnky"/>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A1AB4" w14:textId="77777777" w:rsidR="00831E85" w:rsidRDefault="00831E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370F" w14:textId="77777777" w:rsidR="00830E0D" w:rsidRDefault="00830E0D">
      <w:r>
        <w:separator/>
      </w:r>
    </w:p>
  </w:footnote>
  <w:footnote w:type="continuationSeparator" w:id="0">
    <w:p w14:paraId="3FC184AB" w14:textId="77777777" w:rsidR="00830E0D" w:rsidRDefault="0083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B849A" w14:textId="77777777" w:rsidR="00831E85" w:rsidRDefault="00831E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78C2" w14:textId="77777777" w:rsidR="00831E85" w:rsidRDefault="00831E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701D" w14:textId="77777777" w:rsidR="00831E85" w:rsidRDefault="00831E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24D"/>
    <w:multiLevelType w:val="hybridMultilevel"/>
    <w:tmpl w:val="96BC2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763545"/>
    <w:multiLevelType w:val="multilevel"/>
    <w:tmpl w:val="0C6A817E"/>
    <w:lvl w:ilvl="0">
      <w:start w:val="1"/>
      <w:numFmt w:val="decimal"/>
      <w:lvlText w:val="%1"/>
      <w:lvlJc w:val="left"/>
      <w:pPr>
        <w:ind w:left="852" w:hanging="852"/>
      </w:pPr>
      <w:rPr>
        <w:rFonts w:hint="default"/>
      </w:rPr>
    </w:lvl>
    <w:lvl w:ilvl="1">
      <w:start w:val="1"/>
      <w:numFmt w:val="decimal"/>
      <w:lvlText w:val="2.%2"/>
      <w:lvlJc w:val="left"/>
      <w:pPr>
        <w:ind w:left="1414" w:hanging="852"/>
      </w:pPr>
      <w:rPr>
        <w:rFonts w:hint="default"/>
      </w:rPr>
    </w:lvl>
    <w:lvl w:ilvl="2">
      <w:start w:val="1"/>
      <w:numFmt w:val="decimal"/>
      <w:lvlText w:val="%1.%2.%3"/>
      <w:lvlJc w:val="left"/>
      <w:pPr>
        <w:ind w:left="1976" w:hanging="852"/>
      </w:pPr>
      <w:rPr>
        <w:rFonts w:hint="default"/>
      </w:rPr>
    </w:lvl>
    <w:lvl w:ilvl="3">
      <w:start w:val="1"/>
      <w:numFmt w:val="decimal"/>
      <w:lvlText w:val="%1.%2.%3.%4"/>
      <w:lvlJc w:val="left"/>
      <w:pPr>
        <w:ind w:left="2538" w:hanging="852"/>
      </w:pPr>
      <w:rPr>
        <w:rFonts w:hint="default"/>
      </w:rPr>
    </w:lvl>
    <w:lvl w:ilvl="4">
      <w:start w:val="1"/>
      <w:numFmt w:val="decimal"/>
      <w:lvlText w:val="%1.%2.%3.%4.%5"/>
      <w:lvlJc w:val="left"/>
      <w:pPr>
        <w:ind w:left="3100" w:hanging="852"/>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5936" w:hanging="1440"/>
      </w:pPr>
      <w:rPr>
        <w:rFonts w:hint="default"/>
      </w:rPr>
    </w:lvl>
  </w:abstractNum>
  <w:abstractNum w:abstractNumId="2" w15:restartNumberingAfterBreak="0">
    <w:nsid w:val="01DD3625"/>
    <w:multiLevelType w:val="hybridMultilevel"/>
    <w:tmpl w:val="56C63B3E"/>
    <w:lvl w:ilvl="0" w:tplc="748A3FD4">
      <w:start w:val="1"/>
      <w:numFmt w:val="lowerLetter"/>
      <w:lvlText w:val="%1)"/>
      <w:lvlJc w:val="left"/>
      <w:pPr>
        <w:tabs>
          <w:tab w:val="num" w:pos="360"/>
        </w:tabs>
        <w:ind w:left="360" w:hanging="360"/>
      </w:pPr>
      <w:rPr>
        <w:rFonts w:hint="default"/>
      </w:rPr>
    </w:lvl>
    <w:lvl w:ilvl="1" w:tplc="24BA7D6C" w:tentative="1">
      <w:start w:val="1"/>
      <w:numFmt w:val="lowerLetter"/>
      <w:lvlText w:val="%2."/>
      <w:lvlJc w:val="left"/>
      <w:pPr>
        <w:tabs>
          <w:tab w:val="num" w:pos="1080"/>
        </w:tabs>
        <w:ind w:left="1080" w:hanging="360"/>
      </w:pPr>
    </w:lvl>
    <w:lvl w:ilvl="2" w:tplc="1F824A04" w:tentative="1">
      <w:start w:val="1"/>
      <w:numFmt w:val="lowerRoman"/>
      <w:lvlText w:val="%3."/>
      <w:lvlJc w:val="right"/>
      <w:pPr>
        <w:tabs>
          <w:tab w:val="num" w:pos="1800"/>
        </w:tabs>
        <w:ind w:left="1800" w:hanging="180"/>
      </w:pPr>
    </w:lvl>
    <w:lvl w:ilvl="3" w:tplc="0F10388C" w:tentative="1">
      <w:start w:val="1"/>
      <w:numFmt w:val="decimal"/>
      <w:lvlText w:val="%4."/>
      <w:lvlJc w:val="left"/>
      <w:pPr>
        <w:tabs>
          <w:tab w:val="num" w:pos="2520"/>
        </w:tabs>
        <w:ind w:left="2520" w:hanging="360"/>
      </w:pPr>
    </w:lvl>
    <w:lvl w:ilvl="4" w:tplc="B802B8D4" w:tentative="1">
      <w:start w:val="1"/>
      <w:numFmt w:val="lowerLetter"/>
      <w:lvlText w:val="%5."/>
      <w:lvlJc w:val="left"/>
      <w:pPr>
        <w:tabs>
          <w:tab w:val="num" w:pos="3240"/>
        </w:tabs>
        <w:ind w:left="3240" w:hanging="360"/>
      </w:pPr>
    </w:lvl>
    <w:lvl w:ilvl="5" w:tplc="53F42A44" w:tentative="1">
      <w:start w:val="1"/>
      <w:numFmt w:val="lowerRoman"/>
      <w:lvlText w:val="%6."/>
      <w:lvlJc w:val="right"/>
      <w:pPr>
        <w:tabs>
          <w:tab w:val="num" w:pos="3960"/>
        </w:tabs>
        <w:ind w:left="3960" w:hanging="180"/>
      </w:pPr>
    </w:lvl>
    <w:lvl w:ilvl="6" w:tplc="E162F394" w:tentative="1">
      <w:start w:val="1"/>
      <w:numFmt w:val="decimal"/>
      <w:lvlText w:val="%7."/>
      <w:lvlJc w:val="left"/>
      <w:pPr>
        <w:tabs>
          <w:tab w:val="num" w:pos="4680"/>
        </w:tabs>
        <w:ind w:left="4680" w:hanging="360"/>
      </w:pPr>
    </w:lvl>
    <w:lvl w:ilvl="7" w:tplc="31EA5324" w:tentative="1">
      <w:start w:val="1"/>
      <w:numFmt w:val="lowerLetter"/>
      <w:lvlText w:val="%8."/>
      <w:lvlJc w:val="left"/>
      <w:pPr>
        <w:tabs>
          <w:tab w:val="num" w:pos="5400"/>
        </w:tabs>
        <w:ind w:left="5400" w:hanging="360"/>
      </w:pPr>
    </w:lvl>
    <w:lvl w:ilvl="8" w:tplc="067885C6" w:tentative="1">
      <w:start w:val="1"/>
      <w:numFmt w:val="lowerRoman"/>
      <w:lvlText w:val="%9."/>
      <w:lvlJc w:val="right"/>
      <w:pPr>
        <w:tabs>
          <w:tab w:val="num" w:pos="6120"/>
        </w:tabs>
        <w:ind w:left="6120" w:hanging="180"/>
      </w:pPr>
    </w:lvl>
  </w:abstractNum>
  <w:abstractNum w:abstractNumId="3" w15:restartNumberingAfterBreak="0">
    <w:nsid w:val="07C36F99"/>
    <w:multiLevelType w:val="hybridMultilevel"/>
    <w:tmpl w:val="BA84E70C"/>
    <w:lvl w:ilvl="0" w:tplc="D4C6654E">
      <w:start w:val="1"/>
      <w:numFmt w:val="decimal"/>
      <w:lvlText w:val="%1"/>
      <w:lvlJc w:val="left"/>
      <w:pPr>
        <w:tabs>
          <w:tab w:val="num" w:pos="567"/>
        </w:tabs>
        <w:ind w:left="567" w:hanging="56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257E4A"/>
    <w:multiLevelType w:val="multilevel"/>
    <w:tmpl w:val="A07896B0"/>
    <w:lvl w:ilvl="0">
      <w:start w:val="1"/>
      <w:numFmt w:val="upperLetter"/>
      <w:lvlText w:val="(%1)"/>
      <w:lvlJc w:val="left"/>
      <w:pPr>
        <w:tabs>
          <w:tab w:val="num" w:pos="624"/>
        </w:tabs>
        <w:ind w:left="624" w:hanging="624"/>
      </w:pPr>
      <w:rPr>
        <w:rFonts w:hint="default"/>
      </w:rPr>
    </w:lvl>
    <w:lvl w:ilvl="1">
      <w:start w:val="1"/>
      <w:numFmt w:val="decimal"/>
      <w:lvlText w:val="%2."/>
      <w:lvlJc w:val="left"/>
      <w:pPr>
        <w:tabs>
          <w:tab w:val="num" w:pos="1247"/>
        </w:tabs>
        <w:ind w:left="1247" w:hanging="623"/>
      </w:pPr>
      <w:rPr>
        <w:rFonts w:hint="default"/>
      </w:rPr>
    </w:lvl>
    <w:lvl w:ilvl="2">
      <w:start w:val="1"/>
      <w:numFmt w:val="lowerRoman"/>
      <w:lvlText w:val="%3."/>
      <w:lvlJc w:val="right"/>
      <w:pPr>
        <w:tabs>
          <w:tab w:val="num" w:pos="1536"/>
        </w:tabs>
        <w:ind w:left="1536" w:hanging="180"/>
      </w:pPr>
    </w:lvl>
    <w:lvl w:ilvl="3" w:tentative="1">
      <w:start w:val="1"/>
      <w:numFmt w:val="decimal"/>
      <w:lvlText w:val="%4."/>
      <w:lvlJc w:val="left"/>
      <w:pPr>
        <w:tabs>
          <w:tab w:val="num" w:pos="2256"/>
        </w:tabs>
        <w:ind w:left="2256" w:hanging="360"/>
      </w:pPr>
    </w:lvl>
    <w:lvl w:ilvl="4" w:tentative="1">
      <w:start w:val="1"/>
      <w:numFmt w:val="lowerLetter"/>
      <w:lvlText w:val="%5."/>
      <w:lvlJc w:val="left"/>
      <w:pPr>
        <w:tabs>
          <w:tab w:val="num" w:pos="2976"/>
        </w:tabs>
        <w:ind w:left="2976" w:hanging="360"/>
      </w:pPr>
    </w:lvl>
    <w:lvl w:ilvl="5" w:tentative="1">
      <w:start w:val="1"/>
      <w:numFmt w:val="lowerRoman"/>
      <w:lvlText w:val="%6."/>
      <w:lvlJc w:val="right"/>
      <w:pPr>
        <w:tabs>
          <w:tab w:val="num" w:pos="3696"/>
        </w:tabs>
        <w:ind w:left="3696" w:hanging="180"/>
      </w:pPr>
    </w:lvl>
    <w:lvl w:ilvl="6" w:tentative="1">
      <w:start w:val="1"/>
      <w:numFmt w:val="decimal"/>
      <w:lvlText w:val="%7."/>
      <w:lvlJc w:val="left"/>
      <w:pPr>
        <w:tabs>
          <w:tab w:val="num" w:pos="4416"/>
        </w:tabs>
        <w:ind w:left="4416" w:hanging="360"/>
      </w:pPr>
    </w:lvl>
    <w:lvl w:ilvl="7" w:tentative="1">
      <w:start w:val="1"/>
      <w:numFmt w:val="lowerLetter"/>
      <w:lvlText w:val="%8."/>
      <w:lvlJc w:val="left"/>
      <w:pPr>
        <w:tabs>
          <w:tab w:val="num" w:pos="5136"/>
        </w:tabs>
        <w:ind w:left="5136" w:hanging="360"/>
      </w:pPr>
    </w:lvl>
    <w:lvl w:ilvl="8" w:tentative="1">
      <w:start w:val="1"/>
      <w:numFmt w:val="lowerRoman"/>
      <w:lvlText w:val="%9."/>
      <w:lvlJc w:val="right"/>
      <w:pPr>
        <w:tabs>
          <w:tab w:val="num" w:pos="5856"/>
        </w:tabs>
        <w:ind w:left="5856" w:hanging="180"/>
      </w:pPr>
    </w:lvl>
  </w:abstractNum>
  <w:abstractNum w:abstractNumId="5" w15:restartNumberingAfterBreak="0">
    <w:nsid w:val="0C4B5526"/>
    <w:multiLevelType w:val="hybridMultilevel"/>
    <w:tmpl w:val="3E62B042"/>
    <w:lvl w:ilvl="0" w:tplc="BB5AE0EC">
      <w:start w:val="1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2C5E37"/>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49C4FE2"/>
    <w:multiLevelType w:val="multilevel"/>
    <w:tmpl w:val="B7908154"/>
    <w:lvl w:ilvl="0">
      <w:start w:val="1"/>
      <w:numFmt w:val="upperLetter"/>
      <w:lvlText w:val="(%1)"/>
      <w:lvlJc w:val="left"/>
      <w:pPr>
        <w:tabs>
          <w:tab w:val="num" w:pos="624"/>
        </w:tabs>
        <w:ind w:left="624" w:hanging="624"/>
      </w:pPr>
      <w:rPr>
        <w:rFonts w:hint="default"/>
      </w:rPr>
    </w:lvl>
    <w:lvl w:ilvl="1">
      <w:start w:val="1"/>
      <w:numFmt w:val="decimal"/>
      <w:lvlText w:val="(%2)"/>
      <w:lvlJc w:val="left"/>
      <w:pPr>
        <w:tabs>
          <w:tab w:val="num" w:pos="816"/>
        </w:tabs>
        <w:ind w:left="816" w:hanging="360"/>
      </w:pPr>
      <w:rPr>
        <w:rFonts w:hint="default"/>
      </w:rPr>
    </w:lvl>
    <w:lvl w:ilvl="2">
      <w:start w:val="1"/>
      <w:numFmt w:val="decimal"/>
      <w:lvlText w:val="%3)"/>
      <w:lvlJc w:val="left"/>
      <w:pPr>
        <w:ind w:left="1716" w:hanging="360"/>
      </w:pPr>
      <w:rPr>
        <w:rFonts w:hint="default"/>
      </w:rPr>
    </w:lvl>
    <w:lvl w:ilvl="3" w:tentative="1">
      <w:start w:val="1"/>
      <w:numFmt w:val="decimal"/>
      <w:lvlText w:val="%4."/>
      <w:lvlJc w:val="left"/>
      <w:pPr>
        <w:tabs>
          <w:tab w:val="num" w:pos="2256"/>
        </w:tabs>
        <w:ind w:left="2256" w:hanging="360"/>
      </w:pPr>
    </w:lvl>
    <w:lvl w:ilvl="4" w:tentative="1">
      <w:start w:val="1"/>
      <w:numFmt w:val="lowerLetter"/>
      <w:lvlText w:val="%5."/>
      <w:lvlJc w:val="left"/>
      <w:pPr>
        <w:tabs>
          <w:tab w:val="num" w:pos="2976"/>
        </w:tabs>
        <w:ind w:left="2976" w:hanging="360"/>
      </w:pPr>
    </w:lvl>
    <w:lvl w:ilvl="5" w:tentative="1">
      <w:start w:val="1"/>
      <w:numFmt w:val="lowerRoman"/>
      <w:lvlText w:val="%6."/>
      <w:lvlJc w:val="right"/>
      <w:pPr>
        <w:tabs>
          <w:tab w:val="num" w:pos="3696"/>
        </w:tabs>
        <w:ind w:left="3696" w:hanging="180"/>
      </w:pPr>
    </w:lvl>
    <w:lvl w:ilvl="6" w:tentative="1">
      <w:start w:val="1"/>
      <w:numFmt w:val="decimal"/>
      <w:lvlText w:val="%7."/>
      <w:lvlJc w:val="left"/>
      <w:pPr>
        <w:tabs>
          <w:tab w:val="num" w:pos="4416"/>
        </w:tabs>
        <w:ind w:left="4416" w:hanging="360"/>
      </w:pPr>
    </w:lvl>
    <w:lvl w:ilvl="7" w:tentative="1">
      <w:start w:val="1"/>
      <w:numFmt w:val="lowerLetter"/>
      <w:lvlText w:val="%8."/>
      <w:lvlJc w:val="left"/>
      <w:pPr>
        <w:tabs>
          <w:tab w:val="num" w:pos="5136"/>
        </w:tabs>
        <w:ind w:left="5136" w:hanging="360"/>
      </w:pPr>
    </w:lvl>
    <w:lvl w:ilvl="8" w:tentative="1">
      <w:start w:val="1"/>
      <w:numFmt w:val="lowerRoman"/>
      <w:lvlText w:val="%9."/>
      <w:lvlJc w:val="right"/>
      <w:pPr>
        <w:tabs>
          <w:tab w:val="num" w:pos="5856"/>
        </w:tabs>
        <w:ind w:left="5856" w:hanging="180"/>
      </w:pPr>
    </w:lvl>
  </w:abstractNum>
  <w:abstractNum w:abstractNumId="8" w15:restartNumberingAfterBreak="0">
    <w:nsid w:val="1B6B0DF0"/>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15:restartNumberingAfterBreak="0">
    <w:nsid w:val="26565D9A"/>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27866BEF"/>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15:restartNumberingAfterBreak="0">
    <w:nsid w:val="2D695A2B"/>
    <w:multiLevelType w:val="singleLevel"/>
    <w:tmpl w:val="EB7C8578"/>
    <w:lvl w:ilvl="0">
      <w:start w:val="1"/>
      <w:numFmt w:val="lowerRoman"/>
      <w:lvlText w:val="(%1)"/>
      <w:lvlJc w:val="left"/>
      <w:pPr>
        <w:tabs>
          <w:tab w:val="num" w:pos="1440"/>
        </w:tabs>
        <w:ind w:left="1440" w:hanging="720"/>
      </w:pPr>
      <w:rPr>
        <w:rFonts w:hint="default"/>
      </w:rPr>
    </w:lvl>
  </w:abstractNum>
  <w:abstractNum w:abstractNumId="12" w15:restartNumberingAfterBreak="0">
    <w:nsid w:val="2E803176"/>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0642D56"/>
    <w:multiLevelType w:val="hybridMultilevel"/>
    <w:tmpl w:val="F4CCF548"/>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14" w15:restartNumberingAfterBreak="0">
    <w:nsid w:val="30F84886"/>
    <w:multiLevelType w:val="hybridMultilevel"/>
    <w:tmpl w:val="F6BAE0CE"/>
    <w:lvl w:ilvl="0" w:tplc="F3489B0E">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C92F27"/>
    <w:multiLevelType w:val="multilevel"/>
    <w:tmpl w:val="699861F0"/>
    <w:lvl w:ilvl="0">
      <w:start w:val="1"/>
      <w:numFmt w:val="upperLetter"/>
      <w:lvlText w:val="(%1)"/>
      <w:lvlJc w:val="left"/>
      <w:pPr>
        <w:tabs>
          <w:tab w:val="num" w:pos="624"/>
        </w:tabs>
        <w:ind w:left="624" w:hanging="624"/>
      </w:pPr>
      <w:rPr>
        <w:rFonts w:hint="default"/>
      </w:rPr>
    </w:lvl>
    <w:lvl w:ilvl="1" w:tentative="1">
      <w:start w:val="1"/>
      <w:numFmt w:val="lowerLetter"/>
      <w:lvlText w:val="%2."/>
      <w:lvlJc w:val="left"/>
      <w:pPr>
        <w:tabs>
          <w:tab w:val="num" w:pos="816"/>
        </w:tabs>
        <w:ind w:left="816" w:hanging="360"/>
      </w:pPr>
    </w:lvl>
    <w:lvl w:ilvl="2" w:tentative="1">
      <w:start w:val="1"/>
      <w:numFmt w:val="lowerRoman"/>
      <w:lvlText w:val="%3."/>
      <w:lvlJc w:val="right"/>
      <w:pPr>
        <w:tabs>
          <w:tab w:val="num" w:pos="1536"/>
        </w:tabs>
        <w:ind w:left="1536" w:hanging="180"/>
      </w:pPr>
    </w:lvl>
    <w:lvl w:ilvl="3" w:tentative="1">
      <w:start w:val="1"/>
      <w:numFmt w:val="decimal"/>
      <w:lvlText w:val="%4."/>
      <w:lvlJc w:val="left"/>
      <w:pPr>
        <w:tabs>
          <w:tab w:val="num" w:pos="2256"/>
        </w:tabs>
        <w:ind w:left="2256" w:hanging="360"/>
      </w:pPr>
    </w:lvl>
    <w:lvl w:ilvl="4" w:tentative="1">
      <w:start w:val="1"/>
      <w:numFmt w:val="lowerLetter"/>
      <w:lvlText w:val="%5."/>
      <w:lvlJc w:val="left"/>
      <w:pPr>
        <w:tabs>
          <w:tab w:val="num" w:pos="2976"/>
        </w:tabs>
        <w:ind w:left="2976" w:hanging="360"/>
      </w:pPr>
    </w:lvl>
    <w:lvl w:ilvl="5" w:tentative="1">
      <w:start w:val="1"/>
      <w:numFmt w:val="lowerRoman"/>
      <w:lvlText w:val="%6."/>
      <w:lvlJc w:val="right"/>
      <w:pPr>
        <w:tabs>
          <w:tab w:val="num" w:pos="3696"/>
        </w:tabs>
        <w:ind w:left="3696" w:hanging="180"/>
      </w:pPr>
    </w:lvl>
    <w:lvl w:ilvl="6" w:tentative="1">
      <w:start w:val="1"/>
      <w:numFmt w:val="decimal"/>
      <w:lvlText w:val="%7."/>
      <w:lvlJc w:val="left"/>
      <w:pPr>
        <w:tabs>
          <w:tab w:val="num" w:pos="4416"/>
        </w:tabs>
        <w:ind w:left="4416" w:hanging="360"/>
      </w:pPr>
    </w:lvl>
    <w:lvl w:ilvl="7" w:tentative="1">
      <w:start w:val="1"/>
      <w:numFmt w:val="lowerLetter"/>
      <w:lvlText w:val="%8."/>
      <w:lvlJc w:val="left"/>
      <w:pPr>
        <w:tabs>
          <w:tab w:val="num" w:pos="5136"/>
        </w:tabs>
        <w:ind w:left="5136" w:hanging="360"/>
      </w:pPr>
    </w:lvl>
    <w:lvl w:ilvl="8" w:tentative="1">
      <w:start w:val="1"/>
      <w:numFmt w:val="lowerRoman"/>
      <w:lvlText w:val="%9."/>
      <w:lvlJc w:val="right"/>
      <w:pPr>
        <w:tabs>
          <w:tab w:val="num" w:pos="5856"/>
        </w:tabs>
        <w:ind w:left="5856" w:hanging="180"/>
      </w:pPr>
    </w:lvl>
  </w:abstractNum>
  <w:abstractNum w:abstractNumId="16" w15:restartNumberingAfterBreak="0">
    <w:nsid w:val="350E25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525390"/>
    <w:multiLevelType w:val="hybridMultilevel"/>
    <w:tmpl w:val="A5C4B864"/>
    <w:lvl w:ilvl="0" w:tplc="2436926A">
      <w:start w:val="1"/>
      <w:numFmt w:val="decimal"/>
      <w:lvlText w:val="%1."/>
      <w:lvlJc w:val="left"/>
      <w:pPr>
        <w:tabs>
          <w:tab w:val="num" w:pos="360"/>
        </w:tabs>
        <w:ind w:left="360" w:hanging="360"/>
      </w:pPr>
    </w:lvl>
    <w:lvl w:ilvl="1" w:tplc="821ABC06">
      <w:start w:val="1"/>
      <w:numFmt w:val="decimal"/>
      <w:lvlText w:val="%2."/>
      <w:lvlJc w:val="left"/>
      <w:pPr>
        <w:tabs>
          <w:tab w:val="num" w:pos="360"/>
        </w:tabs>
        <w:ind w:left="360" w:hanging="360"/>
      </w:pPr>
    </w:lvl>
    <w:lvl w:ilvl="2" w:tplc="BC082F9E" w:tentative="1">
      <w:start w:val="1"/>
      <w:numFmt w:val="lowerRoman"/>
      <w:lvlText w:val="%3."/>
      <w:lvlJc w:val="right"/>
      <w:pPr>
        <w:tabs>
          <w:tab w:val="num" w:pos="2160"/>
        </w:tabs>
        <w:ind w:left="2160" w:hanging="180"/>
      </w:pPr>
    </w:lvl>
    <w:lvl w:ilvl="3" w:tplc="2174B216" w:tentative="1">
      <w:start w:val="1"/>
      <w:numFmt w:val="decimal"/>
      <w:lvlText w:val="%4."/>
      <w:lvlJc w:val="left"/>
      <w:pPr>
        <w:tabs>
          <w:tab w:val="num" w:pos="2880"/>
        </w:tabs>
        <w:ind w:left="2880" w:hanging="360"/>
      </w:pPr>
    </w:lvl>
    <w:lvl w:ilvl="4" w:tplc="A448D06E" w:tentative="1">
      <w:start w:val="1"/>
      <w:numFmt w:val="lowerLetter"/>
      <w:lvlText w:val="%5."/>
      <w:lvlJc w:val="left"/>
      <w:pPr>
        <w:tabs>
          <w:tab w:val="num" w:pos="3600"/>
        </w:tabs>
        <w:ind w:left="3600" w:hanging="360"/>
      </w:pPr>
    </w:lvl>
    <w:lvl w:ilvl="5" w:tplc="AF2A8AB2" w:tentative="1">
      <w:start w:val="1"/>
      <w:numFmt w:val="lowerRoman"/>
      <w:lvlText w:val="%6."/>
      <w:lvlJc w:val="right"/>
      <w:pPr>
        <w:tabs>
          <w:tab w:val="num" w:pos="4320"/>
        </w:tabs>
        <w:ind w:left="4320" w:hanging="180"/>
      </w:pPr>
    </w:lvl>
    <w:lvl w:ilvl="6" w:tplc="5568F1BE" w:tentative="1">
      <w:start w:val="1"/>
      <w:numFmt w:val="decimal"/>
      <w:lvlText w:val="%7."/>
      <w:lvlJc w:val="left"/>
      <w:pPr>
        <w:tabs>
          <w:tab w:val="num" w:pos="5040"/>
        </w:tabs>
        <w:ind w:left="5040" w:hanging="360"/>
      </w:pPr>
    </w:lvl>
    <w:lvl w:ilvl="7" w:tplc="BFB2A426" w:tentative="1">
      <w:start w:val="1"/>
      <w:numFmt w:val="lowerLetter"/>
      <w:lvlText w:val="%8."/>
      <w:lvlJc w:val="left"/>
      <w:pPr>
        <w:tabs>
          <w:tab w:val="num" w:pos="5760"/>
        </w:tabs>
        <w:ind w:left="5760" w:hanging="360"/>
      </w:pPr>
    </w:lvl>
    <w:lvl w:ilvl="8" w:tplc="D26622BC" w:tentative="1">
      <w:start w:val="1"/>
      <w:numFmt w:val="lowerRoman"/>
      <w:lvlText w:val="%9."/>
      <w:lvlJc w:val="right"/>
      <w:pPr>
        <w:tabs>
          <w:tab w:val="num" w:pos="6480"/>
        </w:tabs>
        <w:ind w:left="6480" w:hanging="180"/>
      </w:pPr>
    </w:lvl>
  </w:abstractNum>
  <w:abstractNum w:abstractNumId="18" w15:restartNumberingAfterBreak="0">
    <w:nsid w:val="3881596E"/>
    <w:multiLevelType w:val="hybridMultilevel"/>
    <w:tmpl w:val="34E494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014D01"/>
    <w:multiLevelType w:val="singleLevel"/>
    <w:tmpl w:val="BA1E89B2"/>
    <w:lvl w:ilvl="0">
      <w:start w:val="1"/>
      <w:numFmt w:val="lowerRoman"/>
      <w:lvlText w:val="(%1)"/>
      <w:lvlJc w:val="left"/>
      <w:pPr>
        <w:tabs>
          <w:tab w:val="num" w:pos="1440"/>
        </w:tabs>
        <w:ind w:left="1440" w:hanging="720"/>
      </w:pPr>
      <w:rPr>
        <w:rFonts w:hint="default"/>
      </w:rPr>
    </w:lvl>
  </w:abstractNum>
  <w:abstractNum w:abstractNumId="20" w15:restartNumberingAfterBreak="0">
    <w:nsid w:val="3F9319DC"/>
    <w:multiLevelType w:val="hybridMultilevel"/>
    <w:tmpl w:val="A90CD256"/>
    <w:lvl w:ilvl="0" w:tplc="630E998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25B6F5F"/>
    <w:multiLevelType w:val="hybridMultilevel"/>
    <w:tmpl w:val="98D49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72502C"/>
    <w:multiLevelType w:val="hybridMultilevel"/>
    <w:tmpl w:val="E07A4ADE"/>
    <w:lvl w:ilvl="0" w:tplc="BEEAA9A4">
      <w:start w:val="1"/>
      <w:numFmt w:val="bullet"/>
      <w:lvlText w:val="­"/>
      <w:lvlJc w:val="left"/>
      <w:pPr>
        <w:tabs>
          <w:tab w:val="num" w:pos="357"/>
        </w:tabs>
        <w:ind w:left="357" w:hanging="357"/>
      </w:pPr>
      <w:rPr>
        <w:rFonts w:ascii="Courier New" w:hAnsi="Courier New" w:hint="default"/>
      </w:rPr>
    </w:lvl>
    <w:lvl w:ilvl="1" w:tplc="9AC2A386" w:tentative="1">
      <w:start w:val="1"/>
      <w:numFmt w:val="bullet"/>
      <w:lvlText w:val="o"/>
      <w:lvlJc w:val="left"/>
      <w:pPr>
        <w:tabs>
          <w:tab w:val="num" w:pos="1083"/>
        </w:tabs>
        <w:ind w:left="1083" w:hanging="360"/>
      </w:pPr>
      <w:rPr>
        <w:rFonts w:ascii="Courier New" w:hAnsi="Courier New" w:cs="Wingdings" w:hint="default"/>
      </w:rPr>
    </w:lvl>
    <w:lvl w:ilvl="2" w:tplc="C1AA405E" w:tentative="1">
      <w:start w:val="1"/>
      <w:numFmt w:val="bullet"/>
      <w:lvlText w:val=""/>
      <w:lvlJc w:val="left"/>
      <w:pPr>
        <w:tabs>
          <w:tab w:val="num" w:pos="1803"/>
        </w:tabs>
        <w:ind w:left="1803" w:hanging="360"/>
      </w:pPr>
      <w:rPr>
        <w:rFonts w:ascii="Wingdings" w:hAnsi="Wingdings" w:hint="default"/>
      </w:rPr>
    </w:lvl>
    <w:lvl w:ilvl="3" w:tplc="A350E712" w:tentative="1">
      <w:start w:val="1"/>
      <w:numFmt w:val="bullet"/>
      <w:lvlText w:val=""/>
      <w:lvlJc w:val="left"/>
      <w:pPr>
        <w:tabs>
          <w:tab w:val="num" w:pos="2523"/>
        </w:tabs>
        <w:ind w:left="2523" w:hanging="360"/>
      </w:pPr>
      <w:rPr>
        <w:rFonts w:ascii="Symbol" w:hAnsi="Symbol" w:hint="default"/>
      </w:rPr>
    </w:lvl>
    <w:lvl w:ilvl="4" w:tplc="2D00B692" w:tentative="1">
      <w:start w:val="1"/>
      <w:numFmt w:val="bullet"/>
      <w:lvlText w:val="o"/>
      <w:lvlJc w:val="left"/>
      <w:pPr>
        <w:tabs>
          <w:tab w:val="num" w:pos="3243"/>
        </w:tabs>
        <w:ind w:left="3243" w:hanging="360"/>
      </w:pPr>
      <w:rPr>
        <w:rFonts w:ascii="Courier New" w:hAnsi="Courier New" w:cs="Wingdings" w:hint="default"/>
      </w:rPr>
    </w:lvl>
    <w:lvl w:ilvl="5" w:tplc="84FC2DF6" w:tentative="1">
      <w:start w:val="1"/>
      <w:numFmt w:val="bullet"/>
      <w:lvlText w:val=""/>
      <w:lvlJc w:val="left"/>
      <w:pPr>
        <w:tabs>
          <w:tab w:val="num" w:pos="3963"/>
        </w:tabs>
        <w:ind w:left="3963" w:hanging="360"/>
      </w:pPr>
      <w:rPr>
        <w:rFonts w:ascii="Wingdings" w:hAnsi="Wingdings" w:hint="default"/>
      </w:rPr>
    </w:lvl>
    <w:lvl w:ilvl="6" w:tplc="AF20F24E" w:tentative="1">
      <w:start w:val="1"/>
      <w:numFmt w:val="bullet"/>
      <w:lvlText w:val=""/>
      <w:lvlJc w:val="left"/>
      <w:pPr>
        <w:tabs>
          <w:tab w:val="num" w:pos="4683"/>
        </w:tabs>
        <w:ind w:left="4683" w:hanging="360"/>
      </w:pPr>
      <w:rPr>
        <w:rFonts w:ascii="Symbol" w:hAnsi="Symbol" w:hint="default"/>
      </w:rPr>
    </w:lvl>
    <w:lvl w:ilvl="7" w:tplc="3EF6B882" w:tentative="1">
      <w:start w:val="1"/>
      <w:numFmt w:val="bullet"/>
      <w:lvlText w:val="o"/>
      <w:lvlJc w:val="left"/>
      <w:pPr>
        <w:tabs>
          <w:tab w:val="num" w:pos="5403"/>
        </w:tabs>
        <w:ind w:left="5403" w:hanging="360"/>
      </w:pPr>
      <w:rPr>
        <w:rFonts w:ascii="Courier New" w:hAnsi="Courier New" w:cs="Wingdings" w:hint="default"/>
      </w:rPr>
    </w:lvl>
    <w:lvl w:ilvl="8" w:tplc="E04EA862"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4D74235D"/>
    <w:multiLevelType w:val="hybridMultilevel"/>
    <w:tmpl w:val="9B8A9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900441"/>
    <w:multiLevelType w:val="multilevel"/>
    <w:tmpl w:val="D86EB580"/>
    <w:lvl w:ilvl="0">
      <w:start w:val="1"/>
      <w:numFmt w:val="decimal"/>
      <w:lvlText w:val="%1"/>
      <w:lvlJc w:val="left"/>
      <w:pPr>
        <w:ind w:left="360" w:hanging="360"/>
      </w:pPr>
      <w:rPr>
        <w:rFonts w:hint="default"/>
      </w:rPr>
    </w:lvl>
    <w:lvl w:ilvl="1">
      <w:start w:val="1"/>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5936" w:hanging="1440"/>
      </w:pPr>
      <w:rPr>
        <w:rFonts w:hint="default"/>
      </w:rPr>
    </w:lvl>
  </w:abstractNum>
  <w:abstractNum w:abstractNumId="25" w15:restartNumberingAfterBreak="0">
    <w:nsid w:val="5F37199C"/>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5F441157"/>
    <w:multiLevelType w:val="hybridMultilevel"/>
    <w:tmpl w:val="BEAA3650"/>
    <w:lvl w:ilvl="0" w:tplc="18A8478E">
      <w:start w:val="1"/>
      <w:numFmt w:val="lowerLetter"/>
      <w:lvlText w:val="%1)"/>
      <w:lvlJc w:val="left"/>
      <w:pPr>
        <w:tabs>
          <w:tab w:val="num" w:pos="360"/>
        </w:tabs>
        <w:ind w:left="360" w:hanging="360"/>
      </w:pPr>
      <w:rPr>
        <w:rFonts w:hint="default"/>
      </w:rPr>
    </w:lvl>
    <w:lvl w:ilvl="1" w:tplc="9348CB04" w:tentative="1">
      <w:start w:val="1"/>
      <w:numFmt w:val="lowerLetter"/>
      <w:lvlText w:val="%2."/>
      <w:lvlJc w:val="left"/>
      <w:pPr>
        <w:tabs>
          <w:tab w:val="num" w:pos="1080"/>
        </w:tabs>
        <w:ind w:left="1080" w:hanging="360"/>
      </w:pPr>
    </w:lvl>
    <w:lvl w:ilvl="2" w:tplc="E048DFFE" w:tentative="1">
      <w:start w:val="1"/>
      <w:numFmt w:val="lowerRoman"/>
      <w:lvlText w:val="%3."/>
      <w:lvlJc w:val="right"/>
      <w:pPr>
        <w:tabs>
          <w:tab w:val="num" w:pos="1800"/>
        </w:tabs>
        <w:ind w:left="1800" w:hanging="180"/>
      </w:pPr>
    </w:lvl>
    <w:lvl w:ilvl="3" w:tplc="B11E58BC" w:tentative="1">
      <w:start w:val="1"/>
      <w:numFmt w:val="decimal"/>
      <w:lvlText w:val="%4."/>
      <w:lvlJc w:val="left"/>
      <w:pPr>
        <w:tabs>
          <w:tab w:val="num" w:pos="2520"/>
        </w:tabs>
        <w:ind w:left="2520" w:hanging="360"/>
      </w:pPr>
    </w:lvl>
    <w:lvl w:ilvl="4" w:tplc="B42A393E" w:tentative="1">
      <w:start w:val="1"/>
      <w:numFmt w:val="lowerLetter"/>
      <w:lvlText w:val="%5."/>
      <w:lvlJc w:val="left"/>
      <w:pPr>
        <w:tabs>
          <w:tab w:val="num" w:pos="3240"/>
        </w:tabs>
        <w:ind w:left="3240" w:hanging="360"/>
      </w:pPr>
    </w:lvl>
    <w:lvl w:ilvl="5" w:tplc="8EF836BC" w:tentative="1">
      <w:start w:val="1"/>
      <w:numFmt w:val="lowerRoman"/>
      <w:lvlText w:val="%6."/>
      <w:lvlJc w:val="right"/>
      <w:pPr>
        <w:tabs>
          <w:tab w:val="num" w:pos="3960"/>
        </w:tabs>
        <w:ind w:left="3960" w:hanging="180"/>
      </w:pPr>
    </w:lvl>
    <w:lvl w:ilvl="6" w:tplc="2ADECCDE" w:tentative="1">
      <w:start w:val="1"/>
      <w:numFmt w:val="decimal"/>
      <w:lvlText w:val="%7."/>
      <w:lvlJc w:val="left"/>
      <w:pPr>
        <w:tabs>
          <w:tab w:val="num" w:pos="4680"/>
        </w:tabs>
        <w:ind w:left="4680" w:hanging="360"/>
      </w:pPr>
    </w:lvl>
    <w:lvl w:ilvl="7" w:tplc="FF7003F2" w:tentative="1">
      <w:start w:val="1"/>
      <w:numFmt w:val="lowerLetter"/>
      <w:lvlText w:val="%8."/>
      <w:lvlJc w:val="left"/>
      <w:pPr>
        <w:tabs>
          <w:tab w:val="num" w:pos="5400"/>
        </w:tabs>
        <w:ind w:left="5400" w:hanging="360"/>
      </w:pPr>
    </w:lvl>
    <w:lvl w:ilvl="8" w:tplc="B2F605EA" w:tentative="1">
      <w:start w:val="1"/>
      <w:numFmt w:val="lowerRoman"/>
      <w:lvlText w:val="%9."/>
      <w:lvlJc w:val="right"/>
      <w:pPr>
        <w:tabs>
          <w:tab w:val="num" w:pos="6120"/>
        </w:tabs>
        <w:ind w:left="6120" w:hanging="180"/>
      </w:pPr>
    </w:lvl>
  </w:abstractNum>
  <w:abstractNum w:abstractNumId="27" w15:restartNumberingAfterBreak="0">
    <w:nsid w:val="608B0E81"/>
    <w:multiLevelType w:val="singleLevel"/>
    <w:tmpl w:val="04090017"/>
    <w:lvl w:ilvl="0">
      <w:start w:val="1"/>
      <w:numFmt w:val="lowerLetter"/>
      <w:lvlText w:val="%1)"/>
      <w:lvlJc w:val="left"/>
      <w:pPr>
        <w:tabs>
          <w:tab w:val="num" w:pos="360"/>
        </w:tabs>
        <w:ind w:left="360" w:hanging="360"/>
      </w:pPr>
      <w:rPr>
        <w:rFonts w:hint="default"/>
      </w:rPr>
    </w:lvl>
  </w:abstractNum>
  <w:abstractNum w:abstractNumId="28" w15:restartNumberingAfterBreak="0">
    <w:nsid w:val="682F2E77"/>
    <w:multiLevelType w:val="hybridMultilevel"/>
    <w:tmpl w:val="785A72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8E406F"/>
    <w:multiLevelType w:val="multilevel"/>
    <w:tmpl w:val="7EC60F00"/>
    <w:lvl w:ilvl="0">
      <w:start w:val="1"/>
      <w:numFmt w:val="decimal"/>
      <w:lvlText w:val="%1."/>
      <w:lvlJc w:val="left"/>
      <w:pPr>
        <w:tabs>
          <w:tab w:val="num" w:pos="624"/>
        </w:tabs>
        <w:ind w:left="0" w:firstLine="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60"/>
        </w:tabs>
        <w:ind w:left="1260" w:hanging="108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620"/>
        </w:tabs>
        <w:ind w:left="1620" w:hanging="1440"/>
      </w:pPr>
      <w:rPr>
        <w:rFonts w:hint="default"/>
      </w:rPr>
    </w:lvl>
  </w:abstractNum>
  <w:abstractNum w:abstractNumId="30" w15:restartNumberingAfterBreak="0">
    <w:nsid w:val="6DEC38AF"/>
    <w:multiLevelType w:val="multilevel"/>
    <w:tmpl w:val="905ECD24"/>
    <w:lvl w:ilvl="0">
      <w:start w:val="1"/>
      <w:numFmt w:val="decimal"/>
      <w:pStyle w:val="Nadpisodstavce"/>
      <w:lvlText w:val="%1)"/>
      <w:lvlJc w:val="left"/>
      <w:pPr>
        <w:tabs>
          <w:tab w:val="num" w:pos="624"/>
        </w:tabs>
        <w:ind w:left="624" w:hanging="624"/>
      </w:pPr>
      <w:rPr>
        <w:rFonts w:hint="default"/>
        <w:color w:val="auto"/>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60"/>
        </w:tabs>
        <w:ind w:left="1260" w:hanging="108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620"/>
        </w:tabs>
        <w:ind w:left="1620" w:hanging="1440"/>
      </w:pPr>
      <w:rPr>
        <w:rFonts w:hint="default"/>
      </w:rPr>
    </w:lvl>
  </w:abstractNum>
  <w:abstractNum w:abstractNumId="31" w15:restartNumberingAfterBreak="0">
    <w:nsid w:val="7108187F"/>
    <w:multiLevelType w:val="singleLevel"/>
    <w:tmpl w:val="04090017"/>
    <w:lvl w:ilvl="0">
      <w:start w:val="1"/>
      <w:numFmt w:val="lowerLetter"/>
      <w:lvlText w:val="%1)"/>
      <w:lvlJc w:val="left"/>
      <w:pPr>
        <w:tabs>
          <w:tab w:val="num" w:pos="360"/>
        </w:tabs>
        <w:ind w:left="360" w:hanging="360"/>
      </w:pPr>
      <w:rPr>
        <w:rFonts w:hint="default"/>
      </w:rPr>
    </w:lvl>
  </w:abstractNum>
  <w:abstractNum w:abstractNumId="32" w15:restartNumberingAfterBreak="0">
    <w:nsid w:val="71226E8F"/>
    <w:multiLevelType w:val="multilevel"/>
    <w:tmpl w:val="3F96E2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B21427"/>
    <w:multiLevelType w:val="hybridMultilevel"/>
    <w:tmpl w:val="3DDC7D72"/>
    <w:lvl w:ilvl="0" w:tplc="5986CCE6">
      <w:start w:val="26"/>
      <w:numFmt w:val="bullet"/>
      <w:lvlText w:val="-"/>
      <w:lvlJc w:val="left"/>
      <w:pPr>
        <w:ind w:left="72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6B022A6"/>
    <w:multiLevelType w:val="singleLevel"/>
    <w:tmpl w:val="04090017"/>
    <w:lvl w:ilvl="0">
      <w:start w:val="1"/>
      <w:numFmt w:val="lowerLetter"/>
      <w:lvlText w:val="%1)"/>
      <w:lvlJc w:val="left"/>
      <w:pPr>
        <w:tabs>
          <w:tab w:val="num" w:pos="360"/>
        </w:tabs>
        <w:ind w:left="360" w:hanging="360"/>
      </w:pPr>
      <w:rPr>
        <w:rFonts w:hint="default"/>
      </w:rPr>
    </w:lvl>
  </w:abstractNum>
  <w:abstractNum w:abstractNumId="35" w15:restartNumberingAfterBreak="0">
    <w:nsid w:val="777E7684"/>
    <w:multiLevelType w:val="multilevel"/>
    <w:tmpl w:val="6830694E"/>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9FB67F7"/>
    <w:multiLevelType w:val="singleLevel"/>
    <w:tmpl w:val="04090017"/>
    <w:lvl w:ilvl="0">
      <w:start w:val="1"/>
      <w:numFmt w:val="lowerLetter"/>
      <w:lvlText w:val="%1)"/>
      <w:lvlJc w:val="left"/>
      <w:pPr>
        <w:tabs>
          <w:tab w:val="num" w:pos="360"/>
        </w:tabs>
        <w:ind w:left="360" w:hanging="360"/>
      </w:pPr>
      <w:rPr>
        <w:rFonts w:hint="default"/>
      </w:rPr>
    </w:lvl>
  </w:abstractNum>
  <w:abstractNum w:abstractNumId="37" w15:restartNumberingAfterBreak="0">
    <w:nsid w:val="7A0B451B"/>
    <w:multiLevelType w:val="hybridMultilevel"/>
    <w:tmpl w:val="AA388F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224E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B039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
  </w:num>
  <w:num w:numId="3">
    <w:abstractNumId w:val="26"/>
  </w:num>
  <w:num w:numId="4">
    <w:abstractNumId w:val="17"/>
  </w:num>
  <w:num w:numId="5">
    <w:abstractNumId w:val="30"/>
  </w:num>
  <w:num w:numId="6">
    <w:abstractNumId w:val="29"/>
  </w:num>
  <w:num w:numId="7">
    <w:abstractNumId w:val="4"/>
  </w:num>
  <w:num w:numId="8">
    <w:abstractNumId w:val="7"/>
  </w:num>
  <w:num w:numId="9">
    <w:abstractNumId w:val="15"/>
  </w:num>
  <w:num w:numId="10">
    <w:abstractNumId w:val="8"/>
  </w:num>
  <w:num w:numId="11">
    <w:abstractNumId w:val="25"/>
  </w:num>
  <w:num w:numId="12">
    <w:abstractNumId w:val="19"/>
  </w:num>
  <w:num w:numId="13">
    <w:abstractNumId w:val="31"/>
  </w:num>
  <w:num w:numId="14">
    <w:abstractNumId w:val="34"/>
  </w:num>
  <w:num w:numId="15">
    <w:abstractNumId w:val="27"/>
  </w:num>
  <w:num w:numId="16">
    <w:abstractNumId w:val="11"/>
  </w:num>
  <w:num w:numId="17">
    <w:abstractNumId w:val="36"/>
  </w:num>
  <w:num w:numId="18">
    <w:abstractNumId w:val="9"/>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10"/>
  </w:num>
  <w:num w:numId="23">
    <w:abstractNumId w:val="12"/>
  </w:num>
  <w:num w:numId="24">
    <w:abstractNumId w:val="6"/>
  </w:num>
  <w:num w:numId="25">
    <w:abstractNumId w:val="13"/>
  </w:num>
  <w:num w:numId="26">
    <w:abstractNumId w:val="23"/>
  </w:num>
  <w:num w:numId="27">
    <w:abstractNumId w:val="18"/>
  </w:num>
  <w:num w:numId="28">
    <w:abstractNumId w:val="3"/>
  </w:num>
  <w:num w:numId="29">
    <w:abstractNumId w:val="1"/>
  </w:num>
  <w:num w:numId="30">
    <w:abstractNumId w:val="24"/>
  </w:num>
  <w:num w:numId="31">
    <w:abstractNumId w:val="20"/>
  </w:num>
  <w:num w:numId="32">
    <w:abstractNumId w:val="37"/>
  </w:num>
  <w:num w:numId="33">
    <w:abstractNumId w:val="32"/>
  </w:num>
  <w:num w:numId="34">
    <w:abstractNumId w:val="35"/>
  </w:num>
  <w:num w:numId="35">
    <w:abstractNumId w:val="38"/>
  </w:num>
  <w:num w:numId="36">
    <w:abstractNumId w:val="39"/>
  </w:num>
  <w:num w:numId="37">
    <w:abstractNumId w:val="16"/>
  </w:num>
  <w:num w:numId="38">
    <w:abstractNumId w:val="28"/>
  </w:num>
  <w:num w:numId="39">
    <w:abstractNumId w:val="21"/>
  </w:num>
  <w:num w:numId="4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0F"/>
    <w:rsid w:val="0000409F"/>
    <w:rsid w:val="00005C55"/>
    <w:rsid w:val="00013160"/>
    <w:rsid w:val="00016F0F"/>
    <w:rsid w:val="00017FA9"/>
    <w:rsid w:val="00024012"/>
    <w:rsid w:val="0002789C"/>
    <w:rsid w:val="00044DF1"/>
    <w:rsid w:val="000506AB"/>
    <w:rsid w:val="000665F2"/>
    <w:rsid w:val="00071459"/>
    <w:rsid w:val="00090630"/>
    <w:rsid w:val="00094B70"/>
    <w:rsid w:val="000A0F67"/>
    <w:rsid w:val="000B0125"/>
    <w:rsid w:val="000C38CD"/>
    <w:rsid w:val="000D0300"/>
    <w:rsid w:val="000D4012"/>
    <w:rsid w:val="000D6989"/>
    <w:rsid w:val="000D7153"/>
    <w:rsid w:val="000D7D8C"/>
    <w:rsid w:val="000E2117"/>
    <w:rsid w:val="000E3909"/>
    <w:rsid w:val="000E4B7F"/>
    <w:rsid w:val="000F2F13"/>
    <w:rsid w:val="0011251C"/>
    <w:rsid w:val="001267C8"/>
    <w:rsid w:val="001323EF"/>
    <w:rsid w:val="001338CC"/>
    <w:rsid w:val="00133E2E"/>
    <w:rsid w:val="0013473E"/>
    <w:rsid w:val="00144462"/>
    <w:rsid w:val="001470FF"/>
    <w:rsid w:val="001527CA"/>
    <w:rsid w:val="00153CF2"/>
    <w:rsid w:val="0015456E"/>
    <w:rsid w:val="001579E9"/>
    <w:rsid w:val="00171C71"/>
    <w:rsid w:val="001819A2"/>
    <w:rsid w:val="00192F39"/>
    <w:rsid w:val="00197968"/>
    <w:rsid w:val="001A0CE8"/>
    <w:rsid w:val="001B6482"/>
    <w:rsid w:val="001C100C"/>
    <w:rsid w:val="001C4564"/>
    <w:rsid w:val="001C5573"/>
    <w:rsid w:val="001D2C45"/>
    <w:rsid w:val="001D5353"/>
    <w:rsid w:val="001E4254"/>
    <w:rsid w:val="001F52BA"/>
    <w:rsid w:val="00206348"/>
    <w:rsid w:val="00231323"/>
    <w:rsid w:val="002363EF"/>
    <w:rsid w:val="00244D53"/>
    <w:rsid w:val="00245EFF"/>
    <w:rsid w:val="00246EE2"/>
    <w:rsid w:val="002624BC"/>
    <w:rsid w:val="00263BD5"/>
    <w:rsid w:val="002657CE"/>
    <w:rsid w:val="00267948"/>
    <w:rsid w:val="002712D8"/>
    <w:rsid w:val="002806FB"/>
    <w:rsid w:val="00287B10"/>
    <w:rsid w:val="002A21DB"/>
    <w:rsid w:val="002A36D1"/>
    <w:rsid w:val="002A5ACF"/>
    <w:rsid w:val="002B34B3"/>
    <w:rsid w:val="002B41C1"/>
    <w:rsid w:val="002B6599"/>
    <w:rsid w:val="002D4490"/>
    <w:rsid w:val="002E0B89"/>
    <w:rsid w:val="002F1FE4"/>
    <w:rsid w:val="0030226E"/>
    <w:rsid w:val="00306C02"/>
    <w:rsid w:val="0031355C"/>
    <w:rsid w:val="00321E8D"/>
    <w:rsid w:val="00321FBB"/>
    <w:rsid w:val="00322F62"/>
    <w:rsid w:val="00326DBF"/>
    <w:rsid w:val="003337A3"/>
    <w:rsid w:val="00334B6E"/>
    <w:rsid w:val="00335568"/>
    <w:rsid w:val="003409DA"/>
    <w:rsid w:val="00347467"/>
    <w:rsid w:val="003575F9"/>
    <w:rsid w:val="0036768A"/>
    <w:rsid w:val="00367F95"/>
    <w:rsid w:val="00370A14"/>
    <w:rsid w:val="00394CC3"/>
    <w:rsid w:val="003960A8"/>
    <w:rsid w:val="00396B67"/>
    <w:rsid w:val="003A1870"/>
    <w:rsid w:val="003A60D6"/>
    <w:rsid w:val="003D5166"/>
    <w:rsid w:val="003E249D"/>
    <w:rsid w:val="003E680E"/>
    <w:rsid w:val="003F1948"/>
    <w:rsid w:val="003F552A"/>
    <w:rsid w:val="004009A0"/>
    <w:rsid w:val="00407D8A"/>
    <w:rsid w:val="0041163C"/>
    <w:rsid w:val="00415C2B"/>
    <w:rsid w:val="004276A2"/>
    <w:rsid w:val="0043438E"/>
    <w:rsid w:val="00435B05"/>
    <w:rsid w:val="00441B35"/>
    <w:rsid w:val="004453F3"/>
    <w:rsid w:val="00450E59"/>
    <w:rsid w:val="00451041"/>
    <w:rsid w:val="004519A4"/>
    <w:rsid w:val="004550E6"/>
    <w:rsid w:val="0045520F"/>
    <w:rsid w:val="00456EF7"/>
    <w:rsid w:val="00460BC4"/>
    <w:rsid w:val="00482AD0"/>
    <w:rsid w:val="0048589C"/>
    <w:rsid w:val="00486B0A"/>
    <w:rsid w:val="00486C19"/>
    <w:rsid w:val="004902C4"/>
    <w:rsid w:val="004933E6"/>
    <w:rsid w:val="0049717E"/>
    <w:rsid w:val="004A7F0E"/>
    <w:rsid w:val="004B0606"/>
    <w:rsid w:val="004C046A"/>
    <w:rsid w:val="004E1062"/>
    <w:rsid w:val="004E1A3F"/>
    <w:rsid w:val="004E2FEA"/>
    <w:rsid w:val="004E3F1E"/>
    <w:rsid w:val="004F35D0"/>
    <w:rsid w:val="004F44E2"/>
    <w:rsid w:val="004F4DCA"/>
    <w:rsid w:val="004F754D"/>
    <w:rsid w:val="005117CA"/>
    <w:rsid w:val="0052076E"/>
    <w:rsid w:val="00521061"/>
    <w:rsid w:val="005247B6"/>
    <w:rsid w:val="00530DE3"/>
    <w:rsid w:val="005366A3"/>
    <w:rsid w:val="00540A8D"/>
    <w:rsid w:val="00540B8E"/>
    <w:rsid w:val="00543284"/>
    <w:rsid w:val="00544465"/>
    <w:rsid w:val="00557EE8"/>
    <w:rsid w:val="00562576"/>
    <w:rsid w:val="00567D5D"/>
    <w:rsid w:val="00580F3B"/>
    <w:rsid w:val="00584744"/>
    <w:rsid w:val="00584A3A"/>
    <w:rsid w:val="00585B05"/>
    <w:rsid w:val="00591F57"/>
    <w:rsid w:val="005A152C"/>
    <w:rsid w:val="005A2A44"/>
    <w:rsid w:val="005B1999"/>
    <w:rsid w:val="005C3C7E"/>
    <w:rsid w:val="005C4210"/>
    <w:rsid w:val="005C4F7C"/>
    <w:rsid w:val="005D6D60"/>
    <w:rsid w:val="005E168D"/>
    <w:rsid w:val="005E4CB7"/>
    <w:rsid w:val="005F5C12"/>
    <w:rsid w:val="005F6415"/>
    <w:rsid w:val="00600261"/>
    <w:rsid w:val="006075B7"/>
    <w:rsid w:val="00612660"/>
    <w:rsid w:val="00623FAD"/>
    <w:rsid w:val="00633548"/>
    <w:rsid w:val="00651C7B"/>
    <w:rsid w:val="0065481D"/>
    <w:rsid w:val="00654AC4"/>
    <w:rsid w:val="0065599D"/>
    <w:rsid w:val="006623DC"/>
    <w:rsid w:val="00665344"/>
    <w:rsid w:val="00666095"/>
    <w:rsid w:val="0067235B"/>
    <w:rsid w:val="00680B3A"/>
    <w:rsid w:val="00682F98"/>
    <w:rsid w:val="006862BF"/>
    <w:rsid w:val="0069063B"/>
    <w:rsid w:val="006A0CB2"/>
    <w:rsid w:val="006A3F55"/>
    <w:rsid w:val="006A41AC"/>
    <w:rsid w:val="006A7178"/>
    <w:rsid w:val="006B077A"/>
    <w:rsid w:val="006C6823"/>
    <w:rsid w:val="006D065C"/>
    <w:rsid w:val="006D3F52"/>
    <w:rsid w:val="006D79BB"/>
    <w:rsid w:val="006E7E5B"/>
    <w:rsid w:val="006F15E9"/>
    <w:rsid w:val="006F620C"/>
    <w:rsid w:val="00700877"/>
    <w:rsid w:val="007010B7"/>
    <w:rsid w:val="0070748C"/>
    <w:rsid w:val="0071248C"/>
    <w:rsid w:val="00713A58"/>
    <w:rsid w:val="00713D68"/>
    <w:rsid w:val="00721B09"/>
    <w:rsid w:val="00723193"/>
    <w:rsid w:val="00724A4D"/>
    <w:rsid w:val="007303EA"/>
    <w:rsid w:val="00731EDE"/>
    <w:rsid w:val="007328EB"/>
    <w:rsid w:val="007372C4"/>
    <w:rsid w:val="007415C0"/>
    <w:rsid w:val="00752D35"/>
    <w:rsid w:val="007541D6"/>
    <w:rsid w:val="00756453"/>
    <w:rsid w:val="007573FC"/>
    <w:rsid w:val="00757627"/>
    <w:rsid w:val="007744B8"/>
    <w:rsid w:val="00776B36"/>
    <w:rsid w:val="00781851"/>
    <w:rsid w:val="007832BA"/>
    <w:rsid w:val="0079102F"/>
    <w:rsid w:val="00794656"/>
    <w:rsid w:val="00796B09"/>
    <w:rsid w:val="007A5CD3"/>
    <w:rsid w:val="007A6ECE"/>
    <w:rsid w:val="007B0046"/>
    <w:rsid w:val="007B7432"/>
    <w:rsid w:val="007B794E"/>
    <w:rsid w:val="007C2AE4"/>
    <w:rsid w:val="007C411E"/>
    <w:rsid w:val="007D174B"/>
    <w:rsid w:val="007D511C"/>
    <w:rsid w:val="007F1E31"/>
    <w:rsid w:val="007F6EFF"/>
    <w:rsid w:val="0080734B"/>
    <w:rsid w:val="00810362"/>
    <w:rsid w:val="0081101E"/>
    <w:rsid w:val="0082242D"/>
    <w:rsid w:val="00824BB9"/>
    <w:rsid w:val="00830E0D"/>
    <w:rsid w:val="008312AC"/>
    <w:rsid w:val="00831E85"/>
    <w:rsid w:val="00840847"/>
    <w:rsid w:val="008531EF"/>
    <w:rsid w:val="008545E4"/>
    <w:rsid w:val="00854F75"/>
    <w:rsid w:val="00871DF8"/>
    <w:rsid w:val="00892EBA"/>
    <w:rsid w:val="00897165"/>
    <w:rsid w:val="008A190B"/>
    <w:rsid w:val="008A6184"/>
    <w:rsid w:val="008A7C3A"/>
    <w:rsid w:val="008B35DF"/>
    <w:rsid w:val="008B3848"/>
    <w:rsid w:val="008B7103"/>
    <w:rsid w:val="008B7401"/>
    <w:rsid w:val="008B7C64"/>
    <w:rsid w:val="008C0E30"/>
    <w:rsid w:val="008C396A"/>
    <w:rsid w:val="008D16CD"/>
    <w:rsid w:val="008D1F9C"/>
    <w:rsid w:val="008D236B"/>
    <w:rsid w:val="008D4655"/>
    <w:rsid w:val="008E2F44"/>
    <w:rsid w:val="008F45ED"/>
    <w:rsid w:val="008F6766"/>
    <w:rsid w:val="009068A2"/>
    <w:rsid w:val="0091506B"/>
    <w:rsid w:val="00916238"/>
    <w:rsid w:val="009274D4"/>
    <w:rsid w:val="00931B37"/>
    <w:rsid w:val="00932B8E"/>
    <w:rsid w:val="00934BEE"/>
    <w:rsid w:val="00942AA7"/>
    <w:rsid w:val="009464CE"/>
    <w:rsid w:val="00953CF7"/>
    <w:rsid w:val="009571EB"/>
    <w:rsid w:val="00957F20"/>
    <w:rsid w:val="00961CB3"/>
    <w:rsid w:val="00963CFA"/>
    <w:rsid w:val="00985318"/>
    <w:rsid w:val="00990BBE"/>
    <w:rsid w:val="0099745F"/>
    <w:rsid w:val="00997A59"/>
    <w:rsid w:val="009A1C15"/>
    <w:rsid w:val="009A3866"/>
    <w:rsid w:val="009A4481"/>
    <w:rsid w:val="009B4A7F"/>
    <w:rsid w:val="009B5BB3"/>
    <w:rsid w:val="009B7B15"/>
    <w:rsid w:val="009C0BFF"/>
    <w:rsid w:val="009C1293"/>
    <w:rsid w:val="009D05F0"/>
    <w:rsid w:val="009D357D"/>
    <w:rsid w:val="009D3700"/>
    <w:rsid w:val="009E6676"/>
    <w:rsid w:val="009F1DF8"/>
    <w:rsid w:val="009F699B"/>
    <w:rsid w:val="00A03C8A"/>
    <w:rsid w:val="00A05749"/>
    <w:rsid w:val="00A05EF6"/>
    <w:rsid w:val="00A06D62"/>
    <w:rsid w:val="00A22E62"/>
    <w:rsid w:val="00A27E1B"/>
    <w:rsid w:val="00A36B1D"/>
    <w:rsid w:val="00A41648"/>
    <w:rsid w:val="00A527B9"/>
    <w:rsid w:val="00A5616B"/>
    <w:rsid w:val="00A600BB"/>
    <w:rsid w:val="00A75E25"/>
    <w:rsid w:val="00A90149"/>
    <w:rsid w:val="00A90AA4"/>
    <w:rsid w:val="00AA3B57"/>
    <w:rsid w:val="00AA6268"/>
    <w:rsid w:val="00AB24A5"/>
    <w:rsid w:val="00AD6007"/>
    <w:rsid w:val="00AE178A"/>
    <w:rsid w:val="00AE649F"/>
    <w:rsid w:val="00AE76C4"/>
    <w:rsid w:val="00AF218F"/>
    <w:rsid w:val="00B03A7C"/>
    <w:rsid w:val="00B15B66"/>
    <w:rsid w:val="00B25E11"/>
    <w:rsid w:val="00B26373"/>
    <w:rsid w:val="00B41234"/>
    <w:rsid w:val="00B43BB7"/>
    <w:rsid w:val="00B44167"/>
    <w:rsid w:val="00B468F8"/>
    <w:rsid w:val="00B6042B"/>
    <w:rsid w:val="00B623BB"/>
    <w:rsid w:val="00B65FF9"/>
    <w:rsid w:val="00B66B24"/>
    <w:rsid w:val="00B741F0"/>
    <w:rsid w:val="00B7753B"/>
    <w:rsid w:val="00B85C69"/>
    <w:rsid w:val="00B8750D"/>
    <w:rsid w:val="00B92E51"/>
    <w:rsid w:val="00B95C80"/>
    <w:rsid w:val="00BA344D"/>
    <w:rsid w:val="00BA4ABD"/>
    <w:rsid w:val="00BA63E9"/>
    <w:rsid w:val="00BB0DDB"/>
    <w:rsid w:val="00BC2955"/>
    <w:rsid w:val="00BC62B1"/>
    <w:rsid w:val="00BC6AB6"/>
    <w:rsid w:val="00BD61AB"/>
    <w:rsid w:val="00BD61F0"/>
    <w:rsid w:val="00BE050A"/>
    <w:rsid w:val="00BE0BA9"/>
    <w:rsid w:val="00BE2861"/>
    <w:rsid w:val="00BE70C3"/>
    <w:rsid w:val="00C07A29"/>
    <w:rsid w:val="00C17033"/>
    <w:rsid w:val="00C20049"/>
    <w:rsid w:val="00C23FB7"/>
    <w:rsid w:val="00C254A1"/>
    <w:rsid w:val="00C3083D"/>
    <w:rsid w:val="00C30C69"/>
    <w:rsid w:val="00C33910"/>
    <w:rsid w:val="00C37F8F"/>
    <w:rsid w:val="00C41010"/>
    <w:rsid w:val="00C42234"/>
    <w:rsid w:val="00C45052"/>
    <w:rsid w:val="00C47B0D"/>
    <w:rsid w:val="00C539D0"/>
    <w:rsid w:val="00C66AC0"/>
    <w:rsid w:val="00C67CB5"/>
    <w:rsid w:val="00C73BD3"/>
    <w:rsid w:val="00C80663"/>
    <w:rsid w:val="00C80BDC"/>
    <w:rsid w:val="00C815FE"/>
    <w:rsid w:val="00C872BF"/>
    <w:rsid w:val="00C904B3"/>
    <w:rsid w:val="00C909C0"/>
    <w:rsid w:val="00C92154"/>
    <w:rsid w:val="00C946E4"/>
    <w:rsid w:val="00C95683"/>
    <w:rsid w:val="00C97C1B"/>
    <w:rsid w:val="00C97CB4"/>
    <w:rsid w:val="00CA107F"/>
    <w:rsid w:val="00CA5DF2"/>
    <w:rsid w:val="00CB2BE2"/>
    <w:rsid w:val="00CB5312"/>
    <w:rsid w:val="00CB712E"/>
    <w:rsid w:val="00CE38EE"/>
    <w:rsid w:val="00CE4A70"/>
    <w:rsid w:val="00CF2D33"/>
    <w:rsid w:val="00CF34B6"/>
    <w:rsid w:val="00CF452A"/>
    <w:rsid w:val="00D036D0"/>
    <w:rsid w:val="00D043EA"/>
    <w:rsid w:val="00D05728"/>
    <w:rsid w:val="00D05738"/>
    <w:rsid w:val="00D06FFE"/>
    <w:rsid w:val="00D157AF"/>
    <w:rsid w:val="00D177D8"/>
    <w:rsid w:val="00D259AB"/>
    <w:rsid w:val="00D300F4"/>
    <w:rsid w:val="00D34A57"/>
    <w:rsid w:val="00D411A4"/>
    <w:rsid w:val="00D418B3"/>
    <w:rsid w:val="00D41DEC"/>
    <w:rsid w:val="00D5669D"/>
    <w:rsid w:val="00D60156"/>
    <w:rsid w:val="00D60F39"/>
    <w:rsid w:val="00D648B1"/>
    <w:rsid w:val="00D64A26"/>
    <w:rsid w:val="00D7004E"/>
    <w:rsid w:val="00D71BD3"/>
    <w:rsid w:val="00D7269C"/>
    <w:rsid w:val="00D72864"/>
    <w:rsid w:val="00D73130"/>
    <w:rsid w:val="00D77846"/>
    <w:rsid w:val="00D816BB"/>
    <w:rsid w:val="00D83954"/>
    <w:rsid w:val="00D839BE"/>
    <w:rsid w:val="00D85C0D"/>
    <w:rsid w:val="00D865BA"/>
    <w:rsid w:val="00D95D35"/>
    <w:rsid w:val="00D96364"/>
    <w:rsid w:val="00D97BAD"/>
    <w:rsid w:val="00DA070F"/>
    <w:rsid w:val="00DB286C"/>
    <w:rsid w:val="00DB4B6C"/>
    <w:rsid w:val="00DB7805"/>
    <w:rsid w:val="00DC0C94"/>
    <w:rsid w:val="00DC288F"/>
    <w:rsid w:val="00DC7F52"/>
    <w:rsid w:val="00DD1A21"/>
    <w:rsid w:val="00DD1A85"/>
    <w:rsid w:val="00DD686C"/>
    <w:rsid w:val="00DD7316"/>
    <w:rsid w:val="00DE2FEF"/>
    <w:rsid w:val="00DE6DC0"/>
    <w:rsid w:val="00DF463E"/>
    <w:rsid w:val="00E04C13"/>
    <w:rsid w:val="00E1214F"/>
    <w:rsid w:val="00E12B9B"/>
    <w:rsid w:val="00E14029"/>
    <w:rsid w:val="00E215D8"/>
    <w:rsid w:val="00E31C3C"/>
    <w:rsid w:val="00E33D15"/>
    <w:rsid w:val="00E3414B"/>
    <w:rsid w:val="00E363A5"/>
    <w:rsid w:val="00E374F7"/>
    <w:rsid w:val="00E41089"/>
    <w:rsid w:val="00E41258"/>
    <w:rsid w:val="00E429C8"/>
    <w:rsid w:val="00E429F8"/>
    <w:rsid w:val="00E5198A"/>
    <w:rsid w:val="00E535F3"/>
    <w:rsid w:val="00E53DBE"/>
    <w:rsid w:val="00E55066"/>
    <w:rsid w:val="00E60095"/>
    <w:rsid w:val="00E61E49"/>
    <w:rsid w:val="00E648AC"/>
    <w:rsid w:val="00E67946"/>
    <w:rsid w:val="00E812D3"/>
    <w:rsid w:val="00E87122"/>
    <w:rsid w:val="00E911B4"/>
    <w:rsid w:val="00E93C97"/>
    <w:rsid w:val="00EA26A7"/>
    <w:rsid w:val="00EA595F"/>
    <w:rsid w:val="00EA6704"/>
    <w:rsid w:val="00EA6DDE"/>
    <w:rsid w:val="00EA7F29"/>
    <w:rsid w:val="00EB0BD4"/>
    <w:rsid w:val="00EB1E39"/>
    <w:rsid w:val="00EB3E3A"/>
    <w:rsid w:val="00EC46C8"/>
    <w:rsid w:val="00ED1BC3"/>
    <w:rsid w:val="00EE18FA"/>
    <w:rsid w:val="00EF566B"/>
    <w:rsid w:val="00EF6E54"/>
    <w:rsid w:val="00EF7020"/>
    <w:rsid w:val="00F01301"/>
    <w:rsid w:val="00F05487"/>
    <w:rsid w:val="00F05E01"/>
    <w:rsid w:val="00F06FD0"/>
    <w:rsid w:val="00F14C5A"/>
    <w:rsid w:val="00F160E6"/>
    <w:rsid w:val="00F21D44"/>
    <w:rsid w:val="00F3209F"/>
    <w:rsid w:val="00F42D6C"/>
    <w:rsid w:val="00F438B9"/>
    <w:rsid w:val="00F551F7"/>
    <w:rsid w:val="00F71417"/>
    <w:rsid w:val="00F74FB6"/>
    <w:rsid w:val="00F761C0"/>
    <w:rsid w:val="00F87F40"/>
    <w:rsid w:val="00FA47B2"/>
    <w:rsid w:val="00FB6BE6"/>
    <w:rsid w:val="00FC10DF"/>
    <w:rsid w:val="00FC410F"/>
    <w:rsid w:val="00FD3427"/>
    <w:rsid w:val="00FD451C"/>
    <w:rsid w:val="00FD72A3"/>
    <w:rsid w:val="00FE6BCA"/>
    <w:rsid w:val="00FE789A"/>
    <w:rsid w:val="00FF6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67A98"/>
  <w15:docId w15:val="{4F32398F-C97F-4968-8B11-21DB6DC8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hAnsi="Arial"/>
    </w:rPr>
  </w:style>
  <w:style w:type="paragraph" w:styleId="Nadpis1">
    <w:name w:val="heading 1"/>
    <w:basedOn w:val="Normln"/>
    <w:next w:val="Normln"/>
    <w:qFormat/>
    <w:pPr>
      <w:keepNext/>
      <w:spacing w:after="240"/>
      <w:jc w:val="center"/>
      <w:outlineLvl w:val="0"/>
    </w:pPr>
    <w:rPr>
      <w:b/>
      <w:color w:val="000080"/>
      <w:sz w:val="32"/>
    </w:rPr>
  </w:style>
  <w:style w:type="paragraph" w:styleId="Nadpis2">
    <w:name w:val="heading 2"/>
    <w:aliases w:val="Nadpis 2 Char Char"/>
    <w:basedOn w:val="Normln"/>
    <w:next w:val="Normln"/>
    <w:link w:val="Nadpis2Char"/>
    <w:qFormat/>
    <w:pPr>
      <w:keepNext/>
      <w:keepLines/>
      <w:spacing w:before="120" w:after="120"/>
      <w:jc w:val="center"/>
      <w:outlineLvl w:val="1"/>
    </w:pPr>
    <w:rPr>
      <w:b/>
      <w:caps/>
      <w:color w:val="000080"/>
      <w:sz w:val="24"/>
    </w:rPr>
  </w:style>
  <w:style w:type="paragraph" w:styleId="Nadpis3">
    <w:name w:val="heading 3"/>
    <w:basedOn w:val="Normln"/>
    <w:next w:val="Normln"/>
    <w:qFormat/>
    <w:pPr>
      <w:keepNext/>
      <w:tabs>
        <w:tab w:val="left" w:pos="4536"/>
      </w:tabs>
      <w:ind w:right="-114"/>
      <w:jc w:val="center"/>
      <w:outlineLvl w:val="2"/>
    </w:pPr>
    <w:rPr>
      <w:b/>
      <w:color w:val="000080"/>
      <w:sz w:val="24"/>
    </w:rPr>
  </w:style>
  <w:style w:type="paragraph" w:styleId="Nadpis4">
    <w:name w:val="heading 4"/>
    <w:basedOn w:val="Normln"/>
    <w:next w:val="Normln"/>
    <w:qFormat/>
    <w:pPr>
      <w:keepNext/>
      <w:ind w:right="-114"/>
      <w:jc w:val="center"/>
      <w:outlineLvl w:val="3"/>
    </w:pPr>
    <w:rPr>
      <w:b/>
      <w:color w:val="000080"/>
      <w:sz w:val="22"/>
    </w:rPr>
  </w:style>
  <w:style w:type="paragraph" w:styleId="Nadpis5">
    <w:name w:val="heading 5"/>
    <w:basedOn w:val="Normln"/>
    <w:next w:val="Normln"/>
    <w:link w:val="Nadpis5Char"/>
    <w:qFormat/>
    <w:pPr>
      <w:keepNext/>
      <w:spacing w:before="20" w:after="20"/>
      <w:outlineLvl w:val="4"/>
    </w:pPr>
    <w:rPr>
      <w:b/>
      <w:lang w:val="x-none" w:eastAsia="x-none"/>
    </w:rPr>
  </w:style>
  <w:style w:type="paragraph" w:styleId="Nadpis6">
    <w:name w:val="heading 6"/>
    <w:basedOn w:val="Normln"/>
    <w:next w:val="Normln"/>
    <w:qFormat/>
    <w:pPr>
      <w:keepNext/>
      <w:ind w:left="709" w:hanging="720"/>
      <w:jc w:val="center"/>
      <w:outlineLvl w:val="5"/>
    </w:pPr>
    <w:rPr>
      <w:b/>
    </w:rPr>
  </w:style>
  <w:style w:type="paragraph" w:styleId="Nadpis7">
    <w:name w:val="heading 7"/>
    <w:basedOn w:val="Normln"/>
    <w:next w:val="Normln"/>
    <w:qFormat/>
    <w:pPr>
      <w:keepNext/>
      <w:tabs>
        <w:tab w:val="left" w:pos="851"/>
      </w:tabs>
      <w:spacing w:before="40" w:after="40"/>
      <w:ind w:right="-115"/>
      <w:outlineLvl w:val="6"/>
    </w:pPr>
    <w:rPr>
      <w:b/>
      <w:snapToGrid w:val="0"/>
      <w:color w:val="000000"/>
      <w:lang w:eastAsia="en-US"/>
    </w:rPr>
  </w:style>
  <w:style w:type="paragraph" w:styleId="Nadpis8">
    <w:name w:val="heading 8"/>
    <w:basedOn w:val="Normln"/>
    <w:next w:val="Normln"/>
    <w:qFormat/>
    <w:pPr>
      <w:keepNext/>
      <w:ind w:left="2835" w:right="-114" w:hanging="2835"/>
      <w:jc w:val="center"/>
      <w:outlineLvl w:val="7"/>
    </w:pPr>
    <w:rPr>
      <w:b/>
      <w:color w:val="000080"/>
      <w:sz w:val="24"/>
    </w:rPr>
  </w:style>
  <w:style w:type="paragraph" w:styleId="Nadpis9">
    <w:name w:val="heading 9"/>
    <w:basedOn w:val="Normln"/>
    <w:next w:val="Normln"/>
    <w:qFormat/>
    <w:pPr>
      <w:keepNext/>
      <w:ind w:right="-114"/>
      <w:jc w:val="center"/>
      <w:outlineLvl w:val="8"/>
    </w:pPr>
    <w:rPr>
      <w:b/>
      <w:color w:val="00008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sz w:val="16"/>
      <w:lang w:val="x-none" w:eastAsia="x-none"/>
    </w:rPr>
  </w:style>
  <w:style w:type="paragraph" w:styleId="Zpat">
    <w:name w:val="footer"/>
    <w:basedOn w:val="Normln"/>
    <w:link w:val="ZpatChar"/>
    <w:pPr>
      <w:tabs>
        <w:tab w:val="center" w:pos="4536"/>
        <w:tab w:val="right" w:pos="9072"/>
      </w:tabs>
    </w:pPr>
    <w:rPr>
      <w:sz w:val="16"/>
      <w:lang w:val="x-none" w:eastAsia="x-none"/>
    </w:rPr>
  </w:style>
  <w:style w:type="character" w:styleId="slostrnky">
    <w:name w:val="page number"/>
    <w:basedOn w:val="Standardnpsmoodstavce"/>
  </w:style>
  <w:style w:type="paragraph" w:styleId="Zkladntext">
    <w:name w:val="Body Text"/>
    <w:basedOn w:val="Normln"/>
    <w:link w:val="ZkladntextChar"/>
    <w:pPr>
      <w:spacing w:before="60" w:after="60"/>
    </w:pPr>
    <w:rPr>
      <w:lang w:val="x-none" w:eastAsia="x-none"/>
    </w:rPr>
  </w:style>
  <w:style w:type="paragraph" w:customStyle="1" w:styleId="normalsmall">
    <w:name w:val="normal small"/>
    <w:basedOn w:val="Normln"/>
    <w:rPr>
      <w:sz w:val="16"/>
    </w:rPr>
  </w:style>
  <w:style w:type="paragraph" w:styleId="Zkladntext2">
    <w:name w:val="Body Text 2"/>
    <w:basedOn w:val="Normln"/>
    <w:rPr>
      <w:sz w:val="16"/>
    </w:rPr>
  </w:style>
  <w:style w:type="paragraph" w:styleId="Zkladntextodsazen3">
    <w:name w:val="Body Text Indent 3"/>
    <w:basedOn w:val="Normln"/>
    <w:pPr>
      <w:widowControl w:val="0"/>
      <w:tabs>
        <w:tab w:val="left" w:pos="-260"/>
      </w:tabs>
      <w:spacing w:after="37"/>
      <w:ind w:firstLine="8"/>
      <w:outlineLvl w:val="0"/>
    </w:pPr>
    <w:rPr>
      <w:rFonts w:ascii="Times New Roman" w:hAnsi="Times New Roman"/>
      <w:snapToGrid w:val="0"/>
      <w:sz w:val="22"/>
    </w:rPr>
  </w:style>
  <w:style w:type="paragraph" w:styleId="Zkladntextodsazen">
    <w:name w:val="Body Text Indent"/>
    <w:basedOn w:val="Normln"/>
    <w:pPr>
      <w:spacing w:line="240" w:lineRule="atLeast"/>
      <w:ind w:left="567"/>
    </w:pPr>
  </w:style>
  <w:style w:type="paragraph" w:styleId="Zkladntext3">
    <w:name w:val="Body Text 3"/>
    <w:basedOn w:val="Normln"/>
    <w:rPr>
      <w:rFonts w:ascii="Times New Roman" w:hAnsi="Times New Roman"/>
      <w:lang w:val="en-GB"/>
    </w:rPr>
  </w:style>
  <w:style w:type="character" w:styleId="Siln">
    <w:name w:val="Strong"/>
    <w:qFormat/>
    <w:rPr>
      <w:b/>
    </w:rPr>
  </w:style>
  <w:style w:type="paragraph" w:customStyle="1" w:styleId="Headlevel3">
    <w:name w:val="Headlevel3"/>
    <w:basedOn w:val="Normln"/>
    <w:pPr>
      <w:keepNext/>
      <w:tabs>
        <w:tab w:val="left" w:pos="567"/>
        <w:tab w:val="left" w:pos="1021"/>
        <w:tab w:val="left" w:pos="1474"/>
        <w:tab w:val="left" w:pos="1928"/>
        <w:tab w:val="left" w:pos="2381"/>
      </w:tabs>
      <w:spacing w:before="240"/>
    </w:pPr>
    <w:rPr>
      <w:rFonts w:ascii="Optima" w:hAnsi="Optima"/>
      <w:b/>
      <w:i/>
      <w:sz w:val="22"/>
      <w:lang w:val="en-GB"/>
    </w:rPr>
  </w:style>
  <w:style w:type="paragraph" w:customStyle="1" w:styleId="Definicemale">
    <w:name w:val="Definice male"/>
    <w:basedOn w:val="Normln"/>
    <w:pPr>
      <w:tabs>
        <w:tab w:val="left" w:pos="567"/>
        <w:tab w:val="left" w:pos="1021"/>
        <w:tab w:val="left" w:pos="1474"/>
        <w:tab w:val="left" w:pos="1928"/>
        <w:tab w:val="left" w:pos="2381"/>
      </w:tabs>
      <w:spacing w:line="180" w:lineRule="exact"/>
    </w:pPr>
    <w:rPr>
      <w:sz w:val="16"/>
      <w:lang w:val="en-GB"/>
    </w:rPr>
  </w:style>
  <w:style w:type="character" w:customStyle="1" w:styleId="Nadpis4Char1">
    <w:name w:val="Nadpis 4 Char1"/>
    <w:rPr>
      <w:rFonts w:ascii="Arial" w:hAnsi="Arial"/>
      <w:noProof w:val="0"/>
      <w:lang w:val="cs-CZ" w:eastAsia="cs-CZ" w:bidi="ar-SA"/>
    </w:rPr>
  </w:style>
  <w:style w:type="character" w:styleId="Odkaznakoment">
    <w:name w:val="annotation reference"/>
    <w:semiHidden/>
    <w:rPr>
      <w:sz w:val="16"/>
      <w:szCs w:val="16"/>
    </w:rPr>
  </w:style>
  <w:style w:type="paragraph" w:styleId="Textkomente">
    <w:name w:val="annotation text"/>
    <w:basedOn w:val="Normln"/>
    <w:semiHidden/>
  </w:style>
  <w:style w:type="paragraph" w:customStyle="1" w:styleId="Pedmtkomente1">
    <w:name w:val="Předmět komentáře1"/>
    <w:basedOn w:val="Textkomente"/>
    <w:next w:val="Textkomente"/>
    <w:semiHidden/>
    <w:rPr>
      <w:b/>
      <w:bCs/>
    </w:rPr>
  </w:style>
  <w:style w:type="paragraph" w:customStyle="1" w:styleId="Textbubliny1">
    <w:name w:val="Text bubliny1"/>
    <w:basedOn w:val="Normln"/>
    <w:semiHidden/>
    <w:rPr>
      <w:rFonts w:ascii="Tahoma" w:hAnsi="Tahoma" w:cs="Tahoma"/>
      <w:sz w:val="16"/>
      <w:szCs w:val="16"/>
    </w:rPr>
  </w:style>
  <w:style w:type="character" w:customStyle="1" w:styleId="Nadpis4Char">
    <w:name w:val="Nadpis 4 Char"/>
    <w:rPr>
      <w:rFonts w:ascii="Arial" w:hAnsi="Arial"/>
      <w:noProof w:val="0"/>
      <w:lang w:val="cs-CZ" w:eastAsia="cs-CZ" w:bidi="ar-SA"/>
    </w:rPr>
  </w:style>
  <w:style w:type="paragraph" w:styleId="Textpoznpodarou">
    <w:name w:val="footnote text"/>
    <w:basedOn w:val="Normln"/>
    <w:semiHidden/>
  </w:style>
  <w:style w:type="character" w:styleId="Znakapoznpodarou">
    <w:name w:val="footnote reference"/>
    <w:semiHidden/>
    <w:rPr>
      <w:vertAlign w:val="superscript"/>
    </w:rPr>
  </w:style>
  <w:style w:type="character" w:customStyle="1" w:styleId="Eva">
    <w:name w:val="Eva"/>
    <w:semiHidden/>
    <w:rPr>
      <w:rFonts w:ascii="Arial" w:hAnsi="Arial" w:cs="Arial"/>
      <w:color w:val="auto"/>
      <w:sz w:val="20"/>
      <w:szCs w:val="20"/>
    </w:rPr>
  </w:style>
  <w:style w:type="paragraph" w:styleId="Textvysvtlivek">
    <w:name w:val="endnote text"/>
    <w:basedOn w:val="Normln"/>
    <w:semiHidden/>
  </w:style>
  <w:style w:type="character" w:styleId="Odkaznavysvtlivky">
    <w:name w:val="endnote reference"/>
    <w:semiHidden/>
    <w:rPr>
      <w:vertAlign w:val="superscript"/>
    </w:rPr>
  </w:style>
  <w:style w:type="paragraph" w:customStyle="1" w:styleId="Definice">
    <w:name w:val="Definice"/>
    <w:basedOn w:val="Normln"/>
    <w:pPr>
      <w:spacing w:before="120" w:after="120"/>
    </w:pPr>
  </w:style>
  <w:style w:type="paragraph" w:styleId="Nzev">
    <w:name w:val="Title"/>
    <w:basedOn w:val="Normln"/>
    <w:qFormat/>
    <w:pPr>
      <w:widowControl w:val="0"/>
      <w:jc w:val="center"/>
    </w:pPr>
    <w:rPr>
      <w:b/>
      <w:caps/>
      <w:kern w:val="28"/>
    </w:rPr>
  </w:style>
  <w:style w:type="paragraph" w:customStyle="1" w:styleId="Nadpisodstavce">
    <w:name w:val="Nadpis odstavce"/>
    <w:basedOn w:val="Normln"/>
    <w:pPr>
      <w:keepNext/>
      <w:numPr>
        <w:numId w:val="5"/>
      </w:numPr>
      <w:tabs>
        <w:tab w:val="left" w:pos="567"/>
        <w:tab w:val="left" w:pos="1021"/>
        <w:tab w:val="left" w:pos="1474"/>
        <w:tab w:val="left" w:pos="1928"/>
        <w:tab w:val="left" w:pos="2381"/>
      </w:tabs>
      <w:spacing w:before="240"/>
      <w:jc w:val="left"/>
    </w:pPr>
    <w:rPr>
      <w:lang w:val="en-GB"/>
    </w:rPr>
  </w:style>
  <w:style w:type="paragraph" w:styleId="Prosttext">
    <w:name w:val="Plain Text"/>
    <w:basedOn w:val="Normln"/>
    <w:rsid w:val="00871DF8"/>
    <w:pPr>
      <w:jc w:val="left"/>
    </w:pPr>
    <w:rPr>
      <w:rFonts w:ascii="Courier New" w:eastAsia="MS Mincho" w:hAnsi="Courier New" w:cs="Courier New"/>
      <w:lang w:eastAsia="ja-JP"/>
    </w:rPr>
  </w:style>
  <w:style w:type="character" w:customStyle="1" w:styleId="platne1">
    <w:name w:val="platne1"/>
    <w:basedOn w:val="Standardnpsmoodstavce"/>
    <w:rsid w:val="002F1FE4"/>
  </w:style>
  <w:style w:type="character" w:customStyle="1" w:styleId="autor">
    <w:name w:val="autor"/>
    <w:basedOn w:val="Standardnpsmoodstavce"/>
    <w:rsid w:val="00BB0DDB"/>
  </w:style>
  <w:style w:type="character" w:customStyle="1" w:styleId="platne">
    <w:name w:val="platne"/>
    <w:basedOn w:val="Standardnpsmoodstavce"/>
    <w:rsid w:val="004453F3"/>
  </w:style>
  <w:style w:type="character" w:styleId="Hypertextovodkaz">
    <w:name w:val="Hyperlink"/>
    <w:uiPriority w:val="99"/>
    <w:unhideWhenUsed/>
    <w:rsid w:val="00450E59"/>
    <w:rPr>
      <w:color w:val="0000FF"/>
      <w:u w:val="single"/>
    </w:rPr>
  </w:style>
  <w:style w:type="character" w:customStyle="1" w:styleId="ZpatChar">
    <w:name w:val="Zápatí Char"/>
    <w:link w:val="Zpat"/>
    <w:rsid w:val="00450E59"/>
    <w:rPr>
      <w:rFonts w:ascii="Arial" w:hAnsi="Arial"/>
      <w:sz w:val="16"/>
    </w:rPr>
  </w:style>
  <w:style w:type="paragraph" w:customStyle="1" w:styleId="Nadpis">
    <w:name w:val="Nadpis"/>
    <w:basedOn w:val="Normln"/>
    <w:rsid w:val="00450E59"/>
    <w:rPr>
      <w:rFonts w:ascii="CG Times" w:hAnsi="CG Times" w:cs="CG Times"/>
      <w:sz w:val="24"/>
      <w:szCs w:val="24"/>
      <w:lang w:val="en-GB"/>
    </w:rPr>
  </w:style>
  <w:style w:type="paragraph" w:styleId="Odstavecseseznamem">
    <w:name w:val="List Paragraph"/>
    <w:basedOn w:val="Normln"/>
    <w:uiPriority w:val="34"/>
    <w:qFormat/>
    <w:rsid w:val="007832BA"/>
    <w:pPr>
      <w:ind w:left="708"/>
    </w:pPr>
  </w:style>
  <w:style w:type="character" w:customStyle="1" w:styleId="Nadpis5Char">
    <w:name w:val="Nadpis 5 Char"/>
    <w:link w:val="Nadpis5"/>
    <w:rsid w:val="00F42D6C"/>
    <w:rPr>
      <w:rFonts w:ascii="Arial" w:hAnsi="Arial"/>
      <w:b/>
    </w:rPr>
  </w:style>
  <w:style w:type="paragraph" w:styleId="Textbubliny">
    <w:name w:val="Balloon Text"/>
    <w:basedOn w:val="Normln"/>
    <w:link w:val="TextbublinyChar"/>
    <w:rsid w:val="00FA47B2"/>
    <w:rPr>
      <w:rFonts w:ascii="Tahoma" w:hAnsi="Tahoma"/>
      <w:sz w:val="16"/>
      <w:szCs w:val="16"/>
      <w:lang w:val="x-none" w:eastAsia="x-none"/>
    </w:rPr>
  </w:style>
  <w:style w:type="character" w:customStyle="1" w:styleId="TextbublinyChar">
    <w:name w:val="Text bubliny Char"/>
    <w:link w:val="Textbubliny"/>
    <w:rsid w:val="00FA47B2"/>
    <w:rPr>
      <w:rFonts w:ascii="Tahoma" w:hAnsi="Tahoma" w:cs="Tahoma"/>
      <w:sz w:val="16"/>
      <w:szCs w:val="16"/>
    </w:rPr>
  </w:style>
  <w:style w:type="character" w:customStyle="1" w:styleId="ZkladntextChar">
    <w:name w:val="Základní text Char"/>
    <w:link w:val="Zkladntext"/>
    <w:rsid w:val="00A03C8A"/>
    <w:rPr>
      <w:rFonts w:ascii="Arial" w:hAnsi="Arial"/>
    </w:rPr>
  </w:style>
  <w:style w:type="paragraph" w:styleId="Revize">
    <w:name w:val="Revision"/>
    <w:hidden/>
    <w:uiPriority w:val="99"/>
    <w:semiHidden/>
    <w:rsid w:val="00322F62"/>
    <w:rPr>
      <w:rFonts w:ascii="Arial" w:hAnsi="Arial"/>
    </w:rPr>
  </w:style>
  <w:style w:type="paragraph" w:customStyle="1" w:styleId="Default">
    <w:name w:val="Default"/>
    <w:rsid w:val="000D4012"/>
    <w:pPr>
      <w:autoSpaceDE w:val="0"/>
      <w:autoSpaceDN w:val="0"/>
      <w:adjustRightInd w:val="0"/>
    </w:pPr>
    <w:rPr>
      <w:rFonts w:ascii="Arial" w:hAnsi="Arial" w:cs="Arial"/>
      <w:color w:val="000000"/>
      <w:sz w:val="24"/>
      <w:szCs w:val="24"/>
    </w:rPr>
  </w:style>
  <w:style w:type="character" w:customStyle="1" w:styleId="ZhlavChar">
    <w:name w:val="Záhlaví Char"/>
    <w:link w:val="Zhlav"/>
    <w:rsid w:val="008A7C3A"/>
    <w:rPr>
      <w:rFonts w:ascii="Arial" w:hAnsi="Arial"/>
      <w:sz w:val="16"/>
    </w:rPr>
  </w:style>
  <w:style w:type="character" w:customStyle="1" w:styleId="Nadpis2Char">
    <w:name w:val="Nadpis 2 Char"/>
    <w:aliases w:val="Nadpis 2 Char Char Char"/>
    <w:link w:val="Nadpis2"/>
    <w:rsid w:val="00D05728"/>
    <w:rPr>
      <w:rFonts w:ascii="Arial" w:hAnsi="Arial"/>
      <w:b/>
      <w:caps/>
      <w:color w:val="000080"/>
      <w:sz w:val="24"/>
    </w:rPr>
  </w:style>
  <w:style w:type="paragraph" w:customStyle="1" w:styleId="Normln1">
    <w:name w:val="Normální1"/>
    <w:rsid w:val="00094B70"/>
    <w:pPr>
      <w:suppressAutoHyphens/>
      <w:autoSpaceDN w:val="0"/>
      <w:spacing w:after="200" w:line="276" w:lineRule="auto"/>
      <w:textAlignment w:val="baseline"/>
    </w:pPr>
    <w:rPr>
      <w:rFonts w:ascii="Calibri" w:eastAsia="Calibri" w:hAnsi="Calibri"/>
      <w:sz w:val="22"/>
      <w:szCs w:val="22"/>
    </w:rPr>
  </w:style>
  <w:style w:type="character" w:customStyle="1" w:styleId="Standardnpsmoodstavce1">
    <w:name w:val="Standardní písmo odstavce1"/>
    <w:rsid w:val="00094B70"/>
  </w:style>
  <w:style w:type="paragraph" w:styleId="Normlnweb">
    <w:name w:val="Normal (Web)"/>
    <w:basedOn w:val="Normln"/>
    <w:uiPriority w:val="99"/>
    <w:unhideWhenUsed/>
    <w:rsid w:val="00C95683"/>
    <w:pPr>
      <w:spacing w:before="100" w:beforeAutospacing="1" w:after="100" w:afterAutospacing="1"/>
      <w:jc w:val="left"/>
    </w:pPr>
    <w:rPr>
      <w:rFonts w:ascii="Times New Roman" w:hAnsi="Times New Roman"/>
      <w:sz w:val="24"/>
      <w:szCs w:val="24"/>
      <w:lang w:val="hu-HU" w:eastAsia="hu-HU"/>
    </w:rPr>
  </w:style>
  <w:style w:type="paragraph" w:customStyle="1" w:styleId="xmsonormal">
    <w:name w:val="x_msonormal"/>
    <w:basedOn w:val="Normln"/>
    <w:rsid w:val="002E0B89"/>
    <w:pPr>
      <w:jc w:val="left"/>
    </w:pPr>
    <w:rPr>
      <w:rFonts w:ascii="Calibri" w:eastAsiaTheme="minorHAnsi" w:hAnsi="Calibri" w:cs="Calibri"/>
      <w:sz w:val="22"/>
      <w:szCs w:val="22"/>
    </w:rPr>
  </w:style>
  <w:style w:type="paragraph" w:customStyle="1" w:styleId="xmsolistparagraph">
    <w:name w:val="x_msolistparagraph"/>
    <w:basedOn w:val="Normln"/>
    <w:rsid w:val="002E0B89"/>
    <w:pPr>
      <w:ind w:left="720"/>
      <w:jc w:val="left"/>
    </w:pPr>
    <w:rPr>
      <w:rFonts w:ascii="Calibri" w:eastAsiaTheme="minorHAnsi" w:hAnsi="Calibri" w:cs="Calibri"/>
      <w:sz w:val="22"/>
      <w:szCs w:val="22"/>
    </w:rPr>
  </w:style>
  <w:style w:type="paragraph" w:customStyle="1" w:styleId="xnadpisdoloky">
    <w:name w:val="x_nadpisdoloky"/>
    <w:basedOn w:val="Normln"/>
    <w:rsid w:val="002E0B89"/>
    <w:pPr>
      <w:keepNext/>
      <w:spacing w:before="60" w:line="260" w:lineRule="atLeast"/>
      <w:ind w:firstLine="357"/>
    </w:pPr>
    <w:rPr>
      <w:rFonts w:eastAsiaTheme="minorHAnsi" w:cs="Arial"/>
      <w:b/>
      <w:bCs/>
    </w:rPr>
  </w:style>
  <w:style w:type="paragraph" w:customStyle="1" w:styleId="xtextdoloky">
    <w:name w:val="x_textdoloky"/>
    <w:basedOn w:val="Normln"/>
    <w:rsid w:val="002E0B89"/>
    <w:pPr>
      <w:spacing w:before="120" w:after="120" w:line="340" w:lineRule="atLeast"/>
    </w:pPr>
    <w:rPr>
      <w:rFonts w:eastAsiaTheme="minorHAns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3214">
      <w:bodyDiv w:val="1"/>
      <w:marLeft w:val="0"/>
      <w:marRight w:val="0"/>
      <w:marTop w:val="0"/>
      <w:marBottom w:val="0"/>
      <w:divBdr>
        <w:top w:val="none" w:sz="0" w:space="0" w:color="auto"/>
        <w:left w:val="none" w:sz="0" w:space="0" w:color="auto"/>
        <w:bottom w:val="none" w:sz="0" w:space="0" w:color="auto"/>
        <w:right w:val="none" w:sz="0" w:space="0" w:color="auto"/>
      </w:divBdr>
    </w:div>
    <w:div w:id="188835418">
      <w:bodyDiv w:val="1"/>
      <w:marLeft w:val="0"/>
      <w:marRight w:val="0"/>
      <w:marTop w:val="0"/>
      <w:marBottom w:val="0"/>
      <w:divBdr>
        <w:top w:val="none" w:sz="0" w:space="0" w:color="auto"/>
        <w:left w:val="none" w:sz="0" w:space="0" w:color="auto"/>
        <w:bottom w:val="none" w:sz="0" w:space="0" w:color="auto"/>
        <w:right w:val="none" w:sz="0" w:space="0" w:color="auto"/>
      </w:divBdr>
    </w:div>
    <w:div w:id="258102631">
      <w:bodyDiv w:val="1"/>
      <w:marLeft w:val="0"/>
      <w:marRight w:val="0"/>
      <w:marTop w:val="0"/>
      <w:marBottom w:val="0"/>
      <w:divBdr>
        <w:top w:val="none" w:sz="0" w:space="0" w:color="auto"/>
        <w:left w:val="none" w:sz="0" w:space="0" w:color="auto"/>
        <w:bottom w:val="none" w:sz="0" w:space="0" w:color="auto"/>
        <w:right w:val="none" w:sz="0" w:space="0" w:color="auto"/>
      </w:divBdr>
    </w:div>
    <w:div w:id="403533784">
      <w:bodyDiv w:val="1"/>
      <w:marLeft w:val="0"/>
      <w:marRight w:val="0"/>
      <w:marTop w:val="0"/>
      <w:marBottom w:val="0"/>
      <w:divBdr>
        <w:top w:val="none" w:sz="0" w:space="0" w:color="auto"/>
        <w:left w:val="none" w:sz="0" w:space="0" w:color="auto"/>
        <w:bottom w:val="none" w:sz="0" w:space="0" w:color="auto"/>
        <w:right w:val="none" w:sz="0" w:space="0" w:color="auto"/>
      </w:divBdr>
    </w:div>
    <w:div w:id="660423545">
      <w:bodyDiv w:val="1"/>
      <w:marLeft w:val="0"/>
      <w:marRight w:val="0"/>
      <w:marTop w:val="0"/>
      <w:marBottom w:val="0"/>
      <w:divBdr>
        <w:top w:val="none" w:sz="0" w:space="0" w:color="auto"/>
        <w:left w:val="none" w:sz="0" w:space="0" w:color="auto"/>
        <w:bottom w:val="none" w:sz="0" w:space="0" w:color="auto"/>
        <w:right w:val="none" w:sz="0" w:space="0" w:color="auto"/>
      </w:divBdr>
    </w:div>
    <w:div w:id="693962409">
      <w:bodyDiv w:val="1"/>
      <w:marLeft w:val="0"/>
      <w:marRight w:val="0"/>
      <w:marTop w:val="0"/>
      <w:marBottom w:val="0"/>
      <w:divBdr>
        <w:top w:val="none" w:sz="0" w:space="0" w:color="auto"/>
        <w:left w:val="none" w:sz="0" w:space="0" w:color="auto"/>
        <w:bottom w:val="none" w:sz="0" w:space="0" w:color="auto"/>
        <w:right w:val="none" w:sz="0" w:space="0" w:color="auto"/>
      </w:divBdr>
    </w:div>
    <w:div w:id="1027558006">
      <w:bodyDiv w:val="1"/>
      <w:marLeft w:val="0"/>
      <w:marRight w:val="0"/>
      <w:marTop w:val="0"/>
      <w:marBottom w:val="0"/>
      <w:divBdr>
        <w:top w:val="none" w:sz="0" w:space="0" w:color="auto"/>
        <w:left w:val="none" w:sz="0" w:space="0" w:color="auto"/>
        <w:bottom w:val="none" w:sz="0" w:space="0" w:color="auto"/>
        <w:right w:val="none" w:sz="0" w:space="0" w:color="auto"/>
      </w:divBdr>
    </w:div>
    <w:div w:id="1165049771">
      <w:bodyDiv w:val="1"/>
      <w:marLeft w:val="0"/>
      <w:marRight w:val="0"/>
      <w:marTop w:val="0"/>
      <w:marBottom w:val="0"/>
      <w:divBdr>
        <w:top w:val="none" w:sz="0" w:space="0" w:color="auto"/>
        <w:left w:val="none" w:sz="0" w:space="0" w:color="auto"/>
        <w:bottom w:val="none" w:sz="0" w:space="0" w:color="auto"/>
        <w:right w:val="none" w:sz="0" w:space="0" w:color="auto"/>
      </w:divBdr>
    </w:div>
    <w:div w:id="1352141453">
      <w:bodyDiv w:val="1"/>
      <w:marLeft w:val="0"/>
      <w:marRight w:val="0"/>
      <w:marTop w:val="0"/>
      <w:marBottom w:val="0"/>
      <w:divBdr>
        <w:top w:val="none" w:sz="0" w:space="0" w:color="auto"/>
        <w:left w:val="none" w:sz="0" w:space="0" w:color="auto"/>
        <w:bottom w:val="none" w:sz="0" w:space="0" w:color="auto"/>
        <w:right w:val="none" w:sz="0" w:space="0" w:color="auto"/>
      </w:divBdr>
    </w:div>
    <w:div w:id="208090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olonnade.cz" TargetMode="External"/><Relationship Id="rId1" Type="http://schemas.openxmlformats.org/officeDocument/2006/relationships/hyperlink" Target="mailto:info@colonnad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48C1C-6CCB-46A5-ACCA-859894D4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4394</Words>
  <Characters>25931</Characters>
  <Application>Microsoft Office Word</Application>
  <DocSecurity>0</DocSecurity>
  <Lines>216</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Pojistná smlouva</vt:lpstr>
      <vt:lpstr>Pojistná smlouva</vt:lpstr>
    </vt:vector>
  </TitlesOfParts>
  <Company>AIG CE&amp;CIS</Company>
  <LinksUpToDate>false</LinksUpToDate>
  <CharactersWithSpaces>30265</CharactersWithSpaces>
  <SharedDoc>false</SharedDoc>
  <HLinks>
    <vt:vector size="12" baseType="variant">
      <vt:variant>
        <vt:i4>2293880</vt:i4>
      </vt:variant>
      <vt:variant>
        <vt:i4>6</vt:i4>
      </vt:variant>
      <vt:variant>
        <vt:i4>0</vt:i4>
      </vt:variant>
      <vt:variant>
        <vt:i4>5</vt:i4>
      </vt:variant>
      <vt:variant>
        <vt:lpwstr>http://www.aig.com/</vt:lpwstr>
      </vt:variant>
      <vt:variant>
        <vt:lpwstr/>
      </vt:variant>
      <vt:variant>
        <vt:i4>1245229</vt:i4>
      </vt:variant>
      <vt:variant>
        <vt:i4>3</vt:i4>
      </vt:variant>
      <vt:variant>
        <vt:i4>0</vt:i4>
      </vt:variant>
      <vt:variant>
        <vt:i4>5</vt:i4>
      </vt:variant>
      <vt:variant>
        <vt:lpwstr>mailto:informace@aig.com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subject>vzor pojistné smlouvy AIG CZECH REPUBLIC pojišťovna, a.s.</dc:subject>
  <dc:creator>Tomáš Pavlů</dc:creator>
  <cp:lastModifiedBy>Petr Sedláček</cp:lastModifiedBy>
  <cp:revision>5</cp:revision>
  <cp:lastPrinted>2024-01-05T07:16:00Z</cp:lastPrinted>
  <dcterms:created xsi:type="dcterms:W3CDTF">2024-01-05T07:16:00Z</dcterms:created>
  <dcterms:modified xsi:type="dcterms:W3CDTF">2024-01-05T07:28:00Z</dcterms:modified>
</cp:coreProperties>
</file>