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0F" w:rsidRDefault="00C80855">
      <w:pPr>
        <w:pStyle w:val="Zkladntext"/>
        <w:spacing w:before="73"/>
        <w:ind w:left="0" w:right="116"/>
        <w:jc w:val="right"/>
      </w:pPr>
      <w:r>
        <w:t>Č. j. UDU-2634/2023</w:t>
      </w:r>
    </w:p>
    <w:p w:rsidR="00EC7D0F" w:rsidRDefault="00EC7D0F">
      <w:pPr>
        <w:pStyle w:val="Zkladntext"/>
        <w:spacing w:before="2"/>
        <w:ind w:left="0"/>
        <w:jc w:val="left"/>
        <w:rPr>
          <w:sz w:val="16"/>
        </w:rPr>
      </w:pPr>
    </w:p>
    <w:p w:rsidR="00EC7D0F" w:rsidRDefault="00C80855">
      <w:pPr>
        <w:pStyle w:val="Zkladntext"/>
        <w:spacing w:before="90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uzavřeli</w:t>
      </w:r>
      <w:proofErr w:type="spellEnd"/>
    </w:p>
    <w:p w:rsidR="00EC7D0F" w:rsidRDefault="00EC7D0F">
      <w:pPr>
        <w:pStyle w:val="Zkladntext"/>
        <w:spacing w:before="4"/>
        <w:ind w:left="0"/>
        <w:jc w:val="left"/>
      </w:pPr>
    </w:p>
    <w:p w:rsidR="00EC7D0F" w:rsidRDefault="00C80855">
      <w:pPr>
        <w:pStyle w:val="Nadpis2"/>
        <w:spacing w:before="1" w:line="274" w:lineRule="exact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EC7D0F" w:rsidRDefault="00C80855">
      <w:pPr>
        <w:pStyle w:val="Zkladntext"/>
        <w:spacing w:line="274" w:lineRule="exact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>: Husova 352/4, 110 00 Praha 1</w:t>
      </w:r>
    </w:p>
    <w:p w:rsidR="00EC7D0F" w:rsidRDefault="00C80855">
      <w:pPr>
        <w:pStyle w:val="Zkladntext"/>
        <w:ind w:right="8060"/>
        <w:jc w:val="left"/>
      </w:pPr>
      <w:r>
        <w:t>IČ: 68378033 DIČ:</w:t>
      </w:r>
      <w:r>
        <w:rPr>
          <w:spacing w:val="-5"/>
        </w:rPr>
        <w:t xml:space="preserve"> </w:t>
      </w:r>
      <w:r>
        <w:t>CZ68378033</w:t>
      </w:r>
    </w:p>
    <w:p w:rsidR="00EC7D0F" w:rsidRDefault="00C80855">
      <w:pPr>
        <w:pStyle w:val="Zkladntext"/>
        <w:ind w:right="6663"/>
        <w:jc w:val="left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 xml:space="preserve">: ČSOB Praha 1 č. </w:t>
      </w:r>
      <w:proofErr w:type="spellStart"/>
      <w:r>
        <w:t>účtu</w:t>
      </w:r>
      <w:proofErr w:type="spellEnd"/>
      <w:r>
        <w:t>: 131166131/0300</w:t>
      </w:r>
    </w:p>
    <w:p w:rsidR="00EC7D0F" w:rsidRDefault="00C80855">
      <w:pPr>
        <w:pStyle w:val="Zkladntext"/>
        <w:ind w:right="3958"/>
        <w:jc w:val="left"/>
      </w:pPr>
      <w:proofErr w:type="spellStart"/>
      <w:proofErr w:type="gramStart"/>
      <w:r>
        <w:t>zastoupený</w:t>
      </w:r>
      <w:proofErr w:type="spellEnd"/>
      <w:proofErr w:type="gramEnd"/>
      <w:r>
        <w:t xml:space="preserve"> doc.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Winterem</w:t>
      </w:r>
      <w:proofErr w:type="spellEnd"/>
      <w:r>
        <w:t xml:space="preserve">, Ph.D., </w:t>
      </w:r>
      <w:proofErr w:type="spellStart"/>
      <w:r>
        <w:t>ředitelem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„ÚDU AV ČR“)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EC7D0F" w:rsidRDefault="00EC7D0F">
      <w:pPr>
        <w:pStyle w:val="Zkladntext"/>
        <w:ind w:left="0"/>
        <w:jc w:val="left"/>
      </w:pPr>
    </w:p>
    <w:p w:rsidR="00EC7D0F" w:rsidRDefault="00C80855">
      <w:pPr>
        <w:pStyle w:val="Zkladntext"/>
      </w:pPr>
      <w:proofErr w:type="gramStart"/>
      <w:r>
        <w:t>a</w:t>
      </w:r>
      <w:proofErr w:type="gramEnd"/>
    </w:p>
    <w:p w:rsidR="00EC7D0F" w:rsidRDefault="00EC7D0F">
      <w:pPr>
        <w:pStyle w:val="Zkladntext"/>
        <w:spacing w:before="4"/>
        <w:ind w:left="0"/>
        <w:jc w:val="left"/>
      </w:pPr>
    </w:p>
    <w:p w:rsidR="00EC7D0F" w:rsidRDefault="00C80855">
      <w:pPr>
        <w:pStyle w:val="Nadpis2"/>
        <w:spacing w:line="274" w:lineRule="exact"/>
      </w:pPr>
      <w:proofErr w:type="spellStart"/>
      <w:r>
        <w:t>Galerie</w:t>
      </w:r>
      <w:proofErr w:type="spellEnd"/>
      <w:r>
        <w:t xml:space="preserve"> </w:t>
      </w:r>
      <w:proofErr w:type="spellStart"/>
      <w:r>
        <w:t>Benedikta</w:t>
      </w:r>
      <w:proofErr w:type="spellEnd"/>
      <w:r>
        <w:t xml:space="preserve"> </w:t>
      </w:r>
      <w:proofErr w:type="spellStart"/>
      <w:r>
        <w:t>Rejta</w:t>
      </w:r>
      <w:proofErr w:type="spellEnd"/>
      <w:r>
        <w:t xml:space="preserve"> v </w:t>
      </w:r>
      <w:proofErr w:type="spellStart"/>
      <w:r>
        <w:t>Lounech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EC7D0F" w:rsidRDefault="00C80855">
      <w:pPr>
        <w:pStyle w:val="Zkladntext"/>
        <w:ind w:right="5990"/>
        <w:jc w:val="left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Pivovarská</w:t>
      </w:r>
      <w:proofErr w:type="spellEnd"/>
      <w:r>
        <w:t xml:space="preserve"> 34, 440 01 </w:t>
      </w:r>
      <w:proofErr w:type="spellStart"/>
      <w:r>
        <w:t>Louny</w:t>
      </w:r>
      <w:proofErr w:type="spellEnd"/>
      <w:r>
        <w:t xml:space="preserve"> IČ: 00360724</w:t>
      </w:r>
    </w:p>
    <w:p w:rsidR="00EC7D0F" w:rsidRDefault="00C80855">
      <w:pPr>
        <w:pStyle w:val="Zkladntext"/>
        <w:spacing w:before="2"/>
      </w:pPr>
      <w:r>
        <w:t>DIČ: CZ00360724</w:t>
      </w:r>
    </w:p>
    <w:p w:rsidR="00EC7D0F" w:rsidRDefault="00C80855">
      <w:pPr>
        <w:ind w:left="100" w:right="4884"/>
      </w:pPr>
      <w:proofErr w:type="spellStart"/>
      <w:proofErr w:type="gramStart"/>
      <w:r>
        <w:rPr>
          <w:sz w:val="24"/>
        </w:rPr>
        <w:t>zastoupená</w:t>
      </w:r>
      <w:proofErr w:type="spellEnd"/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ředitelkou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Kateřinou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Melenovou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spojení</w:t>
      </w:r>
      <w:proofErr w:type="spellEnd"/>
      <w:r>
        <w:rPr>
          <w:sz w:val="24"/>
        </w:rP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 xml:space="preserve"> a. s.</w:t>
      </w:r>
    </w:p>
    <w:p w:rsidR="00EC7D0F" w:rsidRDefault="00C80855">
      <w:pPr>
        <w:pStyle w:val="Zkladntext"/>
        <w:ind w:right="7696"/>
        <w:jc w:val="left"/>
      </w:pPr>
      <w:proofErr w:type="gramStart"/>
      <w:r>
        <w:t>č</w:t>
      </w:r>
      <w:proofErr w:type="gramEnd"/>
      <w:r>
        <w:t xml:space="preserve">. </w:t>
      </w:r>
      <w:proofErr w:type="spellStart"/>
      <w:r>
        <w:t>účtu</w:t>
      </w:r>
      <w:proofErr w:type="spellEnd"/>
      <w:r>
        <w:t>: 5637481/0100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„GBR“)</w:t>
      </w:r>
    </w:p>
    <w:p w:rsidR="00EC7D0F" w:rsidRDefault="00EC7D0F">
      <w:pPr>
        <w:pStyle w:val="Zkladntext"/>
        <w:spacing w:before="10"/>
        <w:ind w:left="0"/>
        <w:jc w:val="left"/>
        <w:rPr>
          <w:sz w:val="23"/>
        </w:rPr>
      </w:pPr>
    </w:p>
    <w:p w:rsidR="00EC7D0F" w:rsidRDefault="00C80855">
      <w:pPr>
        <w:pStyle w:val="Zkladntext"/>
        <w:spacing w:before="1"/>
      </w:pPr>
      <w:proofErr w:type="spellStart"/>
      <w:proofErr w:type="gramStart"/>
      <w:r>
        <w:t>tuto</w:t>
      </w:r>
      <w:proofErr w:type="spellEnd"/>
      <w:proofErr w:type="gramEnd"/>
    </w:p>
    <w:p w:rsidR="00EC7D0F" w:rsidRDefault="00EC7D0F">
      <w:pPr>
        <w:pStyle w:val="Zkladntext"/>
        <w:ind w:left="0"/>
        <w:jc w:val="left"/>
      </w:pPr>
    </w:p>
    <w:p w:rsidR="00EC7D0F" w:rsidRDefault="00C80855">
      <w:pPr>
        <w:pStyle w:val="Zkladntext"/>
      </w:pPr>
      <w:proofErr w:type="spellStart"/>
      <w:proofErr w:type="gramStart"/>
      <w:r>
        <w:t>smlouvu</w:t>
      </w:r>
      <w:proofErr w:type="spellEnd"/>
      <w:proofErr w:type="gramEnd"/>
      <w:r>
        <w:t xml:space="preserve"> o </w:t>
      </w:r>
      <w:proofErr w:type="spellStart"/>
      <w:r>
        <w:t>spolupráci</w:t>
      </w:r>
      <w:proofErr w:type="spellEnd"/>
    </w:p>
    <w:p w:rsidR="00EC7D0F" w:rsidRDefault="00C80855">
      <w:pPr>
        <w:pStyle w:val="Zkladntext"/>
      </w:pPr>
      <w:proofErr w:type="spellStart"/>
      <w:proofErr w:type="gramStart"/>
      <w:r>
        <w:t>dle</w:t>
      </w:r>
      <w:proofErr w:type="spellEnd"/>
      <w:proofErr w:type="gramEnd"/>
      <w:r>
        <w:t xml:space="preserve"> </w:t>
      </w:r>
      <w:proofErr w:type="spellStart"/>
      <w:r>
        <w:t>ust</w:t>
      </w:r>
      <w:proofErr w:type="spellEnd"/>
      <w:r>
        <w:t xml:space="preserve">. § 1746 </w:t>
      </w:r>
      <w:proofErr w:type="spellStart"/>
      <w:r>
        <w:t>odst</w:t>
      </w:r>
      <w:proofErr w:type="spellEnd"/>
      <w:r>
        <w:t xml:space="preserve">. 2, </w:t>
      </w:r>
      <w:proofErr w:type="spellStart"/>
      <w:r>
        <w:t>zák</w:t>
      </w:r>
      <w:proofErr w:type="spellEnd"/>
      <w:r>
        <w:t xml:space="preserve">. 89/2012 Sb.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</w:p>
    <w:p w:rsidR="00EC7D0F" w:rsidRDefault="00EC7D0F">
      <w:pPr>
        <w:pStyle w:val="Zkladntext"/>
        <w:spacing w:before="5"/>
        <w:ind w:left="0"/>
        <w:jc w:val="left"/>
      </w:pPr>
    </w:p>
    <w:p w:rsidR="00EC7D0F" w:rsidRDefault="00C80855">
      <w:pPr>
        <w:pStyle w:val="Nadpis2"/>
      </w:pPr>
      <w:r>
        <w:t>I.</w:t>
      </w:r>
    </w:p>
    <w:p w:rsidR="00EC7D0F" w:rsidRDefault="00C80855">
      <w:pPr>
        <w:ind w:left="100"/>
        <w:jc w:val="both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</w:p>
    <w:p w:rsidR="00EC7D0F" w:rsidRDefault="00EC7D0F">
      <w:pPr>
        <w:pStyle w:val="Zkladntext"/>
        <w:spacing w:before="7"/>
        <w:ind w:left="0"/>
        <w:jc w:val="left"/>
        <w:rPr>
          <w:b/>
          <w:sz w:val="23"/>
        </w:rPr>
      </w:pPr>
    </w:p>
    <w:p w:rsidR="00EC7D0F" w:rsidRDefault="00C80855">
      <w:pPr>
        <w:pStyle w:val="Odstavecseseznamem"/>
        <w:numPr>
          <w:ilvl w:val="1"/>
          <w:numId w:val="7"/>
        </w:numPr>
        <w:tabs>
          <w:tab w:val="left" w:pos="568"/>
        </w:tabs>
        <w:ind w:right="115" w:firstLine="0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přípravě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dlouhodobé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expozice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pracovním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Pamětní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síň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Emila</w:t>
      </w:r>
      <w:proofErr w:type="spellEnd"/>
      <w:r>
        <w:rPr>
          <w:b/>
          <w:sz w:val="24"/>
        </w:rPr>
        <w:t xml:space="preserve"> Filly </w:t>
      </w:r>
      <w:proofErr w:type="spellStart"/>
      <w:proofErr w:type="gramStart"/>
      <w:r>
        <w:rPr>
          <w:b/>
          <w:sz w:val="24"/>
        </w:rPr>
        <w:t>na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Peruci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výstava</w:t>
      </w:r>
      <w:proofErr w:type="spellEnd"/>
      <w:r>
        <w:rPr>
          <w:sz w:val="24"/>
        </w:rPr>
        <w:t xml:space="preserve">“),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realizována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otevřena</w:t>
      </w:r>
      <w:proofErr w:type="spellEnd"/>
      <w:r>
        <w:rPr>
          <w:sz w:val="24"/>
        </w:rPr>
        <w:t xml:space="preserve"> 30. 8. 2024 v </w:t>
      </w:r>
      <w:proofErr w:type="spellStart"/>
      <w:r>
        <w:rPr>
          <w:sz w:val="24"/>
        </w:rPr>
        <w:t>prostorách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zámku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Peruc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</w:t>
      </w:r>
      <w:r>
        <w:rPr>
          <w:sz w:val="24"/>
        </w:rPr>
        <w:t>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7"/>
        </w:numPr>
        <w:tabs>
          <w:tab w:val="left" w:pos="521"/>
        </w:tabs>
        <w:ind w:left="520" w:hanging="420"/>
        <w:jc w:val="both"/>
        <w:rPr>
          <w:sz w:val="24"/>
        </w:rPr>
      </w:pPr>
      <w:proofErr w:type="spellStart"/>
      <w:r>
        <w:rPr>
          <w:sz w:val="24"/>
        </w:rPr>
        <w:t>Autorem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koncepce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Tomáš</w:t>
      </w:r>
      <w:proofErr w:type="spellEnd"/>
      <w:r>
        <w:rPr>
          <w:sz w:val="24"/>
        </w:rPr>
        <w:t xml:space="preserve"> Winter, </w:t>
      </w:r>
      <w:proofErr w:type="spellStart"/>
      <w:r>
        <w:rPr>
          <w:sz w:val="24"/>
        </w:rPr>
        <w:t>vědecký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pracovník</w:t>
      </w:r>
      <w:proofErr w:type="spellEnd"/>
      <w:r>
        <w:rPr>
          <w:sz w:val="24"/>
        </w:rPr>
        <w:t xml:space="preserve"> ÚDU AV</w:t>
      </w:r>
      <w:r>
        <w:rPr>
          <w:spacing w:val="-10"/>
          <w:sz w:val="24"/>
        </w:rPr>
        <w:t xml:space="preserve"> </w:t>
      </w:r>
      <w:r>
        <w:rPr>
          <w:sz w:val="24"/>
        </w:rPr>
        <w:t>ČR.</w:t>
      </w:r>
    </w:p>
    <w:p w:rsidR="00EC7D0F" w:rsidRDefault="00EC7D0F">
      <w:pPr>
        <w:pStyle w:val="Zkladntext"/>
        <w:spacing w:before="5"/>
        <w:ind w:left="0"/>
        <w:jc w:val="left"/>
      </w:pPr>
    </w:p>
    <w:p w:rsidR="00EC7D0F" w:rsidRDefault="00C80855">
      <w:pPr>
        <w:pStyle w:val="Nadpis2"/>
      </w:pPr>
      <w:r>
        <w:t>II.</w:t>
      </w:r>
    </w:p>
    <w:p w:rsidR="00EC7D0F" w:rsidRDefault="00C80855">
      <w:pPr>
        <w:ind w:left="100"/>
        <w:jc w:val="both"/>
        <w:rPr>
          <w:b/>
          <w:sz w:val="24"/>
        </w:rPr>
      </w:pPr>
      <w:proofErr w:type="spellStart"/>
      <w:r>
        <w:rPr>
          <w:b/>
          <w:sz w:val="24"/>
        </w:rPr>
        <w:t>Práva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povinnosti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</w:t>
      </w:r>
      <w:proofErr w:type="spellEnd"/>
    </w:p>
    <w:p w:rsidR="00EC7D0F" w:rsidRDefault="00EC7D0F">
      <w:pPr>
        <w:pStyle w:val="Zkladntext"/>
        <w:spacing w:before="7"/>
        <w:ind w:left="0"/>
        <w:jc w:val="left"/>
        <w:rPr>
          <w:b/>
          <w:sz w:val="23"/>
        </w:rPr>
      </w:pPr>
    </w:p>
    <w:p w:rsidR="00EC7D0F" w:rsidRDefault="00C80855">
      <w:pPr>
        <w:pStyle w:val="Odstavecseseznamem"/>
        <w:numPr>
          <w:ilvl w:val="1"/>
          <w:numId w:val="6"/>
        </w:numPr>
        <w:tabs>
          <w:tab w:val="left" w:pos="521"/>
        </w:tabs>
        <w:ind w:hanging="420"/>
        <w:jc w:val="both"/>
        <w:rPr>
          <w:sz w:val="24"/>
        </w:rPr>
      </w:pPr>
      <w:r>
        <w:rPr>
          <w:sz w:val="24"/>
        </w:rPr>
        <w:t>ÚDU AV ČR se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>:</w:t>
      </w:r>
    </w:p>
    <w:p w:rsidR="00EC7D0F" w:rsidRDefault="00EC7D0F">
      <w:pPr>
        <w:pStyle w:val="Zkladntext"/>
        <w:spacing w:before="11"/>
        <w:ind w:left="0"/>
        <w:jc w:val="left"/>
        <w:rPr>
          <w:sz w:val="23"/>
        </w:rPr>
      </w:pPr>
    </w:p>
    <w:p w:rsidR="00EC7D0F" w:rsidRDefault="00C80855">
      <w:pPr>
        <w:pStyle w:val="Odstavecseseznamem"/>
        <w:numPr>
          <w:ilvl w:val="0"/>
          <w:numId w:val="5"/>
        </w:numPr>
        <w:tabs>
          <w:tab w:val="left" w:pos="809"/>
        </w:tabs>
        <w:ind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poskytnout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práci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výstavě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5"/>
        </w:numPr>
        <w:tabs>
          <w:tab w:val="left" w:pos="809"/>
        </w:tabs>
        <w:ind w:left="808" w:hanging="708"/>
        <w:jc w:val="both"/>
        <w:rPr>
          <w:sz w:val="24"/>
        </w:rPr>
      </w:pPr>
      <w:proofErr w:type="spellStart"/>
      <w:proofErr w:type="gramStart"/>
      <w:r>
        <w:rPr>
          <w:sz w:val="24"/>
        </w:rPr>
        <w:t>spolupracovat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přípravě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instalaci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5"/>
        </w:numPr>
        <w:tabs>
          <w:tab w:val="left" w:pos="809"/>
        </w:tabs>
        <w:ind w:left="808" w:hanging="708"/>
        <w:jc w:val="both"/>
        <w:rPr>
          <w:sz w:val="24"/>
        </w:rPr>
      </w:pPr>
      <w:proofErr w:type="spellStart"/>
      <w:proofErr w:type="gramStart"/>
      <w:r>
        <w:rPr>
          <w:sz w:val="24"/>
        </w:rPr>
        <w:t>spolupracovat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zvyklostí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propagaci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5"/>
        </w:numPr>
        <w:tabs>
          <w:tab w:val="left" w:pos="868"/>
          <w:tab w:val="left" w:pos="869"/>
        </w:tabs>
        <w:ind w:right="116" w:firstLine="0"/>
        <w:rPr>
          <w:sz w:val="24"/>
        </w:rPr>
      </w:pPr>
      <w:proofErr w:type="spellStart"/>
      <w:proofErr w:type="gramStart"/>
      <w:r>
        <w:rPr>
          <w:sz w:val="24"/>
        </w:rPr>
        <w:t>poskytnout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zdarma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potřebu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max. 20 </w:t>
      </w:r>
      <w:proofErr w:type="spellStart"/>
      <w:r>
        <w:rPr>
          <w:sz w:val="24"/>
        </w:rPr>
        <w:t>digitálních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fotografií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Josefa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prezentace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novotisků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výstavě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5"/>
        </w:numPr>
        <w:tabs>
          <w:tab w:val="left" w:pos="808"/>
          <w:tab w:val="left" w:pos="809"/>
        </w:tabs>
        <w:ind w:right="113" w:firstLine="0"/>
        <w:rPr>
          <w:sz w:val="24"/>
        </w:rPr>
      </w:pPr>
      <w:proofErr w:type="spellStart"/>
      <w:proofErr w:type="gramStart"/>
      <w:r>
        <w:rPr>
          <w:sz w:val="24"/>
        </w:rPr>
        <w:t>uvádět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tiskovinách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spojených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výstavou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logem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spolupráci</w:t>
      </w:r>
      <w:proofErr w:type="spellEnd"/>
      <w:r>
        <w:rPr>
          <w:sz w:val="24"/>
        </w:rPr>
        <w:t xml:space="preserve"> s GBR. ÚDU AV ČR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</w:t>
      </w:r>
      <w:r>
        <w:rPr>
          <w:sz w:val="24"/>
        </w:rPr>
        <w:t>yhrazuje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udělení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</w:p>
    <w:p w:rsidR="00EC7D0F" w:rsidRDefault="00EC7D0F">
      <w:pPr>
        <w:rPr>
          <w:sz w:val="24"/>
        </w:rPr>
        <w:sectPr w:rsidR="00EC7D0F">
          <w:type w:val="continuous"/>
          <w:pgSz w:w="11910" w:h="16840"/>
          <w:pgMar w:top="1340" w:right="960" w:bottom="280" w:left="980" w:header="708" w:footer="708" w:gutter="0"/>
          <w:cols w:space="708"/>
        </w:sectPr>
      </w:pPr>
    </w:p>
    <w:p w:rsidR="00EC7D0F" w:rsidRDefault="00C80855">
      <w:pPr>
        <w:pStyle w:val="Zkladntext"/>
        <w:spacing w:before="73"/>
        <w:ind w:right="118"/>
      </w:pPr>
      <w:proofErr w:type="spellStart"/>
      <w:proofErr w:type="gramStart"/>
      <w:r>
        <w:lastRenderedPageBreak/>
        <w:t>jména</w:t>
      </w:r>
      <w:proofErr w:type="spellEnd"/>
      <w:proofErr w:type="gramEnd"/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loga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tiskovinách</w:t>
      </w:r>
      <w:proofErr w:type="spellEnd"/>
      <w:r>
        <w:rPr>
          <w:spacing w:val="-13"/>
        </w:rPr>
        <w:t xml:space="preserve"> </w:t>
      </w:r>
      <w:proofErr w:type="spellStart"/>
      <w:r>
        <w:t>či</w:t>
      </w:r>
      <w:proofErr w:type="spellEnd"/>
      <w:r>
        <w:rPr>
          <w:spacing w:val="-13"/>
        </w:rPr>
        <w:t xml:space="preserve"> </w:t>
      </w:r>
      <w:proofErr w:type="spellStart"/>
      <w:r>
        <w:t>při</w:t>
      </w:r>
      <w:proofErr w:type="spellEnd"/>
      <w:r>
        <w:rPr>
          <w:spacing w:val="-13"/>
        </w:rPr>
        <w:t xml:space="preserve"> </w:t>
      </w:r>
      <w:proofErr w:type="spellStart"/>
      <w:r>
        <w:t>jiné</w:t>
      </w:r>
      <w:proofErr w:type="spellEnd"/>
      <w:r>
        <w:rPr>
          <w:spacing w:val="-14"/>
        </w:rPr>
        <w:t xml:space="preserve"> </w:t>
      </w:r>
      <w:proofErr w:type="spellStart"/>
      <w:r>
        <w:t>formě</w:t>
      </w:r>
      <w:proofErr w:type="spellEnd"/>
      <w:r>
        <w:rPr>
          <w:spacing w:val="-11"/>
        </w:rPr>
        <w:t xml:space="preserve"> </w:t>
      </w:r>
      <w:proofErr w:type="spellStart"/>
      <w:r>
        <w:t>propagace</w:t>
      </w:r>
      <w:proofErr w:type="spellEnd"/>
      <w:r>
        <w:rPr>
          <w:spacing w:val="-7"/>
        </w:rPr>
        <w:t xml:space="preserve"> </w:t>
      </w:r>
      <w:proofErr w:type="spellStart"/>
      <w:r>
        <w:t>výstavy</w:t>
      </w:r>
      <w:proofErr w:type="spellEnd"/>
      <w:r>
        <w:t>;</w:t>
      </w:r>
      <w:r>
        <w:rPr>
          <w:spacing w:val="-1"/>
        </w:rPr>
        <w:t xml:space="preserve"> </w:t>
      </w:r>
      <w:r>
        <w:t>pro</w:t>
      </w:r>
      <w:r>
        <w:rPr>
          <w:spacing w:val="-14"/>
        </w:rPr>
        <w:t xml:space="preserve"> </w:t>
      </w:r>
      <w:proofErr w:type="spellStart"/>
      <w:r>
        <w:t>tyto</w:t>
      </w:r>
      <w:proofErr w:type="spellEnd"/>
      <w:r>
        <w:rPr>
          <w:spacing w:val="-5"/>
        </w:rPr>
        <w:t xml:space="preserve"> </w:t>
      </w:r>
      <w:proofErr w:type="spellStart"/>
      <w:r>
        <w:t>účely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zavazuje</w:t>
      </w:r>
      <w:proofErr w:type="spellEnd"/>
      <w:r>
        <w:rPr>
          <w:spacing w:val="-16"/>
        </w:rPr>
        <w:t xml:space="preserve"> </w:t>
      </w:r>
      <w:proofErr w:type="spellStart"/>
      <w:r>
        <w:t>předat</w:t>
      </w:r>
      <w:proofErr w:type="spellEnd"/>
      <w:r>
        <w:rPr>
          <w:spacing w:val="-7"/>
        </w:rPr>
        <w:t xml:space="preserve"> </w:t>
      </w:r>
      <w:r>
        <w:t xml:space="preserve">logo </w:t>
      </w:r>
      <w:proofErr w:type="spellStart"/>
      <w:r>
        <w:t>partnerské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;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</w:t>
      </w:r>
      <w:r>
        <w:t>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autorství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 xml:space="preserve"> –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slovně</w:t>
      </w:r>
      <w:proofErr w:type="spellEnd"/>
      <w:r>
        <w:t xml:space="preserve"> </w:t>
      </w:r>
      <w:proofErr w:type="spellStart"/>
      <w:r>
        <w:t>uváděn</w:t>
      </w:r>
      <w:proofErr w:type="spellEnd"/>
      <w:r>
        <w:t xml:space="preserve"> </w:t>
      </w:r>
      <w:proofErr w:type="spellStart"/>
      <w:r>
        <w:t>Tomáš</w:t>
      </w:r>
      <w:proofErr w:type="spellEnd"/>
      <w:r>
        <w:rPr>
          <w:spacing w:val="-5"/>
        </w:rPr>
        <w:t xml:space="preserve"> </w:t>
      </w:r>
      <w:r>
        <w:t>Winter.</w:t>
      </w:r>
    </w:p>
    <w:p w:rsidR="00EC7D0F" w:rsidRDefault="00EC7D0F">
      <w:pPr>
        <w:pStyle w:val="Zkladntext"/>
        <w:spacing w:before="11"/>
        <w:ind w:left="0"/>
        <w:jc w:val="left"/>
        <w:rPr>
          <w:sz w:val="23"/>
        </w:rPr>
      </w:pPr>
    </w:p>
    <w:p w:rsidR="00EC7D0F" w:rsidRDefault="00C80855">
      <w:pPr>
        <w:pStyle w:val="Odstavecseseznamem"/>
        <w:numPr>
          <w:ilvl w:val="1"/>
          <w:numId w:val="6"/>
        </w:numPr>
        <w:tabs>
          <w:tab w:val="left" w:pos="521"/>
        </w:tabs>
        <w:ind w:hanging="420"/>
        <w:jc w:val="both"/>
        <w:rPr>
          <w:sz w:val="24"/>
        </w:rPr>
      </w:pPr>
      <w:r>
        <w:rPr>
          <w:sz w:val="24"/>
        </w:rPr>
        <w:t>GBR se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>:</w:t>
      </w:r>
    </w:p>
    <w:p w:rsidR="00EC7D0F" w:rsidRDefault="00EC7D0F">
      <w:pPr>
        <w:pStyle w:val="Zkladntext"/>
        <w:ind w:left="0"/>
        <w:jc w:val="left"/>
      </w:pPr>
    </w:p>
    <w:p w:rsidR="00EC7D0F" w:rsidRDefault="00C80855">
      <w:pPr>
        <w:pStyle w:val="Odstavecseseznamem"/>
        <w:numPr>
          <w:ilvl w:val="0"/>
          <w:numId w:val="4"/>
        </w:numPr>
        <w:tabs>
          <w:tab w:val="left" w:pos="809"/>
        </w:tabs>
        <w:ind w:right="120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uhradit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ÚDU AV ČR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50 000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+ DPH. </w:t>
      </w:r>
      <w:proofErr w:type="spellStart"/>
      <w:r>
        <w:rPr>
          <w:sz w:val="24"/>
        </w:rPr>
        <w:t>Částka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30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4"/>
        </w:numPr>
        <w:tabs>
          <w:tab w:val="left" w:pos="809"/>
        </w:tabs>
        <w:ind w:right="117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zajistit</w:t>
      </w:r>
      <w:proofErr w:type="spellEnd"/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výstavní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prostor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zámku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Peruc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GBR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nést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prostorách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zámku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Peruc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4"/>
        </w:numPr>
        <w:tabs>
          <w:tab w:val="left" w:pos="809"/>
        </w:tabs>
        <w:ind w:right="116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uhradit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výrobu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grafických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materiálů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výstavu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Jednotný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vizuál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institucí</w:t>
      </w:r>
      <w:proofErr w:type="spellEnd"/>
      <w:r>
        <w:rPr>
          <w:sz w:val="24"/>
        </w:rPr>
        <w:t xml:space="preserve"> Helena </w:t>
      </w:r>
      <w:proofErr w:type="spellStart"/>
      <w:r>
        <w:rPr>
          <w:sz w:val="24"/>
        </w:rPr>
        <w:t>Šantavá</w:t>
      </w:r>
      <w:proofErr w:type="spellEnd"/>
      <w:r>
        <w:rPr>
          <w:sz w:val="24"/>
        </w:rPr>
        <w:t xml:space="preserve"> (santhelena@volny.cz). </w:t>
      </w:r>
      <w:proofErr w:type="spellStart"/>
      <w:r>
        <w:rPr>
          <w:sz w:val="24"/>
        </w:rPr>
        <w:t>Vizuál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užíván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propagačních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materiálech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výstavě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samotné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4"/>
        </w:numPr>
        <w:tabs>
          <w:tab w:val="left" w:pos="809"/>
        </w:tabs>
        <w:ind w:right="119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uhradit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architekton</w:t>
      </w:r>
      <w:r>
        <w:rPr>
          <w:sz w:val="24"/>
        </w:rPr>
        <w:t>ický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výrobu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architektury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výstavu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Architektonický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institucí</w:t>
      </w:r>
      <w:proofErr w:type="spellEnd"/>
      <w:r>
        <w:rPr>
          <w:sz w:val="24"/>
        </w:rPr>
        <w:t xml:space="preserve"> Josef </w:t>
      </w:r>
      <w:proofErr w:type="spellStart"/>
      <w:r>
        <w:rPr>
          <w:sz w:val="24"/>
        </w:rPr>
        <w:t>Holeček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(jose.holecek@gmail.com).</w:t>
      </w:r>
    </w:p>
    <w:p w:rsidR="00EC7D0F" w:rsidRDefault="00C80855">
      <w:pPr>
        <w:pStyle w:val="Odstavecseseznamem"/>
        <w:numPr>
          <w:ilvl w:val="0"/>
          <w:numId w:val="4"/>
        </w:numPr>
        <w:tabs>
          <w:tab w:val="left" w:pos="809"/>
        </w:tabs>
        <w:ind w:right="120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uhradit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výrobu</w:t>
      </w:r>
      <w:proofErr w:type="spellEnd"/>
      <w:r>
        <w:rPr>
          <w:sz w:val="24"/>
        </w:rPr>
        <w:t xml:space="preserve"> max. 20 </w:t>
      </w:r>
      <w:proofErr w:type="spellStart"/>
      <w:r>
        <w:rPr>
          <w:sz w:val="24"/>
        </w:rPr>
        <w:t>kusů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novotisků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fotografií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Josefů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prezentovány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r>
        <w:rPr>
          <w:sz w:val="24"/>
        </w:rPr>
        <w:t>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majetkem</w:t>
      </w:r>
      <w:proofErr w:type="spellEnd"/>
      <w:r>
        <w:rPr>
          <w:sz w:val="24"/>
        </w:rPr>
        <w:t xml:space="preserve"> ÚDU AV</w:t>
      </w:r>
      <w:r>
        <w:rPr>
          <w:spacing w:val="-9"/>
          <w:sz w:val="24"/>
        </w:rPr>
        <w:t xml:space="preserve"> </w:t>
      </w:r>
      <w:r>
        <w:rPr>
          <w:sz w:val="24"/>
        </w:rPr>
        <w:t>ČR.</w:t>
      </w:r>
    </w:p>
    <w:p w:rsidR="00EC7D0F" w:rsidRDefault="00C80855">
      <w:pPr>
        <w:pStyle w:val="Odstavecseseznamem"/>
        <w:numPr>
          <w:ilvl w:val="0"/>
          <w:numId w:val="4"/>
        </w:numPr>
        <w:tabs>
          <w:tab w:val="left" w:pos="809"/>
        </w:tabs>
        <w:ind w:right="114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spolupracovat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zvyklostí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propagaci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pozvánek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plakátů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propagačních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materiálů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výstavu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fotomateriál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 AV</w:t>
      </w:r>
      <w:r>
        <w:rPr>
          <w:spacing w:val="-5"/>
          <w:sz w:val="24"/>
        </w:rPr>
        <w:t xml:space="preserve"> </w:t>
      </w:r>
      <w:r>
        <w:rPr>
          <w:sz w:val="24"/>
        </w:rPr>
        <w:t>ČR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propagace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výstavě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fotomateriálu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uvádět</w:t>
      </w:r>
      <w:proofErr w:type="spellEnd"/>
      <w:r>
        <w:rPr>
          <w:sz w:val="24"/>
        </w:rPr>
        <w:t xml:space="preserve"> copyright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s</w:t>
      </w:r>
      <w:r>
        <w:rPr>
          <w:spacing w:val="-5"/>
          <w:sz w:val="24"/>
        </w:rPr>
        <w:t xml:space="preserve"> </w:t>
      </w:r>
      <w:r>
        <w:rPr>
          <w:sz w:val="24"/>
        </w:rPr>
        <w:t>ÚDU.</w:t>
      </w:r>
    </w:p>
    <w:p w:rsidR="00EC7D0F" w:rsidRDefault="00C80855">
      <w:pPr>
        <w:pStyle w:val="Zkladntext"/>
        <w:ind w:right="118"/>
      </w:pPr>
      <w:r>
        <w:t xml:space="preserve">h) </w:t>
      </w:r>
      <w:proofErr w:type="spellStart"/>
      <w:proofErr w:type="gramStart"/>
      <w:r>
        <w:t>uvádět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tiskovinách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výstavou</w:t>
      </w:r>
      <w:proofErr w:type="spellEnd"/>
      <w:r>
        <w:t xml:space="preserve"> </w:t>
      </w:r>
      <w:proofErr w:type="spellStart"/>
      <w:r>
        <w:t>slovně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Ústavem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 xml:space="preserve">. a </w:t>
      </w:r>
      <w:proofErr w:type="spellStart"/>
      <w:r>
        <w:t>uvádět</w:t>
      </w:r>
      <w:proofErr w:type="spellEnd"/>
      <w:r>
        <w:t xml:space="preserve"> logo ÚDU AV ČR. GBR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tiskovinách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rPr>
          <w:spacing w:val="-9"/>
        </w:rPr>
        <w:t xml:space="preserve"> </w:t>
      </w:r>
      <w:proofErr w:type="spellStart"/>
      <w:r>
        <w:t>výstavy</w:t>
      </w:r>
      <w:proofErr w:type="spellEnd"/>
      <w:r>
        <w:t>.</w:t>
      </w:r>
    </w:p>
    <w:p w:rsidR="00EC7D0F" w:rsidRDefault="00EC7D0F">
      <w:pPr>
        <w:pStyle w:val="Zkladntext"/>
        <w:spacing w:before="1"/>
        <w:ind w:left="0"/>
        <w:jc w:val="left"/>
      </w:pPr>
    </w:p>
    <w:p w:rsidR="00EC7D0F" w:rsidRDefault="00C80855">
      <w:pPr>
        <w:pStyle w:val="Odstavecseseznamem"/>
        <w:numPr>
          <w:ilvl w:val="1"/>
          <w:numId w:val="6"/>
        </w:numPr>
        <w:tabs>
          <w:tab w:val="left" w:pos="520"/>
        </w:tabs>
        <w:ind w:hanging="420"/>
        <w:jc w:val="both"/>
        <w:rPr>
          <w:sz w:val="24"/>
        </w:rPr>
      </w:pPr>
      <w:proofErr w:type="spellStart"/>
      <w:r>
        <w:rPr>
          <w:sz w:val="24"/>
        </w:rPr>
        <w:t>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>:</w:t>
      </w:r>
    </w:p>
    <w:p w:rsidR="00EC7D0F" w:rsidRDefault="00EC7D0F">
      <w:pPr>
        <w:pStyle w:val="Zkladntext"/>
        <w:ind w:left="0"/>
        <w:jc w:val="left"/>
      </w:pPr>
    </w:p>
    <w:p w:rsidR="00EC7D0F" w:rsidRDefault="00C80855">
      <w:pPr>
        <w:pStyle w:val="Odstavecseseznamem"/>
        <w:numPr>
          <w:ilvl w:val="0"/>
          <w:numId w:val="3"/>
        </w:numPr>
        <w:tabs>
          <w:tab w:val="left" w:pos="809"/>
        </w:tabs>
        <w:ind w:right="122" w:firstLine="0"/>
        <w:jc w:val="both"/>
        <w:rPr>
          <w:sz w:val="24"/>
        </w:rPr>
      </w:pPr>
      <w:proofErr w:type="spellStart"/>
      <w:r>
        <w:rPr>
          <w:sz w:val="24"/>
        </w:rPr>
        <w:t>Postupovat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naplnění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realizována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jakákoliv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překážka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neprodleně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navzájem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přijmout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opatření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jejímu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překonání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3"/>
        </w:numPr>
        <w:tabs>
          <w:tab w:val="left" w:pos="809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jakákoliv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stane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upravit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zájmu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jistoty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neprodleně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0"/>
          <w:numId w:val="3"/>
        </w:numPr>
        <w:tabs>
          <w:tab w:val="left" w:pos="809"/>
        </w:tabs>
        <w:ind w:right="119" w:firstLine="0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specifikováno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množství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jedná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množství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obvyklé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pořádání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jedná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obvyklou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přihlédnutím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při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výkladu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přihlédnout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praxi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galerií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pořádání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>.</w:t>
      </w:r>
    </w:p>
    <w:p w:rsidR="00EC7D0F" w:rsidRDefault="00EC7D0F">
      <w:pPr>
        <w:pStyle w:val="Zkladntext"/>
        <w:spacing w:before="4"/>
        <w:ind w:left="0"/>
        <w:jc w:val="left"/>
      </w:pPr>
    </w:p>
    <w:p w:rsidR="00EC7D0F" w:rsidRDefault="00C80855">
      <w:pPr>
        <w:pStyle w:val="Nadpis2"/>
        <w:spacing w:before="1"/>
      </w:pPr>
      <w:r>
        <w:t>III.</w:t>
      </w:r>
    </w:p>
    <w:p w:rsidR="00EC7D0F" w:rsidRDefault="00C80855">
      <w:pPr>
        <w:ind w:left="100"/>
        <w:jc w:val="both"/>
        <w:rPr>
          <w:b/>
          <w:sz w:val="24"/>
        </w:rPr>
      </w:pPr>
      <w:proofErr w:type="spellStart"/>
      <w:r>
        <w:rPr>
          <w:b/>
          <w:sz w:val="24"/>
        </w:rPr>
        <w:t>Vstupné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výtěžek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vstupného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kontaktní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osoby</w:t>
      </w:r>
      <w:proofErr w:type="spellEnd"/>
    </w:p>
    <w:p w:rsidR="00EC7D0F" w:rsidRDefault="00EC7D0F">
      <w:pPr>
        <w:pStyle w:val="Zkladntext"/>
        <w:spacing w:before="6"/>
        <w:ind w:left="0"/>
        <w:jc w:val="left"/>
        <w:rPr>
          <w:b/>
          <w:sz w:val="23"/>
        </w:rPr>
      </w:pPr>
    </w:p>
    <w:p w:rsidR="00EC7D0F" w:rsidRDefault="00C80855">
      <w:pPr>
        <w:pStyle w:val="Odstavecseseznamem"/>
        <w:numPr>
          <w:ilvl w:val="1"/>
          <w:numId w:val="2"/>
        </w:numPr>
        <w:tabs>
          <w:tab w:val="left" w:pos="520"/>
        </w:tabs>
        <w:jc w:val="both"/>
        <w:rPr>
          <w:sz w:val="24"/>
        </w:rPr>
      </w:pPr>
      <w:proofErr w:type="spellStart"/>
      <w:r>
        <w:rPr>
          <w:sz w:val="24"/>
        </w:rPr>
        <w:t>Vstupné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prostorách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zámku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GBR.</w:t>
      </w:r>
    </w:p>
    <w:p w:rsidR="00EC7D0F" w:rsidRDefault="00C80855">
      <w:pPr>
        <w:pStyle w:val="Odstavecseseznamem"/>
        <w:numPr>
          <w:ilvl w:val="1"/>
          <w:numId w:val="2"/>
        </w:numPr>
        <w:tabs>
          <w:tab w:val="left" w:pos="520"/>
        </w:tabs>
        <w:jc w:val="both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>:</w:t>
      </w:r>
    </w:p>
    <w:p w:rsidR="00EC7D0F" w:rsidRDefault="00EC7D0F">
      <w:pPr>
        <w:rPr>
          <w:sz w:val="24"/>
        </w:rPr>
        <w:sectPr w:rsidR="00EC7D0F">
          <w:pgSz w:w="11910" w:h="16840"/>
          <w:pgMar w:top="1340" w:right="960" w:bottom="280" w:left="980" w:header="708" w:footer="708" w:gutter="0"/>
          <w:cols w:space="708"/>
        </w:sectPr>
      </w:pPr>
    </w:p>
    <w:p w:rsidR="00EC7D0F" w:rsidRDefault="00C80855">
      <w:pPr>
        <w:pStyle w:val="Nadpis2"/>
        <w:spacing w:before="78"/>
      </w:pPr>
      <w:r>
        <w:lastRenderedPageBreak/>
        <w:t>IV.</w:t>
      </w:r>
    </w:p>
    <w:p w:rsidR="00EC7D0F" w:rsidRDefault="00C80855">
      <w:pPr>
        <w:ind w:left="100"/>
        <w:jc w:val="both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:rsidR="00EC7D0F" w:rsidRDefault="00EC7D0F">
      <w:pPr>
        <w:pStyle w:val="Zkladntext"/>
        <w:spacing w:before="7"/>
        <w:ind w:left="0"/>
        <w:jc w:val="left"/>
        <w:rPr>
          <w:b/>
          <w:sz w:val="23"/>
        </w:rPr>
      </w:pP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55"/>
        </w:tabs>
        <w:ind w:right="115" w:firstLine="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důležitých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rozhodnutích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týkajících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příprav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výroby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publikace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Vyskytnou</w:t>
      </w:r>
      <w:proofErr w:type="spellEnd"/>
      <w:r>
        <w:rPr>
          <w:sz w:val="24"/>
        </w:rPr>
        <w:t>-li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události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jednomu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partnerům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znemožní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se o tom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kroky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překonání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zakládá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stranu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</w:t>
      </w:r>
      <w:r>
        <w:rPr>
          <w:sz w:val="24"/>
        </w:rPr>
        <w:t>rá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dopustila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51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být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měněna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vzestupně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dodatků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kontaktních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poštou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faxem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nastala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27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je</w:t>
      </w:r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a to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uvedení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dva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měsíce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částečnému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udání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vypověděla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vynaložené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přímé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přípravou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realizací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výstavy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</w:t>
      </w:r>
      <w:r>
        <w:rPr>
          <w:sz w:val="24"/>
        </w:rPr>
        <w:t>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nevypověděla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nezavinila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autorského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25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sjednávají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ÚDU AV ČR. </w:t>
      </w:r>
      <w:proofErr w:type="spellStart"/>
      <w:r>
        <w:rPr>
          <w:sz w:val="24"/>
        </w:rPr>
        <w:t>Obě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berou</w:t>
      </w:r>
      <w:proofErr w:type="spellEnd"/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nebudou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uveřejněny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ty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informac</w:t>
      </w:r>
      <w:r>
        <w:rPr>
          <w:sz w:val="24"/>
        </w:rPr>
        <w:t>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nelze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svobodný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přístup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informacím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druhá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</w:t>
      </w:r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to ÚDU AV ČR </w:t>
      </w:r>
      <w:proofErr w:type="spellStart"/>
      <w:r>
        <w:rPr>
          <w:sz w:val="24"/>
        </w:rPr>
        <w:t>současně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uzavřením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upozornit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21"/>
        </w:tabs>
        <w:ind w:left="520" w:hanging="42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podepsána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elektronicky</w:t>
      </w:r>
      <w:proofErr w:type="spellEnd"/>
      <w:r>
        <w:rPr>
          <w:sz w:val="24"/>
        </w:rPr>
        <w:t>.</w:t>
      </w:r>
    </w:p>
    <w:p w:rsidR="00EC7D0F" w:rsidRDefault="00C80855">
      <w:pPr>
        <w:pStyle w:val="Odstavecseseznamem"/>
        <w:numPr>
          <w:ilvl w:val="1"/>
          <w:numId w:val="1"/>
        </w:numPr>
        <w:tabs>
          <w:tab w:val="left" w:pos="559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EC7D0F" w:rsidRDefault="00EC7D0F">
      <w:pPr>
        <w:pStyle w:val="Zkladntext"/>
        <w:ind w:left="0"/>
        <w:jc w:val="left"/>
        <w:rPr>
          <w:sz w:val="26"/>
        </w:rPr>
      </w:pPr>
    </w:p>
    <w:p w:rsidR="00EC7D0F" w:rsidRDefault="00EC7D0F">
      <w:pPr>
        <w:pStyle w:val="Zkladntext"/>
        <w:ind w:left="0"/>
        <w:jc w:val="left"/>
        <w:rPr>
          <w:sz w:val="22"/>
        </w:rPr>
      </w:pPr>
    </w:p>
    <w:p w:rsidR="00EC7D0F" w:rsidRDefault="00C80855">
      <w:pPr>
        <w:pStyle w:val="Zkladntext"/>
        <w:tabs>
          <w:tab w:val="left" w:pos="5057"/>
        </w:tabs>
      </w:pPr>
      <w:r>
        <w:pict>
          <v:shape id="_x0000_s1028" style="position:absolute;left:0;text-align:left;margin-left:379.1pt;margin-top:24.55pt;width:51.3pt;height:50.9pt;z-index:-4432;mso-position-horizontal-relative:page" coordorigin="7582,491" coordsize="1026,1018" o:spt="100" adj="0,,0" path="m7767,1293r-90,58l7621,1408r-30,48l7582,1492r6,13l7594,1509r69,l7666,1506r-64,l7611,1468r33,-53l7698,1354r69,-61xm8020,491r-20,13l7989,536r-4,36l7985,597r1,23l7988,645r3,26l7995,698r5,28l8006,754r7,29l8020,811r-6,29l7996,893r-28,70l7932,1046r-43,89l7842,1226r-49,86l7742,1389r-50,62l7645,1492r-43,14l7666,1506r35,-25l7748,1430r56,-76l7867,1252r10,-3l7867,1249r61,-112l7973,1047r31,-72l8025,916r14,-47l8076,869r-23,-61l8060,755r-21,l8027,709r-8,-44l8014,623r-1,-37l8013,570r3,-27l8022,516r13,-19l8060,497r-13,-5l8020,491xm8597,1247r-30,l8556,1257r,28l8567,1296r30,l8602,1290r-32,l8561,1282r,-22l8570,1252r32,l8597,1247xm8602,1252r-9,l8601,1260r,22l8593,1290r9,l8607,1285r,-28l8602,1252xm8588,1255r-17,l8571,1285r6,l8577,1274r13,l8589,1273r-3,-1l8592,1269r-15,l8577,1261r15,l8591,1259r-3,-4xm8590,1274r-7,l8585,1277r1,3l8587,1285r5,l8591,1280r,-4l8590,1274xm8592,1261r-8,l8586,1262r,6l8583,1269r9,l8592,1265r,-4xm8076,869r-37,l8084,962r47,70l8177,1081r41,34l8253,1137r-75,14l8101,1170r-79,22l7943,1218r-76,31l7877,1249r67,-22l8028,1206r88,-18l8204,1174r88,-11l8370,1163r-17,-7l8424,1152r162,l8559,1138r-39,-8l8307,1130r-24,-14l8259,1101r-23,-16l8213,1069r-51,-53l8117,953r-36,-71l8076,869xm8370,1163r-78,l8360,1194r68,23l8490,1232r52,5l8564,1236r16,-5l8591,1224r2,-4l8564,1220r-41,-4l8472,1203r-58,-21l8370,1163xm8597,1213r-8,3l8578,1220r15,l8597,1213xm8586,1152r-162,l8506,1155r68,14l8601,1202r3,-8l8607,1191r,-7l8594,1157r-8,-5xm8433,1122r-28,1l8374,1125r-67,5l8520,1130r-17,-4l8433,1122xm8070,576r-5,31l8058,647r-8,49l8039,755r21,l8061,748r5,-57l8068,634r2,-58xm8060,497r-25,l8046,504r11,12l8066,533r4,25l8074,519r-8,-20l8060,49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101.3pt;margin-top:22.65pt;width:56.45pt;height:56.05pt;z-index:-4408;mso-position-horizontal-relative:page" coordorigin="2026,453" coordsize="1129,1121" o:spt="100" adj="0,,0" path="m2229,1337r-98,64l2068,1463r-33,53l2026,1556r7,14l2039,1574r76,l2118,1572r-71,l2057,1530r37,-59l2153,1404r76,-67xm2508,453r-22,15l2474,503r-4,39l2469,570r1,26l2473,623r3,29l2481,682r5,30l2493,743r7,32l2508,806r-6,28l2486,885r-27,67l2425,1033r-41,88l2339,1213r-49,90l2239,1387r-51,74l2138,1519r-47,39l2047,1572r71,l2156,1544r53,-57l2270,1404r69,-113l2350,1288r-11,l2397,1184r45,-87l2475,1024r25,-61l2517,912r12,-43l2569,869r-25,-66l2552,744r-23,l2516,693r-9,-48l2502,599r-2,-41l2501,540r2,-29l2511,481r14,-21l2553,460r-15,-6l2508,453xm3143,1285r-32,l3098,1297r,31l3111,1339r32,l3149,1334r-35,l3104,1325r,-25l3114,1291r35,l3143,1285xm3149,1291r-9,l3148,1300r,25l3140,1334r9,l3155,1328r,-31l3149,1291xm3134,1295r-19,l3115,1328r6,l3121,1315r15,l3135,1314r-3,-1l3138,1311r-17,l3121,1302r17,l3137,1299r-3,-4xm3136,1315r-8,l3130,1319r2,3l3133,1328r5,l3137,1322r,-4l3136,1315xm3138,1302r-9,l3132,1303r,7l3128,1311r10,l3138,1306r,-4xm2569,869r-40,l2578,972r52,77l2681,1103r46,37l2765,1165r-68,13l2626,1194r-72,18l2481,1234r-71,25l2339,1288r11,l2410,1269r76,-21l2565,1231r81,-16l2727,1203r80,-10l2894,1193r-19,-8l2953,1182r178,l3101,1166r-43,-9l2825,1157r-27,-16l2772,1125r-26,-17l2721,1090r-57,-58l2615,962r-40,-78l2569,869xm2894,1193r-87,l2883,1228r74,25l3026,1269r57,6l3107,1274r18,-5l3137,1261r2,-4l3107,1257r-45,-5l3006,1237r-64,-23l2894,1193xm3143,1249r-8,3l3122,1257r17,l3143,1249xm3131,1182r-178,l3044,1184r74,16l3148,1236r3,-8l3155,1224r,-8l3141,1187r-10,-5xm2963,1149r-31,l2898,1151r-73,6l3058,1157r-17,-4l2963,1149xm2564,547r-7,34l2550,625r-9,54l2529,744r23,l2553,736r6,-63l2561,611r3,-64xm2553,460r-28,l2537,468r12,12l2558,499r6,28l2568,484r-10,-22l2553,460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2"/>
        </w:rPr>
        <w:t xml:space="preserve"> </w:t>
      </w:r>
      <w:proofErr w:type="spellStart"/>
      <w:r>
        <w:t>Praze</w:t>
      </w:r>
      <w:proofErr w:type="spellEnd"/>
      <w:r>
        <w:tab/>
        <w:t>V</w:t>
      </w:r>
      <w:r>
        <w:rPr>
          <w:spacing w:val="-4"/>
        </w:rPr>
        <w:t xml:space="preserve"> </w:t>
      </w:r>
      <w:proofErr w:type="spellStart"/>
      <w:r>
        <w:t>Lounech</w:t>
      </w:r>
      <w:proofErr w:type="spellEnd"/>
    </w:p>
    <w:p w:rsidR="00EC7D0F" w:rsidRDefault="00EC7D0F">
      <w:pPr>
        <w:pStyle w:val="Zkladntext"/>
        <w:spacing w:before="9"/>
        <w:ind w:left="0"/>
        <w:jc w:val="left"/>
        <w:rPr>
          <w:sz w:val="8"/>
        </w:rPr>
      </w:pPr>
    </w:p>
    <w:p w:rsidR="00EC7D0F" w:rsidRDefault="00EC7D0F">
      <w:pPr>
        <w:rPr>
          <w:sz w:val="8"/>
        </w:rPr>
        <w:sectPr w:rsidR="00EC7D0F">
          <w:pgSz w:w="11910" w:h="16840"/>
          <w:pgMar w:top="1340" w:right="960" w:bottom="280" w:left="980" w:header="708" w:footer="708" w:gutter="0"/>
          <w:cols w:space="708"/>
        </w:sectPr>
      </w:pPr>
    </w:p>
    <w:p w:rsidR="00EC7D0F" w:rsidRDefault="00C80855" w:rsidP="00C80855">
      <w:pPr>
        <w:spacing w:before="142" w:line="312" w:lineRule="exact"/>
        <w:ind w:left="165" w:right="-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05pt;margin-top:8.95pt;width:99.5pt;height:20.45pt;z-index:1072;mso-position-horizontal-relative:page" filled="f" stroked="f">
            <v:textbox inset="0,0,0,0">
              <w:txbxContent>
                <w:p w:rsidR="00EC7D0F" w:rsidRDefault="00EC7D0F">
                  <w:pPr>
                    <w:spacing w:line="409" w:lineRule="exact"/>
                    <w:rPr>
                      <w:rFonts w:ascii="Calibri" w:hAnsi="Calibri"/>
                      <w:sz w:val="3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</w:p>
    <w:sectPr w:rsidR="00EC7D0F">
      <w:type w:val="continuous"/>
      <w:pgSz w:w="11910" w:h="16840"/>
      <w:pgMar w:top="134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B89"/>
    <w:multiLevelType w:val="multilevel"/>
    <w:tmpl w:val="8340BD42"/>
    <w:lvl w:ilvl="0">
      <w:start w:val="2"/>
      <w:numFmt w:val="decimal"/>
      <w:lvlText w:val="%1"/>
      <w:lvlJc w:val="left"/>
      <w:pPr>
        <w:ind w:left="520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4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09" w:hanging="421"/>
      </w:pPr>
      <w:rPr>
        <w:rFonts w:hint="default"/>
      </w:rPr>
    </w:lvl>
    <w:lvl w:ilvl="3">
      <w:numFmt w:val="bullet"/>
      <w:lvlText w:val="•"/>
      <w:lvlJc w:val="left"/>
      <w:pPr>
        <w:ind w:left="3353" w:hanging="421"/>
      </w:pPr>
      <w:rPr>
        <w:rFonts w:hint="default"/>
      </w:rPr>
    </w:lvl>
    <w:lvl w:ilvl="4">
      <w:numFmt w:val="bullet"/>
      <w:lvlText w:val="•"/>
      <w:lvlJc w:val="left"/>
      <w:pPr>
        <w:ind w:left="4298" w:hanging="421"/>
      </w:pPr>
      <w:rPr>
        <w:rFonts w:hint="default"/>
      </w:rPr>
    </w:lvl>
    <w:lvl w:ilvl="5">
      <w:numFmt w:val="bullet"/>
      <w:lvlText w:val="•"/>
      <w:lvlJc w:val="left"/>
      <w:pPr>
        <w:ind w:left="5243" w:hanging="421"/>
      </w:pPr>
      <w:rPr>
        <w:rFonts w:hint="default"/>
      </w:rPr>
    </w:lvl>
    <w:lvl w:ilvl="6">
      <w:numFmt w:val="bullet"/>
      <w:lvlText w:val="•"/>
      <w:lvlJc w:val="left"/>
      <w:pPr>
        <w:ind w:left="6187" w:hanging="421"/>
      </w:pPr>
      <w:rPr>
        <w:rFonts w:hint="default"/>
      </w:rPr>
    </w:lvl>
    <w:lvl w:ilvl="7">
      <w:numFmt w:val="bullet"/>
      <w:lvlText w:val="•"/>
      <w:lvlJc w:val="left"/>
      <w:pPr>
        <w:ind w:left="7132" w:hanging="421"/>
      </w:pPr>
      <w:rPr>
        <w:rFonts w:hint="default"/>
      </w:rPr>
    </w:lvl>
    <w:lvl w:ilvl="8">
      <w:numFmt w:val="bullet"/>
      <w:lvlText w:val="•"/>
      <w:lvlJc w:val="left"/>
      <w:pPr>
        <w:ind w:left="8077" w:hanging="421"/>
      </w:pPr>
      <w:rPr>
        <w:rFonts w:hint="default"/>
      </w:rPr>
    </w:lvl>
  </w:abstractNum>
  <w:abstractNum w:abstractNumId="1" w15:restartNumberingAfterBreak="0">
    <w:nsid w:val="47817057"/>
    <w:multiLevelType w:val="multilevel"/>
    <w:tmpl w:val="3FAE648E"/>
    <w:lvl w:ilvl="0">
      <w:start w:val="4"/>
      <w:numFmt w:val="decimal"/>
      <w:lvlText w:val="%1"/>
      <w:lvlJc w:val="left"/>
      <w:pPr>
        <w:ind w:left="100" w:hanging="4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5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55"/>
      </w:pPr>
      <w:rPr>
        <w:rFonts w:hint="default"/>
      </w:rPr>
    </w:lvl>
    <w:lvl w:ilvl="3">
      <w:numFmt w:val="bullet"/>
      <w:lvlText w:val="•"/>
      <w:lvlJc w:val="left"/>
      <w:pPr>
        <w:ind w:left="3059" w:hanging="455"/>
      </w:pPr>
      <w:rPr>
        <w:rFonts w:hint="default"/>
      </w:rPr>
    </w:lvl>
    <w:lvl w:ilvl="4">
      <w:numFmt w:val="bullet"/>
      <w:lvlText w:val="•"/>
      <w:lvlJc w:val="left"/>
      <w:pPr>
        <w:ind w:left="4046" w:hanging="455"/>
      </w:pPr>
      <w:rPr>
        <w:rFonts w:hint="default"/>
      </w:rPr>
    </w:lvl>
    <w:lvl w:ilvl="5">
      <w:numFmt w:val="bullet"/>
      <w:lvlText w:val="•"/>
      <w:lvlJc w:val="left"/>
      <w:pPr>
        <w:ind w:left="5033" w:hanging="455"/>
      </w:pPr>
      <w:rPr>
        <w:rFonts w:hint="default"/>
      </w:rPr>
    </w:lvl>
    <w:lvl w:ilvl="6">
      <w:numFmt w:val="bullet"/>
      <w:lvlText w:val="•"/>
      <w:lvlJc w:val="left"/>
      <w:pPr>
        <w:ind w:left="6019" w:hanging="455"/>
      </w:pPr>
      <w:rPr>
        <w:rFonts w:hint="default"/>
      </w:rPr>
    </w:lvl>
    <w:lvl w:ilvl="7">
      <w:numFmt w:val="bullet"/>
      <w:lvlText w:val="•"/>
      <w:lvlJc w:val="left"/>
      <w:pPr>
        <w:ind w:left="7006" w:hanging="455"/>
      </w:pPr>
      <w:rPr>
        <w:rFonts w:hint="default"/>
      </w:rPr>
    </w:lvl>
    <w:lvl w:ilvl="8">
      <w:numFmt w:val="bullet"/>
      <w:lvlText w:val="•"/>
      <w:lvlJc w:val="left"/>
      <w:pPr>
        <w:ind w:left="7993" w:hanging="455"/>
      </w:pPr>
      <w:rPr>
        <w:rFonts w:hint="default"/>
      </w:rPr>
    </w:lvl>
  </w:abstractNum>
  <w:abstractNum w:abstractNumId="2" w15:restartNumberingAfterBreak="0">
    <w:nsid w:val="4AF90935"/>
    <w:multiLevelType w:val="multilevel"/>
    <w:tmpl w:val="10DAC498"/>
    <w:lvl w:ilvl="0">
      <w:start w:val="1"/>
      <w:numFmt w:val="decimal"/>
      <w:lvlText w:val="%1"/>
      <w:lvlJc w:val="left"/>
      <w:pPr>
        <w:ind w:left="100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68"/>
      </w:pPr>
      <w:rPr>
        <w:rFonts w:hint="default"/>
      </w:rPr>
    </w:lvl>
    <w:lvl w:ilvl="3">
      <w:numFmt w:val="bullet"/>
      <w:lvlText w:val="•"/>
      <w:lvlJc w:val="left"/>
      <w:pPr>
        <w:ind w:left="3059" w:hanging="468"/>
      </w:pPr>
      <w:rPr>
        <w:rFonts w:hint="default"/>
      </w:rPr>
    </w:lvl>
    <w:lvl w:ilvl="4">
      <w:numFmt w:val="bullet"/>
      <w:lvlText w:val="•"/>
      <w:lvlJc w:val="left"/>
      <w:pPr>
        <w:ind w:left="4046" w:hanging="468"/>
      </w:pPr>
      <w:rPr>
        <w:rFonts w:hint="default"/>
      </w:rPr>
    </w:lvl>
    <w:lvl w:ilvl="5">
      <w:numFmt w:val="bullet"/>
      <w:lvlText w:val="•"/>
      <w:lvlJc w:val="left"/>
      <w:pPr>
        <w:ind w:left="5033" w:hanging="468"/>
      </w:pPr>
      <w:rPr>
        <w:rFonts w:hint="default"/>
      </w:rPr>
    </w:lvl>
    <w:lvl w:ilvl="6">
      <w:numFmt w:val="bullet"/>
      <w:lvlText w:val="•"/>
      <w:lvlJc w:val="left"/>
      <w:pPr>
        <w:ind w:left="6019" w:hanging="468"/>
      </w:pPr>
      <w:rPr>
        <w:rFonts w:hint="default"/>
      </w:rPr>
    </w:lvl>
    <w:lvl w:ilvl="7">
      <w:numFmt w:val="bullet"/>
      <w:lvlText w:val="•"/>
      <w:lvlJc w:val="left"/>
      <w:pPr>
        <w:ind w:left="7006" w:hanging="468"/>
      </w:pPr>
      <w:rPr>
        <w:rFonts w:hint="default"/>
      </w:rPr>
    </w:lvl>
    <w:lvl w:ilvl="8">
      <w:numFmt w:val="bullet"/>
      <w:lvlText w:val="•"/>
      <w:lvlJc w:val="left"/>
      <w:pPr>
        <w:ind w:left="7993" w:hanging="468"/>
      </w:pPr>
      <w:rPr>
        <w:rFonts w:hint="default"/>
      </w:rPr>
    </w:lvl>
  </w:abstractNum>
  <w:abstractNum w:abstractNumId="3" w15:restartNumberingAfterBreak="0">
    <w:nsid w:val="5244514C"/>
    <w:multiLevelType w:val="multilevel"/>
    <w:tmpl w:val="AE7C417E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26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852" w:hanging="246"/>
      </w:pPr>
      <w:rPr>
        <w:rFonts w:hint="default"/>
      </w:rPr>
    </w:lvl>
    <w:lvl w:ilvl="4">
      <w:numFmt w:val="bullet"/>
      <w:lvlText w:val="•"/>
      <w:lvlJc w:val="left"/>
      <w:pPr>
        <w:ind w:left="3868" w:hanging="246"/>
      </w:pPr>
      <w:rPr>
        <w:rFonts w:hint="default"/>
      </w:rPr>
    </w:lvl>
    <w:lvl w:ilvl="5">
      <w:numFmt w:val="bullet"/>
      <w:lvlText w:val="•"/>
      <w:lvlJc w:val="left"/>
      <w:pPr>
        <w:ind w:left="4885" w:hanging="246"/>
      </w:pPr>
      <w:rPr>
        <w:rFonts w:hint="default"/>
      </w:rPr>
    </w:lvl>
    <w:lvl w:ilvl="6">
      <w:numFmt w:val="bullet"/>
      <w:lvlText w:val="•"/>
      <w:lvlJc w:val="left"/>
      <w:pPr>
        <w:ind w:left="5901" w:hanging="246"/>
      </w:pPr>
      <w:rPr>
        <w:rFonts w:hint="default"/>
      </w:rPr>
    </w:lvl>
    <w:lvl w:ilvl="7">
      <w:numFmt w:val="bullet"/>
      <w:lvlText w:val="•"/>
      <w:lvlJc w:val="left"/>
      <w:pPr>
        <w:ind w:left="6917" w:hanging="246"/>
      </w:pPr>
      <w:rPr>
        <w:rFonts w:hint="default"/>
      </w:rPr>
    </w:lvl>
    <w:lvl w:ilvl="8">
      <w:numFmt w:val="bullet"/>
      <w:lvlText w:val="•"/>
      <w:lvlJc w:val="left"/>
      <w:pPr>
        <w:ind w:left="7933" w:hanging="246"/>
      </w:pPr>
      <w:rPr>
        <w:rFonts w:hint="default"/>
      </w:rPr>
    </w:lvl>
  </w:abstractNum>
  <w:abstractNum w:abstractNumId="4" w15:restartNumberingAfterBreak="0">
    <w:nsid w:val="5EED7391"/>
    <w:multiLevelType w:val="hybridMultilevel"/>
    <w:tmpl w:val="A55E954C"/>
    <w:lvl w:ilvl="0" w:tplc="0DE8C868">
      <w:start w:val="1"/>
      <w:numFmt w:val="lowerLetter"/>
      <w:lvlText w:val="%1)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CB6450A0">
      <w:numFmt w:val="bullet"/>
      <w:lvlText w:val="•"/>
      <w:lvlJc w:val="left"/>
      <w:pPr>
        <w:ind w:left="1086" w:hanging="709"/>
      </w:pPr>
      <w:rPr>
        <w:rFonts w:hint="default"/>
      </w:rPr>
    </w:lvl>
    <w:lvl w:ilvl="2" w:tplc="6480E252">
      <w:numFmt w:val="bullet"/>
      <w:lvlText w:val="•"/>
      <w:lvlJc w:val="left"/>
      <w:pPr>
        <w:ind w:left="2073" w:hanging="709"/>
      </w:pPr>
      <w:rPr>
        <w:rFonts w:hint="default"/>
      </w:rPr>
    </w:lvl>
    <w:lvl w:ilvl="3" w:tplc="0D32B672">
      <w:numFmt w:val="bullet"/>
      <w:lvlText w:val="•"/>
      <w:lvlJc w:val="left"/>
      <w:pPr>
        <w:ind w:left="3059" w:hanging="709"/>
      </w:pPr>
      <w:rPr>
        <w:rFonts w:hint="default"/>
      </w:rPr>
    </w:lvl>
    <w:lvl w:ilvl="4" w:tplc="D3200F72">
      <w:numFmt w:val="bullet"/>
      <w:lvlText w:val="•"/>
      <w:lvlJc w:val="left"/>
      <w:pPr>
        <w:ind w:left="4046" w:hanging="709"/>
      </w:pPr>
      <w:rPr>
        <w:rFonts w:hint="default"/>
      </w:rPr>
    </w:lvl>
    <w:lvl w:ilvl="5" w:tplc="DEEA732C">
      <w:numFmt w:val="bullet"/>
      <w:lvlText w:val="•"/>
      <w:lvlJc w:val="left"/>
      <w:pPr>
        <w:ind w:left="5033" w:hanging="709"/>
      </w:pPr>
      <w:rPr>
        <w:rFonts w:hint="default"/>
      </w:rPr>
    </w:lvl>
    <w:lvl w:ilvl="6" w:tplc="D01C54C4">
      <w:numFmt w:val="bullet"/>
      <w:lvlText w:val="•"/>
      <w:lvlJc w:val="left"/>
      <w:pPr>
        <w:ind w:left="6019" w:hanging="709"/>
      </w:pPr>
      <w:rPr>
        <w:rFonts w:hint="default"/>
      </w:rPr>
    </w:lvl>
    <w:lvl w:ilvl="7" w:tplc="7092FE14">
      <w:numFmt w:val="bullet"/>
      <w:lvlText w:val="•"/>
      <w:lvlJc w:val="left"/>
      <w:pPr>
        <w:ind w:left="7006" w:hanging="709"/>
      </w:pPr>
      <w:rPr>
        <w:rFonts w:hint="default"/>
      </w:rPr>
    </w:lvl>
    <w:lvl w:ilvl="8" w:tplc="DBF844C8">
      <w:numFmt w:val="bullet"/>
      <w:lvlText w:val="•"/>
      <w:lvlJc w:val="left"/>
      <w:pPr>
        <w:ind w:left="7993" w:hanging="709"/>
      </w:pPr>
      <w:rPr>
        <w:rFonts w:hint="default"/>
      </w:rPr>
    </w:lvl>
  </w:abstractNum>
  <w:abstractNum w:abstractNumId="5" w15:restartNumberingAfterBreak="0">
    <w:nsid w:val="63FD3F25"/>
    <w:multiLevelType w:val="hybridMultilevel"/>
    <w:tmpl w:val="827C3BB4"/>
    <w:lvl w:ilvl="0" w:tplc="CCEE7E6E">
      <w:start w:val="1"/>
      <w:numFmt w:val="lowerLetter"/>
      <w:lvlText w:val="%1)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9C5E5E">
      <w:numFmt w:val="bullet"/>
      <w:lvlText w:val="•"/>
      <w:lvlJc w:val="left"/>
      <w:pPr>
        <w:ind w:left="1086" w:hanging="709"/>
      </w:pPr>
      <w:rPr>
        <w:rFonts w:hint="default"/>
      </w:rPr>
    </w:lvl>
    <w:lvl w:ilvl="2" w:tplc="D5DCF304">
      <w:numFmt w:val="bullet"/>
      <w:lvlText w:val="•"/>
      <w:lvlJc w:val="left"/>
      <w:pPr>
        <w:ind w:left="2073" w:hanging="709"/>
      </w:pPr>
      <w:rPr>
        <w:rFonts w:hint="default"/>
      </w:rPr>
    </w:lvl>
    <w:lvl w:ilvl="3" w:tplc="A07EAAA4">
      <w:numFmt w:val="bullet"/>
      <w:lvlText w:val="•"/>
      <w:lvlJc w:val="left"/>
      <w:pPr>
        <w:ind w:left="3059" w:hanging="709"/>
      </w:pPr>
      <w:rPr>
        <w:rFonts w:hint="default"/>
      </w:rPr>
    </w:lvl>
    <w:lvl w:ilvl="4" w:tplc="F3DCE044">
      <w:numFmt w:val="bullet"/>
      <w:lvlText w:val="•"/>
      <w:lvlJc w:val="left"/>
      <w:pPr>
        <w:ind w:left="4046" w:hanging="709"/>
      </w:pPr>
      <w:rPr>
        <w:rFonts w:hint="default"/>
      </w:rPr>
    </w:lvl>
    <w:lvl w:ilvl="5" w:tplc="4784010E">
      <w:numFmt w:val="bullet"/>
      <w:lvlText w:val="•"/>
      <w:lvlJc w:val="left"/>
      <w:pPr>
        <w:ind w:left="5033" w:hanging="709"/>
      </w:pPr>
      <w:rPr>
        <w:rFonts w:hint="default"/>
      </w:rPr>
    </w:lvl>
    <w:lvl w:ilvl="6" w:tplc="EBE65900">
      <w:numFmt w:val="bullet"/>
      <w:lvlText w:val="•"/>
      <w:lvlJc w:val="left"/>
      <w:pPr>
        <w:ind w:left="6019" w:hanging="709"/>
      </w:pPr>
      <w:rPr>
        <w:rFonts w:hint="default"/>
      </w:rPr>
    </w:lvl>
    <w:lvl w:ilvl="7" w:tplc="C6D453A0">
      <w:numFmt w:val="bullet"/>
      <w:lvlText w:val="•"/>
      <w:lvlJc w:val="left"/>
      <w:pPr>
        <w:ind w:left="7006" w:hanging="709"/>
      </w:pPr>
      <w:rPr>
        <w:rFonts w:hint="default"/>
      </w:rPr>
    </w:lvl>
    <w:lvl w:ilvl="8" w:tplc="8F6E0360">
      <w:numFmt w:val="bullet"/>
      <w:lvlText w:val="•"/>
      <w:lvlJc w:val="left"/>
      <w:pPr>
        <w:ind w:left="7993" w:hanging="709"/>
      </w:pPr>
      <w:rPr>
        <w:rFonts w:hint="default"/>
      </w:rPr>
    </w:lvl>
  </w:abstractNum>
  <w:abstractNum w:abstractNumId="6" w15:restartNumberingAfterBreak="0">
    <w:nsid w:val="78A774FE"/>
    <w:multiLevelType w:val="hybridMultilevel"/>
    <w:tmpl w:val="1D14DC58"/>
    <w:lvl w:ilvl="0" w:tplc="AACAAE7C">
      <w:start w:val="1"/>
      <w:numFmt w:val="lowerLetter"/>
      <w:lvlText w:val="%1)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3E08114C">
      <w:numFmt w:val="bullet"/>
      <w:lvlText w:val="•"/>
      <w:lvlJc w:val="left"/>
      <w:pPr>
        <w:ind w:left="1086" w:hanging="709"/>
      </w:pPr>
      <w:rPr>
        <w:rFonts w:hint="default"/>
      </w:rPr>
    </w:lvl>
    <w:lvl w:ilvl="2" w:tplc="02EEC9B8">
      <w:numFmt w:val="bullet"/>
      <w:lvlText w:val="•"/>
      <w:lvlJc w:val="left"/>
      <w:pPr>
        <w:ind w:left="2073" w:hanging="709"/>
      </w:pPr>
      <w:rPr>
        <w:rFonts w:hint="default"/>
      </w:rPr>
    </w:lvl>
    <w:lvl w:ilvl="3" w:tplc="173810D0">
      <w:numFmt w:val="bullet"/>
      <w:lvlText w:val="•"/>
      <w:lvlJc w:val="left"/>
      <w:pPr>
        <w:ind w:left="3059" w:hanging="709"/>
      </w:pPr>
      <w:rPr>
        <w:rFonts w:hint="default"/>
      </w:rPr>
    </w:lvl>
    <w:lvl w:ilvl="4" w:tplc="82BE22D8">
      <w:numFmt w:val="bullet"/>
      <w:lvlText w:val="•"/>
      <w:lvlJc w:val="left"/>
      <w:pPr>
        <w:ind w:left="4046" w:hanging="709"/>
      </w:pPr>
      <w:rPr>
        <w:rFonts w:hint="default"/>
      </w:rPr>
    </w:lvl>
    <w:lvl w:ilvl="5" w:tplc="FCC248D2">
      <w:numFmt w:val="bullet"/>
      <w:lvlText w:val="•"/>
      <w:lvlJc w:val="left"/>
      <w:pPr>
        <w:ind w:left="5033" w:hanging="709"/>
      </w:pPr>
      <w:rPr>
        <w:rFonts w:hint="default"/>
      </w:rPr>
    </w:lvl>
    <w:lvl w:ilvl="6" w:tplc="03B0B766">
      <w:numFmt w:val="bullet"/>
      <w:lvlText w:val="•"/>
      <w:lvlJc w:val="left"/>
      <w:pPr>
        <w:ind w:left="6019" w:hanging="709"/>
      </w:pPr>
      <w:rPr>
        <w:rFonts w:hint="default"/>
      </w:rPr>
    </w:lvl>
    <w:lvl w:ilvl="7" w:tplc="71BE25D4">
      <w:numFmt w:val="bullet"/>
      <w:lvlText w:val="•"/>
      <w:lvlJc w:val="left"/>
      <w:pPr>
        <w:ind w:left="7006" w:hanging="709"/>
      </w:pPr>
      <w:rPr>
        <w:rFonts w:hint="default"/>
      </w:rPr>
    </w:lvl>
    <w:lvl w:ilvl="8" w:tplc="A6C435EA">
      <w:numFmt w:val="bullet"/>
      <w:lvlText w:val="•"/>
      <w:lvlJc w:val="left"/>
      <w:pPr>
        <w:ind w:left="7993" w:hanging="70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C7D0F"/>
    <w:rsid w:val="00C80855"/>
    <w:rsid w:val="00E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A57B15"/>
  <w15:docId w15:val="{611400C0-45E0-4F55-B84D-62AAB650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85" w:lineRule="exact"/>
      <w:outlineLvl w:val="0"/>
    </w:pPr>
    <w:rPr>
      <w:rFonts w:ascii="Calibri" w:eastAsia="Calibri" w:hAnsi="Calibri" w:cs="Calibri"/>
      <w:sz w:val="34"/>
      <w:szCs w:val="34"/>
    </w:rPr>
  </w:style>
  <w:style w:type="paragraph" w:styleId="Nadpis2">
    <w:name w:val="heading 2"/>
    <w:basedOn w:val="Normln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</dc:creator>
  <cp:lastModifiedBy>Kamila Ramešová</cp:lastModifiedBy>
  <cp:revision>2</cp:revision>
  <dcterms:created xsi:type="dcterms:W3CDTF">2024-01-04T09:47:00Z</dcterms:created>
  <dcterms:modified xsi:type="dcterms:W3CDTF">2024-01-04T08:48:00Z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</Properties>
</file>