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M.I.P. Group,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25666703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Beranových 667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19900 Praha Letňany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INOB201701461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Elmia Welding &amp; Joining Technology 2018/112N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Elmia Welding &amp; Joining Technology 2018/112N.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Elmia Welding &amp; Joining Technology 2018/112N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15.5.2018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Jőnkőping ,  Jőnkőping, SE - Švédsko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