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9FB2" w14:textId="77777777" w:rsidR="003C2AF8" w:rsidRPr="003C2AF8" w:rsidRDefault="00875822" w:rsidP="003C2AF8">
      <w:pPr>
        <w:pStyle w:val="cpNzevsmlouvy"/>
        <w:spacing w:after="0"/>
        <w:rPr>
          <w:color w:val="FFFFFF" w:themeColor="background1"/>
        </w:rPr>
      </w:pPr>
      <w:r w:rsidRPr="003C2AF8">
        <w:rPr>
          <w:color w:val="FFFFFF" w:themeColor="background1"/>
        </w:rPr>
        <w:t>.</w:t>
      </w:r>
    </w:p>
    <w:p w14:paraId="4A3F64C7" w14:textId="6A1A1B39" w:rsidR="003C2AF8" w:rsidRPr="00E001D0" w:rsidRDefault="00875822" w:rsidP="007F73D6">
      <w:pPr>
        <w:pStyle w:val="cpNzevsmlouvy"/>
        <w:spacing w:after="0"/>
      </w:pPr>
      <w:r>
        <w:t xml:space="preserve">Dodatek č. </w:t>
      </w:r>
      <w:r>
        <w:fldChar w:fldCharType="begin">
          <w:ffData>
            <w:name w:val=""/>
            <w:enabled/>
            <w:calcOnExit w:val="0"/>
            <w:textInput>
              <w:default w:val="cislododatku"/>
              <w:format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t>2</w:t>
      </w:r>
      <w:r>
        <w:fldChar w:fldCharType="end"/>
      </w:r>
      <w:r>
        <w:t xml:space="preserve"> k </w:t>
      </w:r>
      <w:r w:rsidRPr="00E001D0">
        <w:fldChar w:fldCharType="begin">
          <w:ffData>
            <w:name w:val=""/>
            <w:enabled/>
            <w:calcOnExit w:val="0"/>
            <w:textInput>
              <w:default w:val="#ng_nazevsmlouvy#"/>
              <w:format w:val="Number"/>
            </w:textInput>
          </w:ffData>
        </w:fldChar>
      </w:r>
      <w:r w:rsidRPr="00E001D0">
        <w:instrText xml:space="preserve"> FORMTEXT </w:instrText>
      </w:r>
      <w:r w:rsidRPr="00E001D0">
        <w:fldChar w:fldCharType="separate"/>
      </w:r>
      <w:r w:rsidRPr="00E001D0">
        <w:t>Dohod</w:t>
      </w:r>
      <w:r>
        <w:t>ě</w:t>
      </w:r>
      <w:r w:rsidRPr="00E001D0">
        <w:t xml:space="preserve"> o poskytování služby Svoz a rozvoz poštovních zásilek</w:t>
      </w:r>
      <w:r w:rsidRPr="00E001D0">
        <w:fldChar w:fldCharType="end"/>
      </w:r>
    </w:p>
    <w:p w14:paraId="7D09FC88" w14:textId="3719280B" w:rsidR="001D3429" w:rsidRDefault="00875822" w:rsidP="001D3429">
      <w:pPr>
        <w:pStyle w:val="cpNzevsmlouvy"/>
        <w:spacing w:after="0"/>
      </w:pPr>
      <w:r>
        <w:t xml:space="preserve">Číslo </w:t>
      </w:r>
      <w:r w:rsidR="00722FE6" w:rsidRPr="00722FE6">
        <w:rPr>
          <w:highlight w:val="lightGray"/>
        </w:rPr>
        <w:t>982807-1510/2013</w:t>
      </w:r>
      <w:r w:rsidR="00722FE6">
        <w:t xml:space="preserve"> </w:t>
      </w:r>
    </w:p>
    <w:p w14:paraId="0329F03C" w14:textId="77777777" w:rsidR="001D3429" w:rsidRDefault="00875822" w:rsidP="001D3429">
      <w:pPr>
        <w:pStyle w:val="cpNzevsmlouvy"/>
        <w:spacing w:after="0"/>
        <w:rPr>
          <w:color w:val="FFFFFF" w:themeColor="background1"/>
        </w:rPr>
      </w:pPr>
      <w:r w:rsidRPr="006C235A">
        <w:rPr>
          <w:color w:val="FFFFFF" w:themeColor="background1"/>
        </w:rPr>
        <w:t>.</w:t>
      </w: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2C3AD3" w14:paraId="1F30A19B" w14:textId="77777777" w:rsidTr="000A7771">
        <w:tc>
          <w:tcPr>
            <w:tcW w:w="3573" w:type="dxa"/>
          </w:tcPr>
          <w:p w14:paraId="7AF1E6F7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</w:pPr>
            <w:r w:rsidRPr="00E001D0">
              <w:rPr>
                <w:b/>
              </w:rPr>
              <w:t>Česká pošta, s.p.</w:t>
            </w:r>
          </w:p>
        </w:tc>
        <w:tc>
          <w:tcPr>
            <w:tcW w:w="6276" w:type="dxa"/>
          </w:tcPr>
          <w:p w14:paraId="2D368247" w14:textId="77777777" w:rsidR="002C3AD3" w:rsidRDefault="002C3AD3"/>
        </w:tc>
      </w:tr>
      <w:tr w:rsidR="002C3AD3" w14:paraId="2A794627" w14:textId="77777777" w:rsidTr="000A7771">
        <w:tc>
          <w:tcPr>
            <w:tcW w:w="3573" w:type="dxa"/>
          </w:tcPr>
          <w:p w14:paraId="27B4798C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14:paraId="51A7B937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Politických vězňů 909/4, 225 99 Praha 1</w:t>
            </w:r>
          </w:p>
        </w:tc>
      </w:tr>
      <w:tr w:rsidR="002C3AD3" w14:paraId="721DE9A7" w14:textId="77777777" w:rsidTr="000A7771">
        <w:tc>
          <w:tcPr>
            <w:tcW w:w="3573" w:type="dxa"/>
          </w:tcPr>
          <w:p w14:paraId="09851179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14:paraId="50FC177D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47114983</w:t>
            </w:r>
          </w:p>
        </w:tc>
      </w:tr>
      <w:tr w:rsidR="002C3AD3" w14:paraId="56FF1AC0" w14:textId="77777777" w:rsidTr="000A7771">
        <w:tc>
          <w:tcPr>
            <w:tcW w:w="3573" w:type="dxa"/>
          </w:tcPr>
          <w:p w14:paraId="0099A44F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14:paraId="214108E6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CZ47114983</w:t>
            </w:r>
          </w:p>
        </w:tc>
      </w:tr>
      <w:tr w:rsidR="002C3AD3" w14:paraId="528D0DCB" w14:textId="77777777" w:rsidTr="000A7771">
        <w:tc>
          <w:tcPr>
            <w:tcW w:w="3573" w:type="dxa"/>
          </w:tcPr>
          <w:p w14:paraId="13B209C3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14:paraId="302D3D15" w14:textId="6D7B5537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84906">
              <w:rPr>
                <w:highlight w:val="lightGray"/>
              </w:rPr>
              <w:t>Daniel Krejčí</w:t>
            </w:r>
            <w:r w:rsidR="00875822" w:rsidRPr="00E001D0">
              <w:rPr>
                <w:lang w:eastAsia="cs-CZ"/>
              </w:rPr>
              <w:t xml:space="preserve">, </w:t>
            </w:r>
            <w:r w:rsidR="00875822" w:rsidRPr="00E001D0"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 w:rsidR="00875822" w:rsidRPr="00E001D0">
              <w:instrText xml:space="preserve"> FORMTEXT </w:instrText>
            </w:r>
            <w:r w:rsidR="00875822" w:rsidRPr="00E001D0">
              <w:fldChar w:fldCharType="separate"/>
            </w:r>
            <w:r w:rsidR="00875822" w:rsidRPr="00E001D0">
              <w:t>obchodní ředitel regionu,</w:t>
            </w:r>
            <w:r w:rsidR="00875822" w:rsidRPr="00E001D0">
              <w:fldChar w:fldCharType="end"/>
            </w:r>
            <w:r w:rsidR="00875822" w:rsidRPr="00E001D0">
              <w:rPr>
                <w:lang w:eastAsia="cs-CZ"/>
              </w:rPr>
              <w:t xml:space="preserve">  </w:t>
            </w:r>
            <w:r w:rsidR="00875822" w:rsidRPr="00E001D0"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 w:rsidR="00875822" w:rsidRPr="00E001D0">
              <w:instrText xml:space="preserve"> FORMTEXT </w:instrText>
            </w:r>
            <w:r w:rsidR="00875822" w:rsidRPr="00E001D0">
              <w:fldChar w:fldCharType="separate"/>
            </w:r>
            <w:r w:rsidR="00875822" w:rsidRPr="00E001D0">
              <w:t xml:space="preserve">firemní obchod PH a </w:t>
            </w:r>
            <w:proofErr w:type="spellStart"/>
            <w:r w:rsidR="00875822" w:rsidRPr="00E001D0">
              <w:t>S</w:t>
            </w:r>
            <w:r>
              <w:t>t</w:t>
            </w:r>
            <w:r w:rsidR="00875822" w:rsidRPr="00E001D0">
              <w:t>Č</w:t>
            </w:r>
            <w:proofErr w:type="spellEnd"/>
            <w:r w:rsidR="00875822" w:rsidRPr="00E001D0">
              <w:fldChar w:fldCharType="end"/>
            </w:r>
          </w:p>
        </w:tc>
      </w:tr>
      <w:tr w:rsidR="002C3AD3" w14:paraId="1F553DC3" w14:textId="77777777" w:rsidTr="000A7771">
        <w:tc>
          <w:tcPr>
            <w:tcW w:w="3573" w:type="dxa"/>
          </w:tcPr>
          <w:p w14:paraId="0857034F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14:paraId="0D26AA05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Městského soudu v Praze</w:t>
            </w:r>
            <w:r w:rsidRPr="00E001D0">
              <w:rPr>
                <w:rStyle w:val="platne1"/>
                <w:lang w:eastAsia="cs-CZ"/>
              </w:rPr>
              <w:t>, oddíl A, vložka 7565</w:t>
            </w:r>
          </w:p>
        </w:tc>
      </w:tr>
      <w:tr w:rsidR="002C3AD3" w14:paraId="69FA44FA" w14:textId="77777777" w:rsidTr="000A7771">
        <w:tc>
          <w:tcPr>
            <w:tcW w:w="3573" w:type="dxa"/>
          </w:tcPr>
          <w:p w14:paraId="242F214E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14:paraId="3F1D8168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Československá obchodní banka, a.s.</w:t>
            </w:r>
          </w:p>
        </w:tc>
      </w:tr>
      <w:tr w:rsidR="00875822" w14:paraId="3E91FE06" w14:textId="77777777" w:rsidTr="000A7771">
        <w:tc>
          <w:tcPr>
            <w:tcW w:w="3573" w:type="dxa"/>
          </w:tcPr>
          <w:p w14:paraId="41350EA0" w14:textId="77777777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14:paraId="2B7EE7DE" w14:textId="4CF367BE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bankovniucet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134204869/0300</w:t>
            </w:r>
            <w:r>
              <w:fldChar w:fldCharType="end"/>
            </w:r>
          </w:p>
        </w:tc>
      </w:tr>
      <w:tr w:rsidR="00875822" w14:paraId="5BDC2405" w14:textId="77777777" w:rsidTr="000A7771">
        <w:tc>
          <w:tcPr>
            <w:tcW w:w="3573" w:type="dxa"/>
          </w:tcPr>
          <w:p w14:paraId="01CB05DF" w14:textId="77777777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14:paraId="64ACFFBF" w14:textId="372A434D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s.p., </w:t>
            </w:r>
            <w:r w:rsidR="00722FE6">
              <w:t>XXX</w:t>
            </w:r>
            <w:r>
              <w:rPr>
                <w:lang w:eastAsia="cs-CZ"/>
              </w:rPr>
              <w:t xml:space="preserve"> </w:t>
            </w:r>
          </w:p>
        </w:tc>
      </w:tr>
      <w:tr w:rsidR="00875822" w14:paraId="28C6AA42" w14:textId="77777777" w:rsidTr="000A7771">
        <w:tc>
          <w:tcPr>
            <w:tcW w:w="3573" w:type="dxa"/>
          </w:tcPr>
          <w:p w14:paraId="275EB84C" w14:textId="77777777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BIC/SWIFT:</w:t>
            </w:r>
          </w:p>
        </w:tc>
        <w:tc>
          <w:tcPr>
            <w:tcW w:w="6276" w:type="dxa"/>
          </w:tcPr>
          <w:p w14:paraId="77D10556" w14:textId="25980CBC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CEKOCZPP</w:t>
            </w:r>
          </w:p>
        </w:tc>
      </w:tr>
      <w:tr w:rsidR="00875822" w14:paraId="1EB9A025" w14:textId="77777777" w:rsidTr="000A7771">
        <w:tc>
          <w:tcPr>
            <w:tcW w:w="3573" w:type="dxa"/>
          </w:tcPr>
          <w:p w14:paraId="687E5CBF" w14:textId="77777777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IBAN:</w:t>
            </w:r>
          </w:p>
        </w:tc>
        <w:tc>
          <w:tcPr>
            <w:tcW w:w="6276" w:type="dxa"/>
          </w:tcPr>
          <w:p w14:paraId="52B9031F" w14:textId="459F927A" w:rsidR="00875822" w:rsidRPr="00E001D0" w:rsidRDefault="00875822" w:rsidP="0087582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iban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CZ0303000000000134204869</w:t>
            </w:r>
            <w:r>
              <w:fldChar w:fldCharType="end"/>
            </w:r>
          </w:p>
        </w:tc>
      </w:tr>
      <w:tr w:rsidR="002C3AD3" w14:paraId="16717548" w14:textId="77777777" w:rsidTr="000A7771">
        <w:tc>
          <w:tcPr>
            <w:tcW w:w="3573" w:type="dxa"/>
          </w:tcPr>
          <w:p w14:paraId="524163C9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</w:pPr>
            <w:r w:rsidRPr="00E001D0">
              <w:rPr>
                <w:lang w:eastAsia="cs-CZ"/>
              </w:rPr>
              <w:t>dále jen „ČP“</w:t>
            </w:r>
          </w:p>
        </w:tc>
        <w:tc>
          <w:tcPr>
            <w:tcW w:w="6276" w:type="dxa"/>
          </w:tcPr>
          <w:p w14:paraId="319E06A3" w14:textId="77777777" w:rsidR="002C3AD3" w:rsidRDefault="002C3AD3"/>
        </w:tc>
      </w:tr>
    </w:tbl>
    <w:p w14:paraId="19AD0B5F" w14:textId="77777777" w:rsidR="003C2AF8" w:rsidRPr="00E001D0" w:rsidRDefault="00875822" w:rsidP="003C2AF8">
      <w:r w:rsidRPr="00E001D0">
        <w:t xml:space="preserve"> a</w:t>
      </w:r>
    </w:p>
    <w:tbl>
      <w:tblPr>
        <w:tblStyle w:val="Styl1"/>
        <w:tblW w:w="9851" w:type="dxa"/>
        <w:tblLayout w:type="fixed"/>
        <w:tblLook w:val="01E0" w:firstRow="1" w:lastRow="1" w:firstColumn="1" w:lastColumn="1" w:noHBand="0" w:noVBand="0"/>
      </w:tblPr>
      <w:tblGrid>
        <w:gridCol w:w="3528"/>
        <w:gridCol w:w="6323"/>
      </w:tblGrid>
      <w:tr w:rsidR="002C3AD3" w14:paraId="1646657C" w14:textId="77777777" w:rsidTr="002F24DA">
        <w:tc>
          <w:tcPr>
            <w:tcW w:w="9851" w:type="dxa"/>
            <w:gridSpan w:val="2"/>
          </w:tcPr>
          <w:p w14:paraId="1E9A088A" w14:textId="38D5EEDF" w:rsidR="002F24DA" w:rsidRPr="00E001D0" w:rsidRDefault="00722FE6" w:rsidP="000A7771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XXX</w:t>
            </w:r>
          </w:p>
        </w:tc>
      </w:tr>
      <w:tr w:rsidR="002C3AD3" w14:paraId="75871713" w14:textId="77777777" w:rsidTr="002F24DA">
        <w:tc>
          <w:tcPr>
            <w:tcW w:w="3528" w:type="dxa"/>
          </w:tcPr>
          <w:p w14:paraId="25B0073D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14:paraId="6D1263AF" w14:textId="5577E91E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2C3AD3" w14:paraId="5CB511CF" w14:textId="77777777" w:rsidTr="002F24DA">
        <w:tc>
          <w:tcPr>
            <w:tcW w:w="3528" w:type="dxa"/>
          </w:tcPr>
          <w:p w14:paraId="5A8D2053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IČO:</w:t>
            </w:r>
          </w:p>
        </w:tc>
        <w:tc>
          <w:tcPr>
            <w:tcW w:w="6323" w:type="dxa"/>
          </w:tcPr>
          <w:p w14:paraId="731DE3B2" w14:textId="0F7D5DCB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C3AD3" w14:paraId="636BB1D9" w14:textId="77777777" w:rsidTr="002F24DA">
        <w:tc>
          <w:tcPr>
            <w:tcW w:w="3528" w:type="dxa"/>
          </w:tcPr>
          <w:p w14:paraId="29790CA4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14:paraId="23E6AC46" w14:textId="6645809F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C3AD3" w14:paraId="23418984" w14:textId="77777777" w:rsidTr="002F24DA">
        <w:tc>
          <w:tcPr>
            <w:tcW w:w="3528" w:type="dxa"/>
          </w:tcPr>
          <w:p w14:paraId="3592C96B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14:paraId="5B45E3D0" w14:textId="6C2C7144" w:rsidR="003C2AF8" w:rsidRPr="00E001D0" w:rsidRDefault="00722FE6" w:rsidP="000A7771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XXX</w:t>
            </w:r>
          </w:p>
        </w:tc>
      </w:tr>
      <w:tr w:rsidR="002C3AD3" w14:paraId="4DB4F518" w14:textId="77777777" w:rsidTr="002F24DA">
        <w:tc>
          <w:tcPr>
            <w:tcW w:w="3528" w:type="dxa"/>
          </w:tcPr>
          <w:p w14:paraId="24455676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14:paraId="1312A79D" w14:textId="4DC9F033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C3AD3" w14:paraId="2AFE3956" w14:textId="77777777" w:rsidTr="002F24DA">
        <w:trPr>
          <w:trHeight w:val="283"/>
        </w:trPr>
        <w:tc>
          <w:tcPr>
            <w:tcW w:w="3528" w:type="dxa"/>
          </w:tcPr>
          <w:p w14:paraId="322B895D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14:paraId="4B4180FD" w14:textId="1F5A8A4D" w:rsidR="003C2AF8" w:rsidRPr="00E001D0" w:rsidRDefault="00722FE6" w:rsidP="000A7771">
            <w:pPr>
              <w:pStyle w:val="Textkomente"/>
              <w:rPr>
                <w:bCs/>
                <w:sz w:val="22"/>
                <w:szCs w:val="22"/>
              </w:rPr>
            </w:pPr>
            <w:r>
              <w:t>XXX</w:t>
            </w:r>
          </w:p>
        </w:tc>
      </w:tr>
      <w:tr w:rsidR="002C3AD3" w14:paraId="5EE30250" w14:textId="77777777" w:rsidTr="002F24DA">
        <w:tc>
          <w:tcPr>
            <w:tcW w:w="3528" w:type="dxa"/>
          </w:tcPr>
          <w:p w14:paraId="75EA6065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14:paraId="3B80FFD2" w14:textId="421AE4CB" w:rsidR="003C2AF8" w:rsidRPr="006A1AB6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green"/>
              </w:rPr>
            </w:pPr>
            <w:r>
              <w:t>XXX</w:t>
            </w:r>
            <w:r w:rsidRPr="006A1AB6">
              <w:rPr>
                <w:highlight w:val="green"/>
              </w:rPr>
              <w:t xml:space="preserve"> </w:t>
            </w:r>
            <w:r w:rsidR="00875822" w:rsidRPr="006A1AB6">
              <w:rPr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875822" w:rsidRPr="006A1AB6">
              <w:rPr>
                <w:highlight w:val="green"/>
              </w:rPr>
              <w:instrText xml:space="preserve"> FORMTEXT </w:instrText>
            </w:r>
            <w:r w:rsidR="00000000">
              <w:rPr>
                <w:highlight w:val="green"/>
              </w:rPr>
            </w:r>
            <w:r w:rsidR="00000000">
              <w:rPr>
                <w:highlight w:val="green"/>
              </w:rPr>
              <w:fldChar w:fldCharType="separate"/>
            </w:r>
            <w:r w:rsidR="00875822" w:rsidRPr="006A1AB6">
              <w:rPr>
                <w:highlight w:val="green"/>
              </w:rPr>
              <w:fldChar w:fldCharType="end"/>
            </w:r>
          </w:p>
        </w:tc>
      </w:tr>
      <w:tr w:rsidR="002C3AD3" w14:paraId="5AC7F0EE" w14:textId="77777777" w:rsidTr="002F24DA">
        <w:tc>
          <w:tcPr>
            <w:tcW w:w="3528" w:type="dxa"/>
          </w:tcPr>
          <w:p w14:paraId="45DCADE6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14:paraId="3E082D8B" w14:textId="30DF0D7A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875822" w:rsidRPr="00E001D0">
              <w:rPr>
                <w:highlight w:val="yellow"/>
              </w:rPr>
              <w:t xml:space="preserve">, </w:t>
            </w:r>
            <w:r>
              <w:t>XXX</w:t>
            </w:r>
            <w:r w:rsidR="00875822" w:rsidRPr="00E001D0">
              <w:rPr>
                <w:b/>
                <w:highlight w:val="yellow"/>
                <w:lang w:eastAsia="cs-CZ"/>
              </w:rPr>
              <w:t xml:space="preserve">, </w:t>
            </w:r>
            <w:r>
              <w:t>XXX</w:t>
            </w:r>
            <w:r w:rsidR="00875822" w:rsidRPr="00E001D0">
              <w:rPr>
                <w:b/>
                <w:highlight w:val="yellow"/>
                <w:lang w:eastAsia="cs-CZ"/>
              </w:rPr>
              <w:t xml:space="preserve"> </w:t>
            </w:r>
            <w:proofErr w:type="spellStart"/>
            <w:r>
              <w:t>XXX</w:t>
            </w:r>
            <w:proofErr w:type="spellEnd"/>
          </w:p>
        </w:tc>
      </w:tr>
      <w:tr w:rsidR="002C3AD3" w14:paraId="5B9F2785" w14:textId="77777777" w:rsidTr="002F24DA">
        <w:tc>
          <w:tcPr>
            <w:tcW w:w="3528" w:type="dxa"/>
          </w:tcPr>
          <w:p w14:paraId="4C4D5974" w14:textId="77777777" w:rsidR="003C2AF8" w:rsidRPr="00E001D0" w:rsidRDefault="0087582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přidělené ID CČK složky:</w:t>
            </w:r>
          </w:p>
        </w:tc>
        <w:tc>
          <w:tcPr>
            <w:tcW w:w="6323" w:type="dxa"/>
          </w:tcPr>
          <w:p w14:paraId="4E6D8BF5" w14:textId="53E6B467" w:rsidR="003C2AF8" w:rsidRPr="00E001D0" w:rsidRDefault="00722FE6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C3AD3" w14:paraId="24104526" w14:textId="77777777" w:rsidTr="002F24DA">
        <w:tc>
          <w:tcPr>
            <w:tcW w:w="3528" w:type="dxa"/>
          </w:tcPr>
          <w:p w14:paraId="4219FEA5" w14:textId="77777777" w:rsidR="003C2AF8" w:rsidRPr="00E001D0" w:rsidRDefault="00875822" w:rsidP="00A565C4">
            <w:pPr>
              <w:pStyle w:val="cpTabulkasmluvnistrany"/>
              <w:framePr w:hSpace="0" w:wrap="auto" w:vAnchor="margin" w:hAnchor="text" w:yAlign="inline"/>
            </w:pPr>
            <w:r w:rsidRPr="00E001D0">
              <w:t xml:space="preserve">dále jen „Objednatel“ </w:t>
            </w:r>
          </w:p>
        </w:tc>
        <w:tc>
          <w:tcPr>
            <w:tcW w:w="6323" w:type="dxa"/>
          </w:tcPr>
          <w:p w14:paraId="7A4AD668" w14:textId="77777777" w:rsidR="002C3AD3" w:rsidRDefault="002C3AD3"/>
        </w:tc>
      </w:tr>
    </w:tbl>
    <w:p w14:paraId="1F3995E7" w14:textId="77777777" w:rsidR="003C2AF8" w:rsidRPr="000C1911" w:rsidRDefault="00875822">
      <w:pPr>
        <w:rPr>
          <w:color w:val="FFFFFF" w:themeColor="background1"/>
        </w:rPr>
      </w:pPr>
      <w:r w:rsidRPr="000C1911">
        <w:rPr>
          <w:color w:val="FFFFFF" w:themeColor="background1"/>
        </w:rPr>
        <w:t>.</w:t>
      </w:r>
    </w:p>
    <w:p w14:paraId="7F388340" w14:textId="77777777" w:rsidR="000C1911" w:rsidRDefault="00875822">
      <w:pPr>
        <w:rPr>
          <w:color w:val="FFFFFF" w:themeColor="background1"/>
        </w:rPr>
      </w:pPr>
      <w:r w:rsidRPr="000C1911">
        <w:rPr>
          <w:color w:val="FFFFFF" w:themeColor="background1"/>
        </w:rPr>
        <w:t>.</w:t>
      </w:r>
    </w:p>
    <w:p w14:paraId="36102144" w14:textId="77777777" w:rsidR="002E7A9C" w:rsidRPr="00C04CD7" w:rsidRDefault="00875822" w:rsidP="00201865">
      <w:pPr>
        <w:keepNext/>
        <w:numPr>
          <w:ilvl w:val="0"/>
          <w:numId w:val="6"/>
        </w:numPr>
        <w:spacing w:before="480" w:after="120"/>
        <w:jc w:val="center"/>
        <w:outlineLvl w:val="0"/>
      </w:pPr>
      <w:r w:rsidRPr="00C04CD7">
        <w:rPr>
          <w:b/>
          <w:sz w:val="24"/>
        </w:rPr>
        <w:t xml:space="preserve">Ujednání </w:t>
      </w:r>
    </w:p>
    <w:p w14:paraId="23D900A7" w14:textId="6D2A0764" w:rsidR="00AC0AAF" w:rsidRDefault="00875822" w:rsidP="00201865">
      <w:pPr>
        <w:numPr>
          <w:ilvl w:val="1"/>
          <w:numId w:val="7"/>
        </w:numPr>
        <w:spacing w:after="120"/>
        <w:ind w:left="567" w:hanging="567"/>
      </w:pPr>
      <w:r>
        <w:t xml:space="preserve">Strany </w:t>
      </w:r>
      <w:r w:rsidRPr="00C04CD7">
        <w:t xml:space="preserve">se dohodly na změně obsahu </w:t>
      </w:r>
      <w:r>
        <w:fldChar w:fldCharType="begin">
          <w:ffData>
            <w:name w:val=""/>
            <w:enabled/>
            <w:calcOnExit w:val="0"/>
            <w:textInput>
              <w:default w:val="dodSmlouva.#ng_nazevsmlouvy#"/>
            </w:textInput>
          </w:ffData>
        </w:fldChar>
      </w:r>
      <w:r>
        <w:instrText xml:space="preserve"> FORMTEXT </w:instrText>
      </w:r>
      <w:r>
        <w:fldChar w:fldCharType="separate"/>
      </w:r>
      <w:r w:rsidR="00722FE6">
        <w:t>Smlouvy o svozu a rozvozu</w:t>
      </w:r>
      <w:r>
        <w:t xml:space="preserve"> o poštovních zásilek</w:t>
      </w:r>
      <w:r>
        <w:fldChar w:fldCharType="end"/>
      </w:r>
      <w:r w:rsidRPr="00C04CD7">
        <w:t>, č.</w:t>
      </w:r>
      <w:r>
        <w:fldChar w:fldCharType="begin">
          <w:ffData>
            <w:name w:val=""/>
            <w:enabled/>
            <w:calcOnExit w:val="0"/>
            <w:textInput>
              <w:default w:val="#ng_cislosmlouvydod#"/>
            </w:textInput>
          </w:ffData>
        </w:fldChar>
      </w:r>
      <w:r>
        <w:instrText xml:space="preserve"> FORMTEXT </w:instrText>
      </w:r>
      <w:r>
        <w:fldChar w:fldCharType="separate"/>
      </w:r>
      <w:r w:rsidR="00722FE6">
        <w:t>982807-1510/2013</w:t>
      </w:r>
      <w:r>
        <w:fldChar w:fldCharType="end"/>
      </w:r>
      <w:r>
        <w:t xml:space="preserve">, </w:t>
      </w:r>
      <w:r w:rsidRPr="00C04CD7">
        <w:t xml:space="preserve">ze dne </w:t>
      </w:r>
      <w:r>
        <w:fldChar w:fldCharType="begin">
          <w:ffData>
            <w:name w:val=""/>
            <w:enabled/>
            <w:calcOnExit w:val="0"/>
            <w:textInput>
              <w:default w:val="dodSmlouva.#ng_platnostod#"/>
            </w:textInput>
          </w:ffData>
        </w:fldChar>
      </w:r>
      <w:r>
        <w:instrText xml:space="preserve"> FORMTEXT </w:instrText>
      </w:r>
      <w:r>
        <w:fldChar w:fldCharType="separate"/>
      </w:r>
      <w:r w:rsidR="00722FE6">
        <w:t>13</w:t>
      </w:r>
      <w:r>
        <w:t>.</w:t>
      </w:r>
      <w:r w:rsidR="00722FE6">
        <w:t>09</w:t>
      </w:r>
      <w:r>
        <w:t>.20</w:t>
      </w:r>
      <w:r w:rsidR="00722FE6">
        <w:t>13</w:t>
      </w:r>
      <w:r>
        <w:t xml:space="preserve"> </w:t>
      </w:r>
      <w:r>
        <w:fldChar w:fldCharType="end"/>
      </w:r>
      <w:r>
        <w:t xml:space="preserve"> ve znění </w:t>
      </w:r>
      <w:r w:rsidR="00722FE6">
        <w:t>pozdějších</w:t>
      </w:r>
      <w:r>
        <w:t xml:space="preserve"> (dále jen "</w:t>
      </w:r>
      <w:r w:rsidR="00722FE6">
        <w:t>Smlouva</w:t>
      </w:r>
      <w:r w:rsidRPr="00C04CD7">
        <w:t xml:space="preserve">"), a to následujícím způsobem: </w:t>
      </w:r>
    </w:p>
    <w:p w14:paraId="165A9EAA" w14:textId="1BF26BAD" w:rsidR="00722FE6" w:rsidRPr="00FE3B1B" w:rsidRDefault="00722FE6" w:rsidP="00722FE6">
      <w:pPr>
        <w:numPr>
          <w:ilvl w:val="1"/>
          <w:numId w:val="7"/>
        </w:numPr>
        <w:spacing w:after="12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E3B1B">
        <w:rPr>
          <w:rFonts w:asciiTheme="minorHAnsi" w:hAnsiTheme="minorHAnsi" w:cstheme="minorHAnsi"/>
          <w:sz w:val="20"/>
          <w:szCs w:val="20"/>
        </w:rPr>
        <w:lastRenderedPageBreak/>
        <w:t xml:space="preserve">Strany Dohody se dohodly na úplném nahrazení stávajícího ustanovení v Článku </w:t>
      </w:r>
      <w:r w:rsidRPr="00FE3B1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sloZavUstanoveni00"/>
            </w:textInput>
          </w:ffData>
        </w:fldChar>
      </w:r>
      <w:r w:rsidRPr="00FE3B1B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FE3B1B">
        <w:rPr>
          <w:rFonts w:asciiTheme="minorHAnsi" w:hAnsiTheme="minorHAnsi" w:cstheme="minorHAnsi"/>
          <w:sz w:val="20"/>
          <w:szCs w:val="20"/>
        </w:rPr>
      </w:r>
      <w:r w:rsidRPr="00FE3B1B">
        <w:rPr>
          <w:rFonts w:asciiTheme="minorHAnsi" w:hAnsiTheme="minorHAnsi" w:cstheme="minorHAnsi"/>
          <w:sz w:val="20"/>
          <w:szCs w:val="20"/>
        </w:rPr>
        <w:fldChar w:fldCharType="separate"/>
      </w:r>
      <w:r w:rsidRPr="00FE3B1B">
        <w:rPr>
          <w:rFonts w:asciiTheme="minorHAnsi" w:hAnsiTheme="minorHAnsi" w:cstheme="minorHAnsi"/>
          <w:noProof/>
          <w:sz w:val="20"/>
          <w:szCs w:val="20"/>
        </w:rPr>
        <w:t>6</w:t>
      </w:r>
      <w:r w:rsidRPr="00FE3B1B">
        <w:rPr>
          <w:rFonts w:asciiTheme="minorHAnsi" w:hAnsiTheme="minorHAnsi" w:cstheme="minorHAnsi"/>
          <w:sz w:val="20"/>
          <w:szCs w:val="20"/>
        </w:rPr>
        <w:fldChar w:fldCharType="end"/>
      </w:r>
      <w:r w:rsidRPr="00FE3B1B">
        <w:rPr>
          <w:rFonts w:asciiTheme="minorHAnsi" w:hAnsiTheme="minorHAnsi" w:cstheme="minorHAnsi"/>
          <w:sz w:val="20"/>
          <w:szCs w:val="20"/>
        </w:rPr>
        <w:t xml:space="preserve">. Závěrečná ustanovení, bod </w:t>
      </w:r>
      <w:r w:rsidRPr="00FE3B1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sloBodZavUstanoveni00"/>
            </w:textInput>
          </w:ffData>
        </w:fldChar>
      </w:r>
      <w:r w:rsidRPr="00FE3B1B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FE3B1B">
        <w:rPr>
          <w:rFonts w:asciiTheme="minorHAnsi" w:hAnsiTheme="minorHAnsi" w:cstheme="minorHAnsi"/>
          <w:sz w:val="20"/>
          <w:szCs w:val="20"/>
        </w:rPr>
      </w:r>
      <w:r w:rsidRPr="00FE3B1B">
        <w:rPr>
          <w:rFonts w:asciiTheme="minorHAnsi" w:hAnsiTheme="minorHAnsi" w:cstheme="minorHAnsi"/>
          <w:sz w:val="20"/>
          <w:szCs w:val="20"/>
        </w:rPr>
        <w:fldChar w:fldCharType="separate"/>
      </w:r>
      <w:r w:rsidRPr="00FE3B1B">
        <w:rPr>
          <w:rFonts w:asciiTheme="minorHAnsi" w:hAnsiTheme="minorHAnsi" w:cstheme="minorHAnsi"/>
          <w:noProof/>
          <w:sz w:val="20"/>
          <w:szCs w:val="20"/>
        </w:rPr>
        <w:t>6.</w:t>
      </w:r>
      <w:r w:rsidRPr="00FE3B1B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>1</w:t>
      </w:r>
      <w:r w:rsidRPr="00FE3B1B">
        <w:rPr>
          <w:rFonts w:asciiTheme="minorHAnsi" w:hAnsiTheme="minorHAnsi" w:cstheme="minorHAnsi"/>
          <w:sz w:val="20"/>
          <w:szCs w:val="20"/>
        </w:rPr>
        <w:t>, s následujícím textem:</w:t>
      </w:r>
    </w:p>
    <w:p w14:paraId="2D85A24C" w14:textId="652B349A" w:rsidR="00722FE6" w:rsidRPr="00FE3B1B" w:rsidRDefault="00722FE6" w:rsidP="00722FE6">
      <w:pPr>
        <w:spacing w:after="120"/>
        <w:ind w:left="567"/>
        <w:rPr>
          <w:rFonts w:asciiTheme="minorHAnsi" w:hAnsiTheme="minorHAnsi" w:cstheme="minorHAnsi"/>
          <w:sz w:val="20"/>
          <w:szCs w:val="20"/>
        </w:rPr>
      </w:pPr>
      <w:r w:rsidRPr="00FE3B1B">
        <w:rPr>
          <w:rFonts w:asciiTheme="minorHAnsi" w:hAnsiTheme="minorHAnsi" w:cstheme="minorHAnsi"/>
          <w:sz w:val="20"/>
          <w:szCs w:val="20"/>
        </w:rPr>
        <w:t xml:space="preserve">Tato </w:t>
      </w:r>
      <w:r>
        <w:rPr>
          <w:rFonts w:asciiTheme="minorHAnsi" w:hAnsiTheme="minorHAnsi" w:cstheme="minorHAnsi"/>
          <w:sz w:val="20"/>
          <w:szCs w:val="20"/>
        </w:rPr>
        <w:t>Smlouva</w:t>
      </w:r>
      <w:r w:rsidRPr="00FE3B1B">
        <w:rPr>
          <w:rFonts w:asciiTheme="minorHAnsi" w:hAnsiTheme="minorHAnsi" w:cstheme="minorHAnsi"/>
          <w:sz w:val="20"/>
          <w:szCs w:val="20"/>
        </w:rPr>
        <w:t xml:space="preserve"> se uzavírá </w:t>
      </w:r>
      <w:r w:rsidRPr="00FE3B1B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#ng_nadobu#"/>
            </w:textInput>
          </w:ffData>
        </w:fldChar>
      </w:r>
      <w:r w:rsidRPr="00FE3B1B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Pr="00FE3B1B">
        <w:rPr>
          <w:rFonts w:asciiTheme="minorHAnsi" w:hAnsiTheme="minorHAnsi" w:cstheme="minorHAnsi"/>
          <w:b/>
          <w:sz w:val="20"/>
          <w:szCs w:val="20"/>
        </w:rPr>
      </w:r>
      <w:r w:rsidRPr="00FE3B1B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FE3B1B">
        <w:rPr>
          <w:rFonts w:asciiTheme="minorHAnsi" w:hAnsiTheme="minorHAnsi" w:cstheme="minorHAnsi"/>
          <w:b/>
          <w:noProof/>
          <w:sz w:val="20"/>
          <w:szCs w:val="20"/>
        </w:rPr>
        <w:t>na dobu určitou</w:t>
      </w:r>
      <w:r w:rsidRPr="00FE3B1B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FE3B1B">
        <w:rPr>
          <w:rFonts w:asciiTheme="minorHAnsi" w:hAnsiTheme="minorHAnsi" w:cstheme="minorHAnsi"/>
          <w:b/>
          <w:sz w:val="20"/>
          <w:szCs w:val="20"/>
        </w:rPr>
        <w:t xml:space="preserve"> do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xxx</w:t>
      </w:r>
      <w:proofErr w:type="spellEnd"/>
      <w:r w:rsidRPr="00FE3B1B">
        <w:rPr>
          <w:rFonts w:asciiTheme="minorHAnsi" w:hAnsiTheme="minorHAnsi" w:cstheme="minorHAnsi"/>
          <w:sz w:val="20"/>
          <w:szCs w:val="20"/>
        </w:rPr>
        <w:t xml:space="preserve">. Každá ze stran může </w:t>
      </w:r>
      <w:r>
        <w:rPr>
          <w:rFonts w:asciiTheme="minorHAnsi" w:hAnsiTheme="minorHAnsi" w:cstheme="minorHAnsi"/>
          <w:sz w:val="20"/>
          <w:szCs w:val="20"/>
        </w:rPr>
        <w:t>Smlouvu</w:t>
      </w:r>
      <w:r w:rsidRPr="00FE3B1B">
        <w:rPr>
          <w:rFonts w:asciiTheme="minorHAnsi" w:hAnsiTheme="minorHAnsi" w:cstheme="minorHAnsi"/>
          <w:sz w:val="20"/>
          <w:szCs w:val="20"/>
        </w:rPr>
        <w:t xml:space="preserve"> vypovědět i bez udání důvodů s tím, že výpovědní doba </w:t>
      </w:r>
      <w:r>
        <w:rPr>
          <w:rFonts w:asciiTheme="minorHAnsi" w:hAnsiTheme="minorHAnsi" w:cstheme="minorHAnsi"/>
          <w:sz w:val="20"/>
          <w:szCs w:val="20"/>
        </w:rPr>
        <w:t>15 dnů</w:t>
      </w:r>
      <w:r w:rsidRPr="00FE3B1B">
        <w:rPr>
          <w:rFonts w:asciiTheme="minorHAnsi" w:hAnsiTheme="minorHAnsi" w:cstheme="minorHAnsi"/>
          <w:sz w:val="20"/>
          <w:szCs w:val="20"/>
        </w:rPr>
        <w:t xml:space="preserve"> začne běžet dnem následujícím po doručení výpovědi druhé Straně </w:t>
      </w:r>
      <w:r>
        <w:rPr>
          <w:rFonts w:asciiTheme="minorHAnsi" w:hAnsiTheme="minorHAnsi" w:cstheme="minorHAnsi"/>
          <w:sz w:val="20"/>
          <w:szCs w:val="20"/>
        </w:rPr>
        <w:t>Smlouvy</w:t>
      </w:r>
      <w:r w:rsidRPr="00FE3B1B">
        <w:rPr>
          <w:rFonts w:asciiTheme="minorHAnsi" w:hAnsiTheme="minorHAnsi" w:cstheme="minorHAnsi"/>
          <w:sz w:val="20"/>
          <w:szCs w:val="20"/>
        </w:rPr>
        <w:t>. Výpověď musí být učiněna písemně. Pokud Objednatel písemně odmítne změnu Ceníku</w:t>
      </w:r>
      <w:r>
        <w:rPr>
          <w:rFonts w:asciiTheme="minorHAnsi" w:hAnsiTheme="minorHAnsi" w:cstheme="minorHAnsi"/>
          <w:sz w:val="20"/>
          <w:szCs w:val="20"/>
        </w:rPr>
        <w:t xml:space="preserve"> a /nebo Podmínek</w:t>
      </w:r>
      <w:r w:rsidRPr="00FE3B1B">
        <w:rPr>
          <w:rFonts w:asciiTheme="minorHAnsi" w:hAnsiTheme="minorHAnsi" w:cstheme="minorHAnsi"/>
          <w:sz w:val="20"/>
          <w:szCs w:val="20"/>
        </w:rPr>
        <w:t>, současně s tímto oznámením o odmítnutí navrhovaných změn vypovídá tuto Dohodu. Výpovědní doba počíná běžet dnem doručení výpovědi ČP, přičemž skončí ke dni účinnosti změny Ceníku</w:t>
      </w:r>
      <w:r>
        <w:rPr>
          <w:rFonts w:asciiTheme="minorHAnsi" w:hAnsiTheme="minorHAnsi" w:cstheme="minorHAnsi"/>
          <w:sz w:val="20"/>
          <w:szCs w:val="20"/>
        </w:rPr>
        <w:t xml:space="preserve"> a/nebo Podmínek</w:t>
      </w:r>
      <w:r w:rsidRPr="00FE3B1B">
        <w:rPr>
          <w:rFonts w:asciiTheme="minorHAnsi" w:hAnsiTheme="minorHAnsi" w:cstheme="minorHAnsi"/>
          <w:sz w:val="20"/>
          <w:szCs w:val="20"/>
        </w:rPr>
        <w:t xml:space="preserve">. Výpověď musí být doručena ČP přede dnem, kdy má změna nabýt účinnosti. </w:t>
      </w:r>
    </w:p>
    <w:p w14:paraId="6C340A11" w14:textId="77777777" w:rsidR="00D831A5" w:rsidRPr="00C04CD7" w:rsidRDefault="00875822" w:rsidP="00117185">
      <w:pPr>
        <w:pStyle w:val="cplnekslovan"/>
        <w:numPr>
          <w:ilvl w:val="0"/>
          <w:numId w:val="7"/>
        </w:numPr>
        <w:rPr>
          <w:bCs w:val="0"/>
          <w:kern w:val="0"/>
          <w:sz w:val="24"/>
          <w:lang w:eastAsia="en-US"/>
        </w:rPr>
      </w:pPr>
      <w:r w:rsidRPr="00C04CD7">
        <w:rPr>
          <w:bCs w:val="0"/>
          <w:kern w:val="0"/>
          <w:sz w:val="24"/>
          <w:lang w:eastAsia="en-US"/>
        </w:rPr>
        <w:t>Závěrečná ustanovení</w:t>
      </w:r>
    </w:p>
    <w:p w14:paraId="237326AA" w14:textId="77777777" w:rsidR="007F6897" w:rsidRPr="00C04CD7" w:rsidRDefault="00875822" w:rsidP="00117185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C04CD7">
        <w:rPr>
          <w:rFonts w:ascii="Times New Roman" w:hAnsi="Times New Roman" w:cs="Times New Roman"/>
        </w:rPr>
        <w:t>Ostatní ujednání Dohody se nemění a zůstávají nadále v platnosti.</w:t>
      </w:r>
    </w:p>
    <w:p w14:paraId="139EFE3C" w14:textId="55E9EFD0" w:rsidR="005E6041" w:rsidRDefault="00875822" w:rsidP="00117185">
      <w:pPr>
        <w:pStyle w:val="cpodstavecslovan1"/>
        <w:numPr>
          <w:ilvl w:val="1"/>
          <w:numId w:val="7"/>
        </w:numPr>
        <w:ind w:left="567" w:hanging="567"/>
      </w:pPr>
      <w:r>
        <w:t xml:space="preserve">Dodatek </w:t>
      </w:r>
      <w:r w:rsidRPr="00C04CD7">
        <w:t xml:space="preserve">č. </w:t>
      </w:r>
      <w:r w:rsidRPr="00C04CD7">
        <w:fldChar w:fldCharType="begin">
          <w:ffData>
            <w:name w:val=""/>
            <w:enabled/>
            <w:calcOnExit w:val="0"/>
            <w:textInput>
              <w:default w:val="#ng_cislododatku#"/>
            </w:textInput>
          </w:ffData>
        </w:fldChar>
      </w:r>
      <w:r w:rsidRPr="00C04CD7">
        <w:instrText xml:space="preserve"> FORMTEXT </w:instrText>
      </w:r>
      <w:r w:rsidRPr="00C04CD7">
        <w:fldChar w:fldCharType="separate"/>
      </w:r>
      <w:r w:rsidRPr="00C04CD7">
        <w:t>2</w:t>
      </w:r>
      <w:r w:rsidRPr="00C04CD7">
        <w:fldChar w:fldCharType="end"/>
      </w:r>
      <w:r w:rsidRPr="00C04CD7">
        <w:t xml:space="preserve"> </w:t>
      </w:r>
      <w:r w:rsidRPr="004916DF">
        <w:t xml:space="preserve">je </w:t>
      </w:r>
      <w:r w:rsidR="00722FE6">
        <w:t>platný a účinný dnem jeho podpisu</w:t>
      </w:r>
      <w:r w:rsidRPr="004916DF">
        <w:t xml:space="preserve"> </w:t>
      </w:r>
      <w:r w:rsidRPr="00C04CD7">
        <w:t xml:space="preserve">oběma </w:t>
      </w:r>
      <w:r w:rsidR="00722FE6">
        <w:t xml:space="preserve">smluvními </w:t>
      </w:r>
      <w:r w:rsidRPr="00C04CD7">
        <w:t>stranami</w:t>
      </w:r>
      <w:r w:rsidRPr="004916DF">
        <w:t>.</w:t>
      </w:r>
    </w:p>
    <w:p w14:paraId="114EC178" w14:textId="2A63CA8D" w:rsidR="00722FE6" w:rsidRDefault="00722FE6" w:rsidP="00117185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>
        <w:t xml:space="preserve">Dodatek </w:t>
      </w:r>
      <w:r w:rsidRPr="00C04CD7">
        <w:t xml:space="preserve">č. </w:t>
      </w:r>
      <w:r w:rsidRPr="00C04CD7">
        <w:fldChar w:fldCharType="begin">
          <w:ffData>
            <w:name w:val=""/>
            <w:enabled/>
            <w:calcOnExit w:val="0"/>
            <w:textInput>
              <w:default w:val="#ng_cislododatku#"/>
            </w:textInput>
          </w:ffData>
        </w:fldChar>
      </w:r>
      <w:r w:rsidRPr="00C04CD7">
        <w:instrText xml:space="preserve"> FORMTEXT </w:instrText>
      </w:r>
      <w:r w:rsidRPr="00C04CD7">
        <w:fldChar w:fldCharType="separate"/>
      </w:r>
      <w:r w:rsidRPr="00C04CD7">
        <w:t>2</w:t>
      </w:r>
      <w:r w:rsidRPr="00C04CD7">
        <w:fldChar w:fldCharType="end"/>
      </w:r>
      <w:r w:rsidR="00875822" w:rsidRPr="00C04CD7">
        <w:rPr>
          <w:rFonts w:ascii="Times New Roman" w:hAnsi="Times New Roman" w:cs="Times New Roman"/>
        </w:rPr>
        <w:t xml:space="preserve"> </w:t>
      </w:r>
      <w:r w:rsidR="00875822">
        <w:rPr>
          <w:rFonts w:ascii="Times New Roman" w:hAnsi="Times New Roman" w:cs="Times New Roman"/>
        </w:rPr>
        <w:t>j</w:t>
      </w:r>
      <w:r w:rsidR="00875822" w:rsidRPr="00C04CD7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sepsán ve dvou vyhotoveních s platností originálu, z nichž každá ze stran obdrží po jednom výtisku.</w:t>
      </w:r>
    </w:p>
    <w:p w14:paraId="52EF8BE2" w14:textId="77777777" w:rsidR="00C04CD7" w:rsidRPr="00C04CD7" w:rsidRDefault="00875822" w:rsidP="007F6897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C04CD7">
        <w:rPr>
          <w:color w:val="FFFFFF" w:themeColor="background1"/>
          <w:lang w:eastAsia="en-US"/>
        </w:rPr>
        <w:t>.</w:t>
      </w:r>
      <w:r w:rsidRPr="00DD08E4">
        <w:rPr>
          <w:color w:val="FFFFFF" w:themeColor="background1"/>
          <w:sz w:val="2"/>
        </w:rPr>
        <w:t>.</w:t>
      </w:r>
    </w:p>
    <w:p w14:paraId="16CD0FD0" w14:textId="77777777" w:rsidR="007F6897" w:rsidRPr="00C04CD7" w:rsidRDefault="00875822" w:rsidP="007F6897">
      <w:pPr>
        <w:rPr>
          <w:color w:val="FFFFFF" w:themeColor="background1"/>
          <w:lang w:eastAsia="cs-CZ"/>
        </w:rPr>
      </w:pPr>
      <w:r w:rsidRPr="00C04CD7">
        <w:rPr>
          <w:color w:val="FFFFFF" w:themeColor="background1"/>
          <w:lang w:eastAsia="cs-CZ"/>
        </w:rPr>
        <w:t>.</w:t>
      </w: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2C3AD3" w14:paraId="5DF309A0" w14:textId="77777777" w:rsidTr="000A7771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321"/>
            </w:tblGrid>
            <w:tr w:rsidR="002C3AD3" w14:paraId="79F55240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53E45748" w14:textId="77777777" w:rsidR="007F6897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E001D0">
                    <w:t xml:space="preserve">V </w:t>
                  </w:r>
                  <w:r w:rsidRPr="00875822">
                    <w:rPr>
                      <w:bCs/>
                      <w:highlight w:val="lightGray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#ng_regmistopodpisu#"/>
                        </w:textInput>
                      </w:ffData>
                    </w:fldChar>
                  </w:r>
                  <w:bookmarkStart w:id="0" w:name="Text3"/>
                  <w:r w:rsidRPr="00875822">
                    <w:rPr>
                      <w:bCs/>
                      <w:highlight w:val="lightGray"/>
                    </w:rPr>
                    <w:instrText xml:space="preserve"> FORMTEXT </w:instrText>
                  </w:r>
                  <w:r w:rsidRPr="00875822">
                    <w:rPr>
                      <w:bCs/>
                      <w:highlight w:val="lightGray"/>
                    </w:rPr>
                  </w:r>
                  <w:r w:rsidRPr="00875822">
                    <w:rPr>
                      <w:bCs/>
                      <w:highlight w:val="lightGray"/>
                    </w:rPr>
                    <w:fldChar w:fldCharType="separate"/>
                  </w:r>
                  <w:r w:rsidRPr="00875822">
                    <w:rPr>
                      <w:bCs/>
                      <w:highlight w:val="lightGray"/>
                    </w:rPr>
                    <w:t>Praze</w:t>
                  </w:r>
                  <w:r w:rsidRPr="00875822">
                    <w:rPr>
                      <w:bCs/>
                      <w:highlight w:val="lightGray"/>
                    </w:rPr>
                    <w:fldChar w:fldCharType="end"/>
                  </w:r>
                  <w:bookmarkEnd w:id="0"/>
                  <w:r w:rsidRPr="00E001D0">
                    <w:t xml:space="preserve"> dne </w:t>
                  </w:r>
                </w:p>
              </w:tc>
            </w:tr>
            <w:tr w:rsidR="002C3AD3" w14:paraId="56D69410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589AFE46" w14:textId="6B825F48" w:rsidR="007F6897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E001D0">
                    <w:t>za ČP:</w:t>
                  </w:r>
                </w:p>
                <w:p w14:paraId="038E3B61" w14:textId="77777777" w:rsidR="00875822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53614D12" w14:textId="3A15278C" w:rsidR="00875822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C3AD3" w14:paraId="3B03F59B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00FB1291" w14:textId="51F9A9CD" w:rsidR="007F6897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E001D0">
                    <w:t>_____</w:t>
                  </w:r>
                  <w:r>
                    <w:t>_______________________________</w:t>
                  </w:r>
                  <w:r w:rsidRPr="00E001D0">
                    <w:t>_</w:t>
                  </w:r>
                </w:p>
              </w:tc>
            </w:tr>
            <w:tr w:rsidR="002C3AD3" w14:paraId="5CE629AD" w14:textId="77777777" w:rsidTr="000A7771">
              <w:trPr>
                <w:trHeight w:val="454"/>
              </w:trPr>
              <w:tc>
                <w:tcPr>
                  <w:tcW w:w="4506" w:type="dxa"/>
                </w:tcPr>
                <w:p w14:paraId="21F2063D" w14:textId="211565F5" w:rsidR="007F6897" w:rsidRPr="00E001D0" w:rsidRDefault="00722FE6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384906">
                    <w:rPr>
                      <w:highlight w:val="lightGray"/>
                    </w:rPr>
                    <w:t>Daniel Krejčí</w:t>
                  </w:r>
                </w:p>
              </w:tc>
            </w:tr>
            <w:tr w:rsidR="002C3AD3" w14:paraId="46782642" w14:textId="77777777" w:rsidTr="000A7771">
              <w:trPr>
                <w:trHeight w:val="414"/>
              </w:trPr>
              <w:tc>
                <w:tcPr>
                  <w:tcW w:w="4506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105"/>
                  </w:tblGrid>
                  <w:tr w:rsidR="002C3AD3" w14:paraId="2E824644" w14:textId="77777777" w:rsidTr="000A7771">
                    <w:trPr>
                      <w:trHeight w:val="414"/>
                    </w:trPr>
                    <w:tc>
                      <w:tcPr>
                        <w:tcW w:w="4535" w:type="dxa"/>
                      </w:tcPr>
                      <w:p w14:paraId="04D9B1AF" w14:textId="590429DA" w:rsidR="007F6897" w:rsidRPr="00E001D0" w:rsidRDefault="00875822" w:rsidP="000A7771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 w:rsidRPr="00E001D0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funkce1"/>
                              </w:textInput>
                            </w:ffData>
                          </w:fldChar>
                        </w:r>
                        <w:r w:rsidRPr="00E001D0">
                          <w:instrText xml:space="preserve"> FORMTEXT </w:instrText>
                        </w:r>
                        <w:r w:rsidRPr="00E001D0">
                          <w:fldChar w:fldCharType="separate"/>
                        </w:r>
                        <w:r w:rsidRPr="00E001D0">
                          <w:t>obchodní ředitel regionu,</w:t>
                        </w:r>
                        <w:r w:rsidRPr="00E001D0">
                          <w:fldChar w:fldCharType="end"/>
                        </w:r>
                        <w:r w:rsidRPr="00E001D0">
                          <w:t xml:space="preserve"> </w:t>
                        </w:r>
                        <w:r w:rsidRPr="00E001D0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reghlavicka1"/>
                              </w:textInput>
                            </w:ffData>
                          </w:fldChar>
                        </w:r>
                        <w:r w:rsidRPr="00E001D0">
                          <w:instrText xml:space="preserve"> FORMTEXT </w:instrText>
                        </w:r>
                        <w:r w:rsidRPr="00E001D0">
                          <w:fldChar w:fldCharType="separate"/>
                        </w:r>
                        <w:r w:rsidRPr="00E001D0">
                          <w:t xml:space="preserve">firemní obchod PH a </w:t>
                        </w:r>
                        <w:proofErr w:type="spellStart"/>
                        <w:r w:rsidRPr="00E001D0">
                          <w:t>S</w:t>
                        </w:r>
                        <w:r w:rsidR="00722FE6">
                          <w:t>t</w:t>
                        </w:r>
                        <w:r w:rsidRPr="00E001D0">
                          <w:t>Č</w:t>
                        </w:r>
                        <w:proofErr w:type="spellEnd"/>
                        <w:r w:rsidRPr="00E001D0">
                          <w:fldChar w:fldCharType="end"/>
                        </w:r>
                      </w:p>
                    </w:tc>
                  </w:tr>
                </w:tbl>
                <w:p w14:paraId="56CE6150" w14:textId="77777777" w:rsidR="002C3AD3" w:rsidRDefault="002C3AD3"/>
              </w:tc>
            </w:tr>
            <w:tr w:rsidR="002C3AD3" w14:paraId="368A0F75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0A6096E9" w14:textId="77777777" w:rsidR="002C3AD3" w:rsidRDefault="002C3AD3"/>
              </w:tc>
            </w:tr>
          </w:tbl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21"/>
            </w:tblGrid>
            <w:tr w:rsidR="002C3AD3" w14:paraId="68AC9CB0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697FD8CA" w14:textId="77777777" w:rsidR="002C3AD3" w:rsidRDefault="002C3AD3"/>
              </w:tc>
            </w:tr>
            <w:tr w:rsidR="002C3AD3" w14:paraId="53978FA5" w14:textId="77777777" w:rsidTr="000A7771">
              <w:trPr>
                <w:trHeight w:val="454"/>
              </w:trPr>
              <w:tc>
                <w:tcPr>
                  <w:tcW w:w="4506" w:type="dxa"/>
                </w:tcPr>
                <w:p w14:paraId="41040DF0" w14:textId="77777777" w:rsidR="007F6897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left"/>
                  </w:pPr>
                  <w:r w:rsidRPr="00E001D0"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#ng_zastupcecpkontrola#"/>
                        </w:textInput>
                      </w:ffData>
                    </w:fldChar>
                  </w:r>
                  <w:r w:rsidRPr="00E001D0">
                    <w:rPr>
                      <w:sz w:val="18"/>
                    </w:rPr>
                    <w:instrText xml:space="preserve"> FORMTEXT </w:instrText>
                  </w:r>
                  <w:r w:rsidR="00000000">
                    <w:rPr>
                      <w:sz w:val="18"/>
                    </w:rPr>
                  </w:r>
                  <w:r w:rsidR="00000000">
                    <w:rPr>
                      <w:sz w:val="18"/>
                    </w:rPr>
                    <w:fldChar w:fldCharType="separate"/>
                  </w:r>
                  <w:r w:rsidRPr="00E001D0">
                    <w:rPr>
                      <w:sz w:val="18"/>
                    </w:rPr>
                    <w:fldChar w:fldCharType="end"/>
                  </w:r>
                </w:p>
              </w:tc>
            </w:tr>
            <w:tr w:rsidR="002C3AD3" w14:paraId="45911D2B" w14:textId="77777777" w:rsidTr="000A7771">
              <w:trPr>
                <w:trHeight w:val="414"/>
              </w:trPr>
              <w:tc>
                <w:tcPr>
                  <w:tcW w:w="4506" w:type="dxa"/>
                </w:tcPr>
                <w:p w14:paraId="786E9683" w14:textId="77777777" w:rsidR="002C3AD3" w:rsidRDefault="002C3AD3"/>
              </w:tc>
            </w:tr>
            <w:tr w:rsidR="002C3AD3" w14:paraId="3513E817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6B18E4F1" w14:textId="77777777" w:rsidR="002C3AD3" w:rsidRDefault="002C3AD3"/>
              </w:tc>
            </w:tr>
          </w:tbl>
          <w:p w14:paraId="57BB7B9E" w14:textId="77777777" w:rsidR="002C3AD3" w:rsidRDefault="002C3AD3"/>
        </w:tc>
        <w:tc>
          <w:tcPr>
            <w:tcW w:w="461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20"/>
            </w:tblGrid>
            <w:tr w:rsidR="002C3AD3" w14:paraId="759B25FE" w14:textId="77777777" w:rsidTr="000A7771">
              <w:trPr>
                <w:trHeight w:val="283"/>
              </w:trPr>
              <w:tc>
                <w:tcPr>
                  <w:tcW w:w="4535" w:type="dxa"/>
                </w:tcPr>
                <w:p w14:paraId="4E823E41" w14:textId="403C778F" w:rsidR="007F6897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E001D0">
                    <w:t xml:space="preserve">V </w:t>
                  </w:r>
                  <w:r w:rsidR="00722FE6">
                    <w:t>XXX</w:t>
                  </w:r>
                  <w:r w:rsidRPr="00E001D0">
                    <w:t xml:space="preserve"> dne </w:t>
                  </w:r>
                </w:p>
              </w:tc>
            </w:tr>
            <w:tr w:rsidR="002C3AD3" w14:paraId="0A44787E" w14:textId="77777777" w:rsidTr="000A7771">
              <w:trPr>
                <w:trHeight w:val="283"/>
              </w:trPr>
              <w:tc>
                <w:tcPr>
                  <w:tcW w:w="4535" w:type="dxa"/>
                  <w:hideMark/>
                </w:tcPr>
                <w:p w14:paraId="2E7A394B" w14:textId="2CB30093" w:rsidR="007F6897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>z</w:t>
                  </w:r>
                  <w:r w:rsidRPr="00E001D0">
                    <w:t>a</w:t>
                  </w:r>
                  <w:r>
                    <w:t xml:space="preserve"> Objednatele</w:t>
                  </w:r>
                  <w:r w:rsidRPr="00E001D0">
                    <w:t>:</w:t>
                  </w:r>
                </w:p>
                <w:p w14:paraId="7E2E4E2F" w14:textId="77777777" w:rsidR="00875822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5C0D6E11" w14:textId="36A68CF4" w:rsidR="00875822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C3AD3" w14:paraId="48F0EE77" w14:textId="77777777" w:rsidTr="000A7771">
              <w:trPr>
                <w:trHeight w:val="283"/>
              </w:trPr>
              <w:tc>
                <w:tcPr>
                  <w:tcW w:w="4535" w:type="dxa"/>
                </w:tcPr>
                <w:p w14:paraId="7FCF25FA" w14:textId="3B710808" w:rsidR="007F6897" w:rsidRPr="00E001D0" w:rsidRDefault="0087582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E001D0">
                    <w:t>_</w:t>
                  </w:r>
                  <w:r>
                    <w:t>_______________________________</w:t>
                  </w:r>
                  <w:r w:rsidRPr="00E001D0">
                    <w:t>_____</w:t>
                  </w:r>
                </w:p>
              </w:tc>
            </w:tr>
            <w:tr w:rsidR="002C3AD3" w14:paraId="3C6B9A0E" w14:textId="77777777" w:rsidTr="000A7771">
              <w:trPr>
                <w:trHeight w:val="454"/>
              </w:trPr>
              <w:tc>
                <w:tcPr>
                  <w:tcW w:w="4535" w:type="dxa"/>
                </w:tcPr>
                <w:p w14:paraId="5DF934CE" w14:textId="46D5C260" w:rsidR="002C3AD3" w:rsidRDefault="00722FE6">
                  <w:pPr>
                    <w:jc w:val="center"/>
                  </w:pPr>
                  <w:r>
                    <w:t>XXX</w:t>
                  </w:r>
                </w:p>
              </w:tc>
            </w:tr>
            <w:tr w:rsidR="002C3AD3" w14:paraId="6B70CF88" w14:textId="77777777" w:rsidTr="000A7771">
              <w:trPr>
                <w:trHeight w:val="413"/>
              </w:trPr>
              <w:tc>
                <w:tcPr>
                  <w:tcW w:w="4535" w:type="dxa"/>
                </w:tcPr>
                <w:p w14:paraId="0701CF0D" w14:textId="382E8F85" w:rsidR="002C3AD3" w:rsidRDefault="00722FE6">
                  <w:pPr>
                    <w:jc w:val="center"/>
                  </w:pPr>
                  <w:r>
                    <w:t>XXX</w:t>
                  </w:r>
                </w:p>
              </w:tc>
            </w:tr>
            <w:tr w:rsidR="002C3AD3" w14:paraId="7C5B6118" w14:textId="77777777" w:rsidTr="000A7771">
              <w:trPr>
                <w:trHeight w:val="283"/>
              </w:trPr>
              <w:tc>
                <w:tcPr>
                  <w:tcW w:w="4535" w:type="dxa"/>
                </w:tcPr>
                <w:p w14:paraId="61D67BE1" w14:textId="77777777" w:rsidR="002C3AD3" w:rsidRDefault="002C3AD3"/>
              </w:tc>
            </w:tr>
          </w:tbl>
          <w:p w14:paraId="58A8C74F" w14:textId="77777777" w:rsidR="002C3AD3" w:rsidRDefault="002C3AD3"/>
        </w:tc>
      </w:tr>
    </w:tbl>
    <w:p w14:paraId="4FC5167E" w14:textId="77777777" w:rsidR="002C3AD3" w:rsidRDefault="002C3AD3"/>
    <w:sectPr w:rsidR="002C3AD3" w:rsidSect="009E7905">
      <w:headerReference w:type="default" r:id="rId8"/>
      <w:footerReference w:type="default" r:id="rId9"/>
      <w:pgSz w:w="11907" w:h="16839" w:code="9"/>
      <w:pgMar w:top="1985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2166" w14:textId="77777777" w:rsidR="00270CF3" w:rsidRDefault="00270CF3">
      <w:pPr>
        <w:spacing w:after="0" w:line="240" w:lineRule="auto"/>
      </w:pPr>
      <w:r>
        <w:separator/>
      </w:r>
    </w:p>
  </w:endnote>
  <w:endnote w:type="continuationSeparator" w:id="0">
    <w:p w14:paraId="12108C26" w14:textId="77777777" w:rsidR="00270CF3" w:rsidRDefault="002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1291" w14:textId="4BECAFF6" w:rsidR="002158FB" w:rsidRDefault="00875822" w:rsidP="00992273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Pr="00160A6D">
      <w:rPr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38490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3681B84" w14:textId="77777777" w:rsidR="002158FB" w:rsidRPr="003B6DBE" w:rsidRDefault="00875822" w:rsidP="009E7905">
    <w:pPr>
      <w:pStyle w:val="Zpat"/>
      <w:jc w:val="left"/>
      <w:rPr>
        <w:color w:val="7F7F7F" w:themeColor="text1" w:themeTint="80"/>
        <w:sz w:val="16"/>
        <w:szCs w:val="18"/>
      </w:rPr>
    </w:pPr>
    <w:r>
      <w:rPr>
        <w:color w:val="7F7F7F" w:themeColor="text1" w:themeTint="80"/>
        <w:sz w:val="16"/>
        <w:szCs w:val="18"/>
      </w:rPr>
      <w:t>100544197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4C83" w14:textId="77777777" w:rsidR="00270CF3" w:rsidRDefault="00270CF3">
      <w:pPr>
        <w:spacing w:after="0" w:line="240" w:lineRule="auto"/>
      </w:pPr>
      <w:r>
        <w:separator/>
      </w:r>
    </w:p>
  </w:footnote>
  <w:footnote w:type="continuationSeparator" w:id="0">
    <w:p w14:paraId="17ADB64B" w14:textId="77777777" w:rsidR="00270CF3" w:rsidRDefault="002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5B51" w14:textId="7C2F327B" w:rsidR="002158FB" w:rsidRPr="00BB2C84" w:rsidRDefault="00000000" w:rsidP="00875822">
    <w:pPr>
      <w:pStyle w:val="Zhlav"/>
      <w:spacing w:before="100"/>
      <w:ind w:left="1276"/>
      <w:rPr>
        <w:rFonts w:ascii="Arial" w:hAnsi="Arial" w:cs="Arial"/>
      </w:rPr>
    </w:pPr>
    <w:r>
      <w:rPr>
        <w:noProof/>
        <w:lang w:eastAsia="cs-CZ"/>
      </w:rPr>
      <w:pict w14:anchorId="21EC6C12"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3" o:spid="_x0000_s3073" type="#_x0000_t32" style="position:absolute;left:0;text-align:left;margin-left:123.3pt;margin-top:5.55pt;width:0;height:36.85pt;z-index:251659264;visibility:visible;mso-wrap-style:square;mso-width-percent:0;mso-height-percent:0;mso-wrap-distance-left:9pt;mso-wrap-distance-top:0;mso-wrap-distance-right:9pt;mso-wrap-distance-bottom:0;mso-position-horizontal-relative:page;mso-width-percent:0;mso-height-percent:0;mso-width-relative:page;mso-height-relative:page" strokeweight="1pt">
          <w10:wrap anchorx="page"/>
        </v:shape>
      </w:pict>
    </w:r>
    <w:r w:rsidR="00875822" w:rsidRPr="00B529F2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5FAADB5" wp14:editId="7CE6B0F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Obrázek 4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5822" w:rsidRPr="00B529F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1F3CF5" wp14:editId="7E7265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5822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5A84D67" wp14:editId="24AE120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5822" w:rsidRPr="001E0C29">
      <w:rPr>
        <w:rFonts w:ascii="Arial" w:hAnsi="Arial" w:cs="Arial"/>
      </w:rPr>
      <w:t xml:space="preserve">Dodatek č.2 </w:t>
    </w:r>
    <w:r w:rsidR="00875822">
      <w:rPr>
        <w:rFonts w:ascii="Arial" w:hAnsi="Arial" w:cs="Arial"/>
      </w:rPr>
      <w:t>k</w:t>
    </w:r>
    <w:r w:rsidR="00722FE6">
      <w:rPr>
        <w:rFonts w:ascii="Arial" w:hAnsi="Arial" w:cs="Arial"/>
      </w:rPr>
      <w:t>e</w:t>
    </w:r>
    <w:r w:rsidR="00875822">
      <w:rPr>
        <w:rFonts w:ascii="Arial" w:hAnsi="Arial" w:cs="Arial"/>
      </w:rPr>
      <w:t> </w:t>
    </w:r>
    <w:r w:rsidR="00722FE6">
      <w:rPr>
        <w:rFonts w:ascii="Arial" w:hAnsi="Arial" w:cs="Arial"/>
      </w:rPr>
      <w:t>Smlouvě</w:t>
    </w:r>
    <w:r w:rsidR="00875822" w:rsidRPr="001E0C29">
      <w:rPr>
        <w:rFonts w:ascii="Arial" w:hAnsi="Arial" w:cs="Arial"/>
      </w:rPr>
      <w:t xml:space="preserve"> o </w:t>
    </w:r>
    <w:r w:rsidR="00722FE6">
      <w:rPr>
        <w:rFonts w:ascii="Arial" w:hAnsi="Arial" w:cs="Arial"/>
      </w:rPr>
      <w:t>svozu</w:t>
    </w:r>
    <w:r w:rsidR="00875822" w:rsidRPr="001E0C29">
      <w:rPr>
        <w:rFonts w:ascii="Arial" w:hAnsi="Arial" w:cs="Arial"/>
      </w:rPr>
      <w:t xml:space="preserve"> a rozvoz</w:t>
    </w:r>
    <w:r w:rsidR="00722FE6">
      <w:rPr>
        <w:rFonts w:ascii="Arial" w:hAnsi="Arial" w:cs="Arial"/>
      </w:rPr>
      <w:t>u</w:t>
    </w:r>
    <w:r w:rsidR="00875822" w:rsidRPr="001E0C29">
      <w:rPr>
        <w:rFonts w:ascii="Arial" w:hAnsi="Arial" w:cs="Arial"/>
      </w:rPr>
      <w:t xml:space="preserve"> poštovních zásilek číslo </w:t>
    </w:r>
    <w:r w:rsidR="00722FE6">
      <w:rPr>
        <w:rFonts w:ascii="Arial" w:hAnsi="Arial" w:cs="Arial"/>
      </w:rPr>
      <w:t>982807-1510/2013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16"/>
    <w:multiLevelType w:val="hybridMultilevel"/>
    <w:tmpl w:val="921A672E"/>
    <w:lvl w:ilvl="0" w:tplc="F150468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B6824B0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42F8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74335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832439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600B8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EC426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38275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58EFD9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91F88"/>
    <w:multiLevelType w:val="multilevel"/>
    <w:tmpl w:val="CE7CE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81443DD"/>
    <w:multiLevelType w:val="hybridMultilevel"/>
    <w:tmpl w:val="F01057BC"/>
    <w:lvl w:ilvl="0" w:tplc="83CCC9A0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B4B650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264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8E2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B6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76B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E24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E6A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02C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5540C2"/>
    <w:multiLevelType w:val="hybridMultilevel"/>
    <w:tmpl w:val="A49EEE44"/>
    <w:lvl w:ilvl="0" w:tplc="E1947E00">
      <w:start w:val="2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562C289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CC8C09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6A023A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976E1C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42942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322F75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220B5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78AF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EAD6835"/>
    <w:multiLevelType w:val="multilevel"/>
    <w:tmpl w:val="17C08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296BED"/>
    <w:multiLevelType w:val="multilevel"/>
    <w:tmpl w:val="74C08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BAC6A82"/>
    <w:multiLevelType w:val="hybridMultilevel"/>
    <w:tmpl w:val="9FA64854"/>
    <w:lvl w:ilvl="0" w:tplc="02EC65C0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E028EFB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E58E1A08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2A68530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7A842BC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7CE288F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20C6B46A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F4342004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C0CCCE2C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4110E53"/>
    <w:multiLevelType w:val="hybridMultilevel"/>
    <w:tmpl w:val="AE1870FC"/>
    <w:lvl w:ilvl="0" w:tplc="E97A7054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CFC8E1D8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9F260E98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38B02D1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7ECCBFEC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4C4670B8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D9540E4A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17AFA0E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FFAAE8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450A4E9F"/>
    <w:multiLevelType w:val="hybridMultilevel"/>
    <w:tmpl w:val="288A8C50"/>
    <w:lvl w:ilvl="0" w:tplc="07280AF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571AEED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CAAF9D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8EE079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338E6F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38221F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FDEDE5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468814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AA8901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BEB40FB"/>
    <w:multiLevelType w:val="hybridMultilevel"/>
    <w:tmpl w:val="09BCBB32"/>
    <w:lvl w:ilvl="0" w:tplc="A7BA1FA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DBED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FA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FCD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AE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2A1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5B4E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021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507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8D0307"/>
    <w:multiLevelType w:val="hybridMultilevel"/>
    <w:tmpl w:val="42D8D89A"/>
    <w:lvl w:ilvl="0" w:tplc="1792AC3C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EFCAB22A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21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06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CB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ACF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645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63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203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B407C"/>
    <w:multiLevelType w:val="multilevel"/>
    <w:tmpl w:val="08F86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4A359C1"/>
    <w:multiLevelType w:val="multilevel"/>
    <w:tmpl w:val="31503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A9778E"/>
    <w:multiLevelType w:val="multilevel"/>
    <w:tmpl w:val="F274F1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FFFFFF" w:themeColor="background1"/>
        <w:sz w:val="22"/>
        <w:szCs w:val="22"/>
      </w:rPr>
    </w:lvl>
    <w:lvl w:ilvl="1">
      <w:start w:val="2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04676F"/>
    <w:multiLevelType w:val="hybridMultilevel"/>
    <w:tmpl w:val="0CC891D6"/>
    <w:lvl w:ilvl="0" w:tplc="A0F670B4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4"/>
        <w:szCs w:val="24"/>
      </w:rPr>
    </w:lvl>
    <w:lvl w:ilvl="1" w:tplc="17907224">
      <w:start w:val="1"/>
      <w:numFmt w:val="decimal"/>
      <w:lvlText w:val="%2.7"/>
      <w:lvlJc w:val="left"/>
      <w:pPr>
        <w:ind w:left="1512" w:hanging="360"/>
      </w:pPr>
      <w:rPr>
        <w:rFonts w:hint="default"/>
      </w:rPr>
    </w:lvl>
    <w:lvl w:ilvl="2" w:tplc="553AF34A">
      <w:start w:val="1"/>
      <w:numFmt w:val="lowerRoman"/>
      <w:lvlText w:val="%3."/>
      <w:lvlJc w:val="right"/>
      <w:pPr>
        <w:ind w:left="2232" w:hanging="180"/>
      </w:pPr>
    </w:lvl>
    <w:lvl w:ilvl="3" w:tplc="04BE611E" w:tentative="1">
      <w:start w:val="1"/>
      <w:numFmt w:val="decimal"/>
      <w:lvlText w:val="%4."/>
      <w:lvlJc w:val="left"/>
      <w:pPr>
        <w:ind w:left="2952" w:hanging="360"/>
      </w:pPr>
    </w:lvl>
    <w:lvl w:ilvl="4" w:tplc="42D0AA12" w:tentative="1">
      <w:start w:val="1"/>
      <w:numFmt w:val="lowerLetter"/>
      <w:lvlText w:val="%5."/>
      <w:lvlJc w:val="left"/>
      <w:pPr>
        <w:ind w:left="3672" w:hanging="360"/>
      </w:pPr>
    </w:lvl>
    <w:lvl w:ilvl="5" w:tplc="ED4051C8" w:tentative="1">
      <w:start w:val="1"/>
      <w:numFmt w:val="lowerRoman"/>
      <w:lvlText w:val="%6."/>
      <w:lvlJc w:val="right"/>
      <w:pPr>
        <w:ind w:left="4392" w:hanging="180"/>
      </w:pPr>
    </w:lvl>
    <w:lvl w:ilvl="6" w:tplc="DDBCFF36" w:tentative="1">
      <w:start w:val="1"/>
      <w:numFmt w:val="decimal"/>
      <w:lvlText w:val="%7."/>
      <w:lvlJc w:val="left"/>
      <w:pPr>
        <w:ind w:left="5112" w:hanging="360"/>
      </w:pPr>
    </w:lvl>
    <w:lvl w:ilvl="7" w:tplc="72E65780" w:tentative="1">
      <w:start w:val="1"/>
      <w:numFmt w:val="lowerLetter"/>
      <w:lvlText w:val="%8."/>
      <w:lvlJc w:val="left"/>
      <w:pPr>
        <w:ind w:left="5832" w:hanging="360"/>
      </w:pPr>
    </w:lvl>
    <w:lvl w:ilvl="8" w:tplc="1F9644E0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109278978">
    <w:abstractNumId w:val="15"/>
  </w:num>
  <w:num w:numId="2" w16cid:durableId="1272276208">
    <w:abstractNumId w:val="10"/>
  </w:num>
  <w:num w:numId="3" w16cid:durableId="2012953976">
    <w:abstractNumId w:val="11"/>
  </w:num>
  <w:num w:numId="4" w16cid:durableId="1127090397">
    <w:abstractNumId w:val="13"/>
  </w:num>
  <w:num w:numId="5" w16cid:durableId="313875160">
    <w:abstractNumId w:val="3"/>
  </w:num>
  <w:num w:numId="6" w16cid:durableId="1200165702">
    <w:abstractNumId w:val="16"/>
  </w:num>
  <w:num w:numId="7" w16cid:durableId="46494447">
    <w:abstractNumId w:val="2"/>
  </w:num>
  <w:num w:numId="8" w16cid:durableId="708650887">
    <w:abstractNumId w:val="8"/>
  </w:num>
  <w:num w:numId="9" w16cid:durableId="334890150">
    <w:abstractNumId w:val="7"/>
  </w:num>
  <w:num w:numId="10" w16cid:durableId="1493718341">
    <w:abstractNumId w:val="5"/>
  </w:num>
  <w:num w:numId="11" w16cid:durableId="1965042927">
    <w:abstractNumId w:val="6"/>
  </w:num>
  <w:num w:numId="12" w16cid:durableId="1293445467">
    <w:abstractNumId w:val="1"/>
  </w:num>
  <w:num w:numId="13" w16cid:durableId="1623071328">
    <w:abstractNumId w:val="12"/>
  </w:num>
  <w:num w:numId="14" w16cid:durableId="1534921161">
    <w:abstractNumId w:val="14"/>
  </w:num>
  <w:num w:numId="15" w16cid:durableId="35476882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514112">
    <w:abstractNumId w:val="9"/>
  </w:num>
  <w:num w:numId="17" w16cid:durableId="82264039">
    <w:abstractNumId w:val="0"/>
  </w:num>
  <w:num w:numId="18" w16cid:durableId="137309251">
    <w:abstractNumId w:val="4"/>
  </w:num>
  <w:num w:numId="19" w16cid:durableId="1192109322">
    <w:abstractNumId w:val="11"/>
  </w:num>
  <w:num w:numId="20" w16cid:durableId="15274452">
    <w:abstractNumId w:val="15"/>
  </w:num>
  <w:num w:numId="21" w16cid:durableId="2042433574">
    <w:abstractNumId w:val="15"/>
  </w:num>
  <w:num w:numId="22" w16cid:durableId="2131126097">
    <w:abstractNumId w:val="15"/>
  </w:num>
  <w:num w:numId="23" w16cid:durableId="739522085">
    <w:abstractNumId w:val="15"/>
  </w:num>
  <w:num w:numId="24" w16cid:durableId="179049011">
    <w:abstractNumId w:val="15"/>
  </w:num>
  <w:num w:numId="25" w16cid:durableId="975795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  <o:rules v:ext="edit">
        <o:r id="V:Rule1" type="connector" idref="#Přímá spojnice se šipkou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D3"/>
    <w:rsid w:val="00270CF3"/>
    <w:rsid w:val="002C3AD3"/>
    <w:rsid w:val="00384906"/>
    <w:rsid w:val="004F5547"/>
    <w:rsid w:val="00722FE6"/>
    <w:rsid w:val="008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ACEB1C"/>
  <w15:docId w15:val="{55BC0D17-4CAB-47A7-A89B-5B66E81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5"/>
      </w:numPr>
    </w:pPr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D5C0-CF5D-419D-984C-0EE21A6B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2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Čiháková Aneta Ing.</cp:lastModifiedBy>
  <cp:revision>3</cp:revision>
  <cp:lastPrinted>2014-05-29T13:48:00Z</cp:lastPrinted>
  <dcterms:created xsi:type="dcterms:W3CDTF">2024-01-03T09:53:00Z</dcterms:created>
  <dcterms:modified xsi:type="dcterms:W3CDTF">2024-01-03T09:53:00Z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2024-01-03T09:53:09Z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73af23cd-44db-4307-949c-8083c6c90d2d</vt:lpwstr>
  </property>
  <property fmtid="{D5CDD505-2E9C-101B-9397-08002B2CF9AE}" pid="8" name="MSIP_Label_06385286-8155-42cb-8f3c-2e99713295e1_ContentBits">
    <vt:lpwstr>0</vt:lpwstr>
  </property>
</Properties>
</file>