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D0A5" w14:textId="77777777" w:rsidR="00025F03" w:rsidRPr="00025F03" w:rsidRDefault="00025F03" w:rsidP="00D8449D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</w:p>
    <w:p w14:paraId="63D82C05" w14:textId="611252E0" w:rsidR="00002C42" w:rsidRDefault="00002C42" w:rsidP="00D8449D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914096">
        <w:rPr>
          <w:rFonts w:ascii="Times New Roman" w:eastAsia="Calibri" w:hAnsi="Times New Roman" w:cs="Times New Roman"/>
          <w:b/>
          <w:sz w:val="36"/>
        </w:rPr>
        <w:t>5</w:t>
      </w:r>
    </w:p>
    <w:p w14:paraId="771DB319" w14:textId="77777777" w:rsidR="00002C42" w:rsidRDefault="00002C42" w:rsidP="00D8449D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496CCCE1" w14:textId="2CF8D4C8" w:rsidR="00025F03" w:rsidRPr="00025F03" w:rsidRDefault="00002C42" w:rsidP="00D8449D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="00025F03"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E763F9">
        <w:rPr>
          <w:rFonts w:ascii="Times New Roman" w:eastAsia="Calibri" w:hAnsi="Times New Roman" w:cs="Times New Roman"/>
          <w:b/>
          <w:sz w:val="36"/>
        </w:rPr>
        <w:t>1</w:t>
      </w:r>
      <w:r w:rsidR="008B7D5D">
        <w:rPr>
          <w:rFonts w:ascii="Times New Roman" w:eastAsia="Calibri" w:hAnsi="Times New Roman" w:cs="Times New Roman"/>
          <w:b/>
          <w:sz w:val="36"/>
        </w:rPr>
        <w:t>8</w:t>
      </w:r>
      <w:r>
        <w:rPr>
          <w:rFonts w:ascii="Times New Roman" w:eastAsia="Calibri" w:hAnsi="Times New Roman" w:cs="Times New Roman"/>
          <w:b/>
          <w:sz w:val="36"/>
        </w:rPr>
        <w:t>. </w:t>
      </w:r>
      <w:r w:rsidR="00E763F9">
        <w:rPr>
          <w:rFonts w:ascii="Times New Roman" w:eastAsia="Calibri" w:hAnsi="Times New Roman" w:cs="Times New Roman"/>
          <w:b/>
          <w:sz w:val="36"/>
        </w:rPr>
        <w:t>4</w:t>
      </w:r>
      <w:r>
        <w:rPr>
          <w:rFonts w:ascii="Times New Roman" w:eastAsia="Calibri" w:hAnsi="Times New Roman" w:cs="Times New Roman"/>
          <w:b/>
          <w:sz w:val="36"/>
        </w:rPr>
        <w:t>. 201</w:t>
      </w:r>
      <w:r w:rsidR="008B7D5D">
        <w:rPr>
          <w:rFonts w:ascii="Times New Roman" w:eastAsia="Calibri" w:hAnsi="Times New Roman" w:cs="Times New Roman"/>
          <w:b/>
          <w:sz w:val="36"/>
        </w:rPr>
        <w:t>7</w:t>
      </w:r>
    </w:p>
    <w:p w14:paraId="6DFCA4E2" w14:textId="77777777" w:rsidR="00025F03" w:rsidRPr="00025F03" w:rsidRDefault="00025F03" w:rsidP="00D8449D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104E6771" w14:textId="77777777" w:rsidR="00DC27F7" w:rsidRDefault="00025F03" w:rsidP="00D8449D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 w:rsidR="00002C42"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>zákona č. 137/2006 Sb., o veřejných zakázkách,</w:t>
      </w:r>
      <w:r w:rsidR="00DC27F7">
        <w:rPr>
          <w:rFonts w:ascii="Times New Roman" w:eastAsia="Calibri" w:hAnsi="Times New Roman" w:cs="Times New Roman"/>
        </w:rPr>
        <w:t xml:space="preserve"> ve znění</w:t>
      </w:r>
      <w:r w:rsidRPr="00025F03">
        <w:rPr>
          <w:rFonts w:ascii="Times New Roman" w:eastAsia="Calibri" w:hAnsi="Times New Roman" w:cs="Times New Roman"/>
        </w:rPr>
        <w:t xml:space="preserve"> </w:t>
      </w:r>
      <w:r w:rsidR="00DC27F7" w:rsidRPr="00134DD4">
        <w:rPr>
          <w:rFonts w:ascii="Times New Roman" w:hAnsi="Times New Roman"/>
        </w:rPr>
        <w:t xml:space="preserve">účinném přede dnem nabytí účinnosti zákona č. 134/2016 Sb., </w:t>
      </w:r>
      <w:r w:rsidR="00DC27F7" w:rsidRPr="00134DD4">
        <w:rPr>
          <w:rFonts w:ascii="Times New Roman" w:hAnsi="Times New Roman"/>
        </w:rPr>
        <w:br/>
        <w:t>o zadávání veřejných zakázek, ve znění pozdějších předpisů (dále jen „</w:t>
      </w:r>
      <w:r w:rsidR="00DC27F7" w:rsidRPr="002E18C7">
        <w:rPr>
          <w:rFonts w:ascii="Times New Roman" w:hAnsi="Times New Roman"/>
          <w:i/>
        </w:rPr>
        <w:t>ZZVZ</w:t>
      </w:r>
      <w:r w:rsidR="00DC27F7" w:rsidRPr="00134DD4">
        <w:rPr>
          <w:rFonts w:ascii="Times New Roman" w:hAnsi="Times New Roman"/>
        </w:rPr>
        <w:t>“),</w:t>
      </w:r>
    </w:p>
    <w:p w14:paraId="2AE31EE9" w14:textId="77777777" w:rsidR="00025F03" w:rsidRDefault="00DC27F7" w:rsidP="00D8449D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  <w:r w:rsidRPr="00134DD4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="00025F03" w:rsidRPr="00025F03">
        <w:rPr>
          <w:rFonts w:ascii="Times New Roman" w:eastAsia="Calibri" w:hAnsi="Times New Roman" w:cs="Times New Roman"/>
          <w:i/>
        </w:rPr>
        <w:t>“</w:t>
      </w:r>
      <w:r w:rsidR="00025F03" w:rsidRPr="00025F03">
        <w:rPr>
          <w:rFonts w:ascii="Times New Roman" w:eastAsia="Calibri" w:hAnsi="Times New Roman" w:cs="Times New Roman"/>
        </w:rPr>
        <w:t>)</w:t>
      </w:r>
    </w:p>
    <w:p w14:paraId="6625A7B6" w14:textId="77777777" w:rsidR="00DC27F7" w:rsidRPr="00025F03" w:rsidRDefault="00DC27F7" w:rsidP="00D8449D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</w:p>
    <w:p w14:paraId="4D9FCD81" w14:textId="77777777" w:rsidR="00025F03" w:rsidRPr="00025F03" w:rsidRDefault="00025F03" w:rsidP="00D8449D">
      <w:pPr>
        <w:widowControl w:val="0"/>
        <w:spacing w:after="120" w:line="280" w:lineRule="atLeast"/>
        <w:jc w:val="center"/>
        <w:rPr>
          <w:rFonts w:ascii="Times New Roman" w:eastAsia="Calibri" w:hAnsi="Times New Roman" w:cs="Times New Roman"/>
          <w:b/>
          <w:highlight w:val="yellow"/>
        </w:rPr>
      </w:pPr>
    </w:p>
    <w:p w14:paraId="069BA648" w14:textId="77777777" w:rsidR="00002C42" w:rsidRDefault="00002C42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1C46D886" w14:textId="77777777" w:rsidR="00002C42" w:rsidRDefault="00002C42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4ED4147" w14:textId="77777777" w:rsidR="00025F03" w:rsidRPr="00025F03" w:rsidRDefault="00025F03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 xml:space="preserve">Česká </w:t>
      </w:r>
      <w:proofErr w:type="gramStart"/>
      <w:r w:rsidRPr="00025F03">
        <w:rPr>
          <w:rFonts w:ascii="Times New Roman" w:eastAsia="Calibri" w:hAnsi="Times New Roman" w:cs="Times New Roman"/>
          <w:b/>
        </w:rPr>
        <w:t>republika - Ministerstvo</w:t>
      </w:r>
      <w:proofErr w:type="gramEnd"/>
      <w:r w:rsidRPr="00025F03">
        <w:rPr>
          <w:rFonts w:ascii="Times New Roman" w:eastAsia="Calibri" w:hAnsi="Times New Roman" w:cs="Times New Roman"/>
          <w:b/>
        </w:rPr>
        <w:t xml:space="preserve"> práce a sociálních věcí</w:t>
      </w:r>
    </w:p>
    <w:p w14:paraId="7CEE2E43" w14:textId="77777777" w:rsidR="00025F03" w:rsidRPr="00025F03" w:rsidRDefault="00025F03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871A8A4" w14:textId="7B7D8688" w:rsidR="00025F03" w:rsidRPr="00025F03" w:rsidRDefault="00025F03" w:rsidP="00D8449D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3C270C">
        <w:rPr>
          <w:rFonts w:ascii="Times New Roman" w:eastAsia="Calibri" w:hAnsi="Times New Roman" w:cs="Times New Roman"/>
        </w:rPr>
        <w:t>veřejných zakázek</w:t>
      </w:r>
      <w:r w:rsidR="00AF7CE0">
        <w:rPr>
          <w:rFonts w:ascii="Times New Roman" w:eastAsia="Calibri" w:hAnsi="Times New Roman" w:cs="Times New Roman"/>
        </w:rPr>
        <w:t xml:space="preserve"> a právní podpory</w:t>
      </w:r>
    </w:p>
    <w:p w14:paraId="1B5F6F6D" w14:textId="77777777" w:rsidR="00025F03" w:rsidRPr="00025F03" w:rsidRDefault="00025F03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 w:rsidR="000E2165"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74265E4" w14:textId="77777777" w:rsidR="00025F03" w:rsidRPr="00025F03" w:rsidRDefault="00025F03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094BA5A3" w14:textId="33A8FF5A" w:rsidR="00025F03" w:rsidRPr="00025F03" w:rsidRDefault="00025F03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61E0E78" w14:textId="77777777" w:rsidR="00025F03" w:rsidRPr="00025F03" w:rsidRDefault="00025F03" w:rsidP="00D8449D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3A1DEA89" w14:textId="77777777" w:rsidR="00025F03" w:rsidRPr="00025F03" w:rsidRDefault="00025F03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28BB548D" w14:textId="77777777" w:rsidR="00025F03" w:rsidRPr="00025F03" w:rsidRDefault="00025F03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35A76357" w14:textId="77777777" w:rsidR="00025F03" w:rsidRPr="00025F03" w:rsidRDefault="00025F03" w:rsidP="00D8449D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19ACA55" w14:textId="77777777" w:rsidR="00025F03" w:rsidRPr="00025F03" w:rsidRDefault="00025F03" w:rsidP="00D8449D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2885AAF2" w14:textId="77777777" w:rsidR="003F65CB" w:rsidRPr="00D049E6" w:rsidRDefault="003F65CB" w:rsidP="00D8449D">
      <w:pPr>
        <w:keepNext/>
        <w:keepLines/>
        <w:spacing w:line="280" w:lineRule="atLeast"/>
        <w:contextualSpacing/>
        <w:rPr>
          <w:rFonts w:ascii="Times New Roman" w:hAnsi="Times New Roman"/>
          <w:b/>
        </w:rPr>
      </w:pPr>
      <w:r w:rsidRPr="00D049E6">
        <w:rPr>
          <w:rFonts w:ascii="Times New Roman" w:hAnsi="Times New Roman"/>
          <w:b/>
        </w:rPr>
        <w:t xml:space="preserve">DLA </w:t>
      </w:r>
      <w:proofErr w:type="spellStart"/>
      <w:r w:rsidRPr="00D049E6">
        <w:rPr>
          <w:rFonts w:ascii="Times New Roman" w:hAnsi="Times New Roman"/>
          <w:b/>
        </w:rPr>
        <w:t>Piper</w:t>
      </w:r>
      <w:proofErr w:type="spellEnd"/>
      <w:r w:rsidRPr="00D049E6">
        <w:rPr>
          <w:rFonts w:ascii="Times New Roman" w:hAnsi="Times New Roman"/>
          <w:b/>
        </w:rPr>
        <w:t xml:space="preserve"> Prague LLP</w:t>
      </w:r>
    </w:p>
    <w:p w14:paraId="2AFBDCAF" w14:textId="77777777" w:rsidR="003F65CB" w:rsidRDefault="003F65CB" w:rsidP="00D8449D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sídlem: 3 Noble Street, Londýn, EC2V 7EE, Spojené království Velké Británie a Severního Irska, jednající prostřednictvím své organizační složky DLA </w:t>
      </w:r>
      <w:proofErr w:type="spellStart"/>
      <w:r>
        <w:rPr>
          <w:rFonts w:ascii="Times New Roman" w:hAnsi="Times New Roman"/>
        </w:rPr>
        <w:t>Piper</w:t>
      </w:r>
      <w:proofErr w:type="spellEnd"/>
      <w:r>
        <w:rPr>
          <w:rFonts w:ascii="Times New Roman" w:hAnsi="Times New Roman"/>
        </w:rPr>
        <w:t xml:space="preserve"> Prague LLP, organizační složka,</w:t>
      </w:r>
    </w:p>
    <w:p w14:paraId="1B4DE617" w14:textId="77777777" w:rsidR="003F65CB" w:rsidRPr="00F06F8C" w:rsidRDefault="003F65CB" w:rsidP="00D8449D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se sídlem Perlová 371/5, 110 00 Praha 1</w:t>
      </w:r>
    </w:p>
    <w:p w14:paraId="1680C2E5" w14:textId="7C6981F2" w:rsidR="003F65CB" w:rsidRPr="00F06F8C" w:rsidRDefault="003F65CB" w:rsidP="00D8449D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E044B">
        <w:rPr>
          <w:rFonts w:ascii="Times New Roman" w:hAnsi="Times New Roman"/>
        </w:rPr>
        <w:t>zastoupený: Mgr. Miroslavem Dubovským</w:t>
      </w:r>
      <w:r w:rsidR="00E763F9" w:rsidRPr="00FE044B">
        <w:rPr>
          <w:rFonts w:ascii="Times New Roman" w:hAnsi="Times New Roman"/>
        </w:rPr>
        <w:t>, na základě plné moci</w:t>
      </w:r>
    </w:p>
    <w:p w14:paraId="64C18A0E" w14:textId="77777777" w:rsidR="003F65CB" w:rsidRPr="00F06F8C" w:rsidRDefault="003F65CB" w:rsidP="00D8449D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28518659</w:t>
      </w:r>
    </w:p>
    <w:p w14:paraId="6FDA2422" w14:textId="77777777" w:rsidR="003F65CB" w:rsidRPr="00F06F8C" w:rsidRDefault="003F65CB" w:rsidP="00D8449D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CZ28518659</w:t>
      </w:r>
    </w:p>
    <w:p w14:paraId="56CF9E13" w14:textId="6BA1CE0E" w:rsidR="00AD15B9" w:rsidRDefault="003F65CB" w:rsidP="00AD15B9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bankovní spojení:</w:t>
      </w:r>
      <w:r w:rsidR="00A00F28">
        <w:rPr>
          <w:rFonts w:ascii="Times New Roman" w:hAnsi="Times New Roman"/>
        </w:rPr>
        <w:t xml:space="preserve"> </w:t>
      </w:r>
      <w:r w:rsidR="00A00F28" w:rsidRPr="00A00F28">
        <w:rPr>
          <w:rFonts w:ascii="Times New Roman" w:hAnsi="Times New Roman"/>
          <w:i/>
          <w:iCs/>
        </w:rPr>
        <w:t>neveřejný</w:t>
      </w:r>
      <w:r w:rsidR="00A00F28" w:rsidRPr="00A00F28">
        <w:rPr>
          <w:rFonts w:ascii="Times New Roman" w:hAnsi="Times New Roman"/>
          <w:i/>
          <w:iCs/>
          <w:color w:val="FFFFFF" w:themeColor="background1"/>
        </w:rPr>
        <w:t xml:space="preserve"> </w:t>
      </w:r>
      <w:proofErr w:type="spellStart"/>
      <w:r w:rsidR="00A00F28">
        <w:rPr>
          <w:rFonts w:ascii="Times New Roman" w:hAnsi="Times New Roman"/>
          <w:i/>
          <w:iCs/>
        </w:rPr>
        <w:t>údaj</w:t>
      </w:r>
      <w:r w:rsidR="00A00F28" w:rsidRPr="00A00F28">
        <w:rPr>
          <w:rFonts w:ascii="Times New Roman" w:hAnsi="Times New Roman"/>
          <w:i/>
          <w:iCs/>
          <w:color w:val="FFFFFF" w:themeColor="background1"/>
        </w:rPr>
        <w:t>aj</w:t>
      </w:r>
      <w:proofErr w:type="spellEnd"/>
    </w:p>
    <w:p w14:paraId="592AEBD6" w14:textId="6B35B568" w:rsidR="003F65CB" w:rsidRPr="00F06F8C" w:rsidRDefault="003F65CB" w:rsidP="00AD15B9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  <w:r w:rsidR="00AD15B9" w:rsidRPr="00A00F28">
        <w:rPr>
          <w:rFonts w:ascii="Times New Roman" w:hAnsi="Times New Roman"/>
          <w:i/>
          <w:iCs/>
        </w:rPr>
        <w:t>neveřejný</w:t>
      </w:r>
      <w:r w:rsidR="00AD15B9" w:rsidRPr="00A00F28">
        <w:rPr>
          <w:rFonts w:ascii="Times New Roman" w:hAnsi="Times New Roman"/>
          <w:i/>
          <w:iCs/>
          <w:color w:val="FFFFFF" w:themeColor="background1"/>
        </w:rPr>
        <w:t xml:space="preserve"> </w:t>
      </w:r>
      <w:proofErr w:type="spellStart"/>
      <w:r w:rsidR="00A00F28">
        <w:rPr>
          <w:rFonts w:ascii="Times New Roman" w:hAnsi="Times New Roman"/>
          <w:i/>
          <w:iCs/>
        </w:rPr>
        <w:t>údaj</w:t>
      </w:r>
      <w:r w:rsidR="00AD15B9" w:rsidRPr="00A00F28">
        <w:rPr>
          <w:rFonts w:ascii="Times New Roman" w:hAnsi="Times New Roman"/>
          <w:i/>
          <w:iCs/>
          <w:color w:val="FFFFFF" w:themeColor="background1"/>
        </w:rPr>
        <w:t>aj</w:t>
      </w:r>
      <w:proofErr w:type="spellEnd"/>
    </w:p>
    <w:p w14:paraId="5EA64542" w14:textId="77777777" w:rsidR="003F65CB" w:rsidRPr="00F06F8C" w:rsidRDefault="003F65CB" w:rsidP="00D8449D">
      <w:pPr>
        <w:keepNext/>
        <w:keepLines/>
        <w:spacing w:line="280" w:lineRule="atLeast"/>
        <w:contextualSpacing/>
        <w:rPr>
          <w:rFonts w:ascii="Times New Roman" w:hAnsi="Times New Roman"/>
        </w:rPr>
      </w:pPr>
    </w:p>
    <w:p w14:paraId="2BBBF0FC" w14:textId="5612962D" w:rsidR="003F65CB" w:rsidRPr="00F06F8C" w:rsidRDefault="00E763F9" w:rsidP="00D8449D">
      <w:pPr>
        <w:keepNext/>
        <w:keepLines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(dále jen</w:t>
      </w:r>
      <w:r w:rsidR="003F65CB" w:rsidRPr="00F06F8C">
        <w:rPr>
          <w:rFonts w:ascii="Times New Roman" w:hAnsi="Times New Roman"/>
          <w:b/>
          <w:i/>
        </w:rPr>
        <w:t xml:space="preserve"> „</w:t>
      </w:r>
      <w:r w:rsidR="003F65CB">
        <w:rPr>
          <w:rFonts w:ascii="Times New Roman" w:hAnsi="Times New Roman"/>
          <w:b/>
          <w:i/>
        </w:rPr>
        <w:t>Advokát</w:t>
      </w:r>
      <w:r w:rsidR="003F65CB" w:rsidRPr="00F06F8C">
        <w:rPr>
          <w:rFonts w:ascii="Times New Roman" w:hAnsi="Times New Roman"/>
          <w:b/>
          <w:i/>
        </w:rPr>
        <w:t>“)</w:t>
      </w:r>
    </w:p>
    <w:p w14:paraId="6418BEA0" w14:textId="77777777" w:rsidR="003F65CB" w:rsidRDefault="003F65CB" w:rsidP="00D8449D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295489F4" w14:textId="77777777" w:rsidR="00002C42" w:rsidRDefault="00002C42" w:rsidP="00D8449D">
      <w:pPr>
        <w:widowControl w:val="0"/>
        <w:spacing w:after="200" w:line="280" w:lineRule="atLeast"/>
        <w:rPr>
          <w:rFonts w:ascii="Times New Roman" w:eastAsia="Calibri" w:hAnsi="Times New Roman" w:cs="Times New Roman"/>
        </w:rPr>
      </w:pPr>
    </w:p>
    <w:p w14:paraId="2B3D2717" w14:textId="77777777" w:rsidR="00002C42" w:rsidRDefault="00002C42" w:rsidP="00D8449D">
      <w:pPr>
        <w:keepNext/>
        <w:keepLines/>
        <w:suppressLineNumbers/>
        <w:suppressAutoHyphens/>
        <w:spacing w:after="200" w:line="280" w:lineRule="atLeast"/>
        <w:rPr>
          <w:rFonts w:ascii="Times New Roman" w:eastAsia="Calibri" w:hAnsi="Times New Roman" w:cs="Times New Roman"/>
        </w:rPr>
      </w:pPr>
    </w:p>
    <w:p w14:paraId="641161D7" w14:textId="4C138164" w:rsidR="00002C42" w:rsidRDefault="00DC27F7" w:rsidP="00D8449D">
      <w:pPr>
        <w:keepNext/>
        <w:keepLines/>
        <w:suppressLineNumbers/>
        <w:suppressAutoHyphens/>
        <w:spacing w:after="200" w:line="280" w:lineRule="atLeast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002C42">
        <w:rPr>
          <w:rFonts w:ascii="Times New Roman" w:eastAsia="Calibri" w:hAnsi="Times New Roman" w:cs="Times New Roman"/>
        </w:rPr>
        <w:t xml:space="preserve">zavřely níže uvedeného dne, měsíce a roku tento dodatek č. </w:t>
      </w:r>
      <w:r w:rsidR="00914096">
        <w:rPr>
          <w:rFonts w:ascii="Times New Roman" w:eastAsia="Calibri" w:hAnsi="Times New Roman" w:cs="Times New Roman"/>
        </w:rPr>
        <w:t>5</w:t>
      </w:r>
      <w:r w:rsidR="00002C42">
        <w:rPr>
          <w:rFonts w:ascii="Times New Roman" w:eastAsia="Calibri" w:hAnsi="Times New Roman" w:cs="Times New Roman"/>
        </w:rPr>
        <w:t xml:space="preserve"> k </w:t>
      </w:r>
      <w:r>
        <w:rPr>
          <w:rFonts w:ascii="Times New Roman" w:eastAsia="Calibri" w:hAnsi="Times New Roman" w:cs="Times New Roman"/>
        </w:rPr>
        <w:t>D</w:t>
      </w:r>
      <w:r w:rsidR="00002C42">
        <w:rPr>
          <w:rFonts w:ascii="Times New Roman" w:eastAsia="Calibri" w:hAnsi="Times New Roman" w:cs="Times New Roman"/>
        </w:rPr>
        <w:t xml:space="preserve">ílčí smlouvě </w:t>
      </w:r>
      <w:r w:rsidR="00832BF2">
        <w:rPr>
          <w:rFonts w:ascii="Times New Roman" w:eastAsia="Calibri" w:hAnsi="Times New Roman" w:cs="Times New Roman"/>
        </w:rPr>
        <w:t>(dále jen „</w:t>
      </w:r>
      <w:r w:rsidR="00832BF2" w:rsidRPr="00760865">
        <w:rPr>
          <w:rFonts w:ascii="Times New Roman" w:eastAsia="Calibri" w:hAnsi="Times New Roman" w:cs="Times New Roman"/>
          <w:i/>
        </w:rPr>
        <w:t>Dodatek</w:t>
      </w:r>
      <w:r w:rsidR="00832BF2">
        <w:rPr>
          <w:rFonts w:ascii="Times New Roman" w:eastAsia="Calibri" w:hAnsi="Times New Roman" w:cs="Times New Roman"/>
        </w:rPr>
        <w:t>“)</w:t>
      </w:r>
    </w:p>
    <w:p w14:paraId="09E34FB3" w14:textId="77777777" w:rsidR="00002C42" w:rsidRDefault="00002C42" w:rsidP="00D8449D">
      <w:pPr>
        <w:keepNext/>
        <w:keepLines/>
        <w:suppressLineNumbers/>
        <w:suppressAutoHyphens/>
        <w:spacing w:after="200" w:line="280" w:lineRule="atLeast"/>
        <w:jc w:val="center"/>
        <w:rPr>
          <w:rFonts w:ascii="Times New Roman" w:eastAsia="Calibri" w:hAnsi="Times New Roman" w:cs="Times New Roman"/>
        </w:rPr>
      </w:pPr>
    </w:p>
    <w:p w14:paraId="70752A4A" w14:textId="77777777" w:rsidR="00002C42" w:rsidRDefault="00002C42" w:rsidP="00D8449D">
      <w:pPr>
        <w:spacing w:line="280" w:lineRule="atLeas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9E455C9" w14:textId="77777777" w:rsidR="00002C42" w:rsidRDefault="00002C42" w:rsidP="00D8449D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27BBF86E" w14:textId="77777777" w:rsidR="00002C42" w:rsidRDefault="00002C42" w:rsidP="00D8449D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4F86CA00" w14:textId="3CC5635A" w:rsidR="00002C42" w:rsidRPr="005315D1" w:rsidRDefault="00002C42" w:rsidP="00D8449D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18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  <w:r w:rsid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20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v souladu s ustanovením § 89 odst. 6 písm. a) zákona č.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137/2006 Sb., o veřejných zakázkách, </w:t>
      </w:r>
      <w:r w:rsidR="00DC27F7" w:rsidRPr="00025F03">
        <w:rPr>
          <w:rFonts w:ascii="Times New Roman" w:eastAsia="Calibri" w:hAnsi="Times New Roman" w:cs="Times New Roman"/>
        </w:rPr>
        <w:t xml:space="preserve">ve </w:t>
      </w:r>
      <w:r w:rsidR="00DC27F7" w:rsidRPr="002E18C7">
        <w:rPr>
          <w:rFonts w:ascii="Times New Roman" w:eastAsia="Calibri" w:hAnsi="Times New Roman" w:cs="Times New Roman"/>
        </w:rPr>
        <w:t xml:space="preserve">znění </w:t>
      </w:r>
      <w:r w:rsidR="00DC27F7" w:rsidRPr="00134DD4">
        <w:rPr>
          <w:rFonts w:ascii="Times New Roman" w:hAnsi="Times New Roman"/>
        </w:rPr>
        <w:t>účinném přede dnem nabytí účinnosti</w:t>
      </w:r>
      <w:r w:rsidR="00DC27F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DC27F7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smlouvu, na základě které je Advokát povinen poskytovat Objednateli právní služby 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spočívající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E763F9">
        <w:rPr>
          <w:rFonts w:ascii="Times New Roman" w:hAnsi="Times New Roman"/>
          <w:kern w:val="32"/>
          <w:lang w:eastAsia="cs-CZ"/>
        </w:rPr>
        <w:t>zajištění</w:t>
      </w:r>
      <w:r w:rsidR="003F65CB" w:rsidRPr="003F65CB">
        <w:rPr>
          <w:rFonts w:ascii="Times New Roman" w:hAnsi="Times New Roman"/>
          <w:szCs w:val="20"/>
        </w:rPr>
        <w:t xml:space="preserve"> </w:t>
      </w:r>
      <w:r w:rsidR="003F65CB" w:rsidRPr="0039797E">
        <w:rPr>
          <w:rFonts w:ascii="Times New Roman" w:hAnsi="Times New Roman"/>
          <w:szCs w:val="20"/>
        </w:rPr>
        <w:t>právního poradenství v oblasti závazkového práva podle nového občanského zákoníku a práva veřejných zakázek</w:t>
      </w:r>
      <w:r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8B7D5D" w:rsidRPr="006701A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 maximálním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rozsahu </w:t>
      </w:r>
      <w:r w:rsidR="003F65C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000 hodin.</w:t>
      </w:r>
    </w:p>
    <w:p w14:paraId="2947A401" w14:textId="5C6A0984" w:rsidR="00AF7CE0" w:rsidRDefault="00AF7CE0" w:rsidP="00D8449D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9</w:t>
      </w: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12. 2018 </w:t>
      </w:r>
      <w:bookmarkStart w:id="0" w:name="_Hlk89880561"/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uzavřely smluvní strany Dodatek č. 1 k výše uvedené Dílčí smlouvě, kterým došlo k úpravě čl. IV. odst. 4.1 Dílčí smlouvy.</w:t>
      </w:r>
      <w:bookmarkEnd w:id="0"/>
    </w:p>
    <w:p w14:paraId="6AFBEEA8" w14:textId="2357BF28" w:rsidR="006C1756" w:rsidRDefault="006C1756" w:rsidP="00D8449D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16. 12. 2020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uzavřely smluvní strany Dodatek č.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k výše uvedené Dílčí smlouvě, kterým došlo k úpravě čl. IV. odst. 4.1 Dílčí smlouvy.</w:t>
      </w:r>
    </w:p>
    <w:p w14:paraId="1632D180" w14:textId="08CCDD4F" w:rsidR="00914096" w:rsidRDefault="00914096" w:rsidP="00D8449D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10. 12. 2021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uzavřely smluvní strany Dodatek č.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3 k výše uvedené Dílčí smlouvě,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kterým došlo k úpravě čl. IV. odst. 4.1 Dílčí smlouvy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2981469A" w14:textId="6ACB41CD" w:rsidR="00914096" w:rsidRPr="00A959F9" w:rsidRDefault="00914096" w:rsidP="00D8449D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29. 12. 2022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uzavřely smluvní strany Dodatek č.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4 k výše uvedené Dílčí smlouvě,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kterým došlo k úpravě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čl. III. Odst. 3.1 a </w:t>
      </w:r>
      <w:r w:rsidRP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čl. IV. odst. 4.1 Dílčí smlouvy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59D8A990" w14:textId="6723884F" w:rsidR="00CB6BB1" w:rsidRDefault="00CB6BB1" w:rsidP="00D8449D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Poskytování právních služeb na základě Dílčí smlouvy</w:t>
      </w:r>
      <w:r w:rsidR="006C175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Dodatku č. </w:t>
      </w:r>
      <w:r w:rsidR="0091409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nebylo dosud ukončeno, neboť nedošlo ke skončení její účinnosti v souladu s ustanovením čl. IV</w:t>
      </w:r>
      <w:r w:rsidR="008B7D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E763F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91409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</w:p>
    <w:p w14:paraId="2D930542" w14:textId="0C4BFBD9" w:rsidR="00832BF2" w:rsidRPr="005315D1" w:rsidRDefault="00002C42" w:rsidP="00D8449D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čerpat právní služby dle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91409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se smluvní strany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dohodly na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prodloužení účinnosti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</w:t>
      </w:r>
      <w:r w:rsidR="0091409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to způsobem uvedeným dále v tomto Dodatku.</w:t>
      </w:r>
    </w:p>
    <w:p w14:paraId="75BC0773" w14:textId="77777777" w:rsidR="00832BF2" w:rsidRDefault="00832BF2" w:rsidP="00D8449D">
      <w:pPr>
        <w:keepNext/>
        <w:keepLines/>
        <w:suppressLineNumbers/>
        <w:suppressAutoHyphens/>
        <w:spacing w:before="480" w:line="280" w:lineRule="atLeast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4976B4FF" w14:textId="77777777" w:rsidR="00025F03" w:rsidRDefault="00832BF2" w:rsidP="00D8449D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2F42B110" w14:textId="77777777" w:rsidR="00832BF2" w:rsidRDefault="00832BF2" w:rsidP="00D8449D">
      <w:pPr>
        <w:keepNext/>
        <w:keepLines/>
        <w:suppressLineNumbers/>
        <w:suppressAutoHyphens/>
        <w:spacing w:before="120" w:line="280" w:lineRule="atLeast"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dohodly, že ustanovení odstavce 4.1 </w:t>
      </w:r>
      <w:r w:rsidR="00DC27F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 xml:space="preserve">ílčí smlouvy se </w:t>
      </w:r>
      <w:proofErr w:type="gramStart"/>
      <w:r w:rsidRPr="00832BF2">
        <w:rPr>
          <w:rFonts w:ascii="Times New Roman" w:eastAsia="Calibri" w:hAnsi="Times New Roman" w:cs="Times New Roman"/>
        </w:rPr>
        <w:t>ruší</w:t>
      </w:r>
      <w:proofErr w:type="gramEnd"/>
      <w:r w:rsidRPr="00832BF2">
        <w:rPr>
          <w:rFonts w:ascii="Times New Roman" w:eastAsia="Calibri" w:hAnsi="Times New Roman" w:cs="Times New Roman"/>
        </w:rPr>
        <w:t xml:space="preserve"> a nově zní:</w:t>
      </w:r>
    </w:p>
    <w:p w14:paraId="15BE2643" w14:textId="36A4A9AC" w:rsidR="00832BF2" w:rsidRDefault="00832BF2" w:rsidP="00D8449D">
      <w:pPr>
        <w:keepNext/>
        <w:keepLines/>
        <w:suppressLineNumbers/>
        <w:suppressAutoHyphens/>
        <w:spacing w:before="120" w:line="280" w:lineRule="atLeast"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>Tato Dílčí smlouva se uzavírá na dobu určitou, a to do 31. 12. 20</w:t>
      </w:r>
      <w:r w:rsidR="0039116C">
        <w:rPr>
          <w:rFonts w:ascii="Times New Roman" w:eastAsia="Calibri" w:hAnsi="Times New Roman" w:cs="Times New Roman"/>
          <w:i/>
        </w:rPr>
        <w:t>2</w:t>
      </w:r>
      <w:r w:rsidR="00914096">
        <w:rPr>
          <w:rFonts w:ascii="Times New Roman" w:eastAsia="Calibri" w:hAnsi="Times New Roman" w:cs="Times New Roman"/>
          <w:i/>
        </w:rPr>
        <w:t>5</w:t>
      </w:r>
      <w:r w:rsidR="008B7D5D" w:rsidRPr="008B7D5D">
        <w:rPr>
          <w:rFonts w:ascii="Times New Roman" w:eastAsia="Calibri" w:hAnsi="Times New Roman" w:cs="Times New Roman"/>
          <w:i/>
        </w:rPr>
        <w:t>, p</w:t>
      </w:r>
      <w:r w:rsidR="008B7D5D" w:rsidRPr="00E763F9">
        <w:rPr>
          <w:rFonts w:ascii="Times New Roman" w:hAnsi="Times New Roman"/>
          <w:i/>
          <w:color w:val="000000"/>
        </w:rPr>
        <w:t>říp</w:t>
      </w:r>
      <w:r w:rsidR="00E763F9" w:rsidRPr="00E763F9">
        <w:rPr>
          <w:rFonts w:ascii="Times New Roman" w:hAnsi="Times New Roman"/>
          <w:i/>
          <w:color w:val="000000"/>
        </w:rPr>
        <w:t>adně do vyčerpání max. rozsahu 2</w:t>
      </w:r>
      <w:r w:rsidR="008B7D5D" w:rsidRPr="00E763F9">
        <w:rPr>
          <w:rFonts w:ascii="Times New Roman" w:hAnsi="Times New Roman"/>
          <w:i/>
          <w:color w:val="000000"/>
        </w:rPr>
        <w:t>000 hodin</w:t>
      </w:r>
      <w:r w:rsidR="008B7D5D" w:rsidRPr="00E763F9">
        <w:rPr>
          <w:rFonts w:ascii="Times New Roman" w:hAnsi="Times New Roman"/>
          <w:i/>
        </w:rPr>
        <w:t xml:space="preserve"> dojde-li k vyčerpání tohoto limitu dříve</w:t>
      </w:r>
      <w:r>
        <w:rPr>
          <w:rFonts w:ascii="Times New Roman" w:eastAsia="Calibri" w:hAnsi="Times New Roman" w:cs="Times New Roman"/>
          <w:i/>
        </w:rPr>
        <w:t>. Právní služby budou poskytovány v termínech stanovených Objednatelem.</w:t>
      </w:r>
    </w:p>
    <w:p w14:paraId="54F8979B" w14:textId="77777777" w:rsidR="0093601D" w:rsidRPr="00025F03" w:rsidRDefault="0093601D" w:rsidP="00D8449D">
      <w:pPr>
        <w:keepNext/>
        <w:keepLines/>
        <w:suppressLineNumbers/>
        <w:suppressAutoHyphens/>
        <w:spacing w:before="48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5FDCEDB9" w14:textId="77777777" w:rsidR="0093601D" w:rsidRPr="00025F03" w:rsidRDefault="0093601D" w:rsidP="00D8449D">
      <w:pPr>
        <w:keepNext/>
        <w:keepLines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3998B8EF" w14:textId="24CAC4E2" w:rsidR="0093601D" w:rsidRDefault="00AF7CE0" w:rsidP="00D8449D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AF7CE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 je uzavřen elektronicky.</w:t>
      </w:r>
    </w:p>
    <w:p w14:paraId="75FBA37D" w14:textId="77777777" w:rsidR="0093601D" w:rsidRPr="00025F03" w:rsidRDefault="0093601D" w:rsidP="00D8449D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14:paraId="56284E20" w14:textId="4F8D17A1" w:rsidR="00E763F9" w:rsidRPr="00D8794F" w:rsidRDefault="00E763F9" w:rsidP="00D8449D">
      <w:pPr>
        <w:keepNext/>
        <w:keepLines/>
        <w:suppressLineNumbers/>
        <w:suppressAutoHyphens/>
        <w:spacing w:line="280" w:lineRule="atLeast"/>
        <w:ind w:left="709" w:hanging="709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25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E763F9" w:rsidRPr="00423B93" w14:paraId="6AA21821" w14:textId="77777777" w:rsidTr="00AF7CE0">
        <w:tc>
          <w:tcPr>
            <w:tcW w:w="4820" w:type="dxa"/>
          </w:tcPr>
          <w:p w14:paraId="26F41AF0" w14:textId="77777777" w:rsidR="00E763F9" w:rsidRPr="00423B93" w:rsidRDefault="00E763F9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535" w:type="dxa"/>
          </w:tcPr>
          <w:p w14:paraId="7DBA2ECB" w14:textId="77777777" w:rsidR="00E763F9" w:rsidRPr="00423B93" w:rsidRDefault="00E763F9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763F9" w:rsidRPr="00423B93" w14:paraId="60399A39" w14:textId="77777777" w:rsidTr="00AF7CE0">
        <w:tc>
          <w:tcPr>
            <w:tcW w:w="4820" w:type="dxa"/>
          </w:tcPr>
          <w:p w14:paraId="67766BFD" w14:textId="305615D1" w:rsidR="00D8794F" w:rsidRPr="00423B93" w:rsidRDefault="00D8794F" w:rsidP="00D8794F">
            <w:pPr>
              <w:widowControl w:val="0"/>
              <w:spacing w:line="280" w:lineRule="atLeast"/>
              <w:rPr>
                <w:rFonts w:ascii="Times New Roman" w:hAnsi="Times New Roman"/>
              </w:rPr>
            </w:pPr>
          </w:p>
        </w:tc>
        <w:tc>
          <w:tcPr>
            <w:tcW w:w="4535" w:type="dxa"/>
          </w:tcPr>
          <w:p w14:paraId="05EC95C0" w14:textId="37086A1A" w:rsidR="00E763F9" w:rsidRPr="00423B93" w:rsidRDefault="00E763F9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763F9" w:rsidRPr="00423B93" w14:paraId="16797406" w14:textId="77777777" w:rsidTr="00AF7CE0">
        <w:tc>
          <w:tcPr>
            <w:tcW w:w="4820" w:type="dxa"/>
          </w:tcPr>
          <w:p w14:paraId="0E3C22FA" w14:textId="77777777" w:rsidR="006C1756" w:rsidRDefault="006C1756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D988EBD" w14:textId="77777777" w:rsidR="00E763F9" w:rsidRPr="00423B93" w:rsidRDefault="00E763F9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30A88E0D" w14:textId="77777777" w:rsidR="00E763F9" w:rsidRPr="00423B93" w:rsidRDefault="00E763F9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6C41BA29" w14:textId="5F49CAD1" w:rsidR="00E763F9" w:rsidRPr="00423B93" w:rsidRDefault="00E763F9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</w:tcPr>
          <w:p w14:paraId="12A96E49" w14:textId="77777777" w:rsidR="006C1756" w:rsidRDefault="006C1756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A1B7A80" w14:textId="77777777" w:rsidR="00E763F9" w:rsidRPr="00423B93" w:rsidRDefault="00E763F9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5B37359F" w14:textId="77777777" w:rsidR="00E763F9" w:rsidRPr="00D121EE" w:rsidRDefault="00E763F9" w:rsidP="00D8449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121EE">
              <w:rPr>
                <w:rFonts w:ascii="Times New Roman" w:hAnsi="Times New Roman"/>
                <w:b/>
                <w:bCs/>
                <w:iCs/>
              </w:rPr>
              <w:t xml:space="preserve">DLA </w:t>
            </w:r>
            <w:proofErr w:type="spellStart"/>
            <w:r w:rsidRPr="00D121EE">
              <w:rPr>
                <w:rFonts w:ascii="Times New Roman" w:hAnsi="Times New Roman"/>
                <w:b/>
                <w:bCs/>
                <w:iCs/>
              </w:rPr>
              <w:t>Piper</w:t>
            </w:r>
            <w:proofErr w:type="spellEnd"/>
            <w:r w:rsidRPr="00D121EE">
              <w:rPr>
                <w:rFonts w:ascii="Times New Roman" w:hAnsi="Times New Roman"/>
                <w:b/>
                <w:bCs/>
                <w:iCs/>
              </w:rPr>
              <w:t xml:space="preserve"> Prague LLP</w:t>
            </w:r>
          </w:p>
          <w:p w14:paraId="591F07C2" w14:textId="2CF6AC43" w:rsidR="00E763F9" w:rsidRPr="00423B93" w:rsidRDefault="00E763F9" w:rsidP="00D8794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72D05C85" w14:textId="5318D871" w:rsidR="00E763F9" w:rsidRDefault="00E763F9" w:rsidP="00D8794F">
      <w:pPr>
        <w:keepNext/>
        <w:keepLines/>
        <w:suppressLineNumbers/>
        <w:suppressAutoHyphens/>
        <w:spacing w:line="280" w:lineRule="atLeast"/>
      </w:pPr>
    </w:p>
    <w:p w14:paraId="7B3459FD" w14:textId="226D312E" w:rsidR="00C34242" w:rsidRDefault="00C34242" w:rsidP="00D8794F">
      <w:pPr>
        <w:keepNext/>
        <w:keepLines/>
        <w:suppressLineNumbers/>
        <w:suppressAutoHyphens/>
        <w:spacing w:line="280" w:lineRule="atLeast"/>
      </w:pPr>
    </w:p>
    <w:p w14:paraId="088305F1" w14:textId="77777777" w:rsidR="00BA2DDD" w:rsidRDefault="00BA2DDD" w:rsidP="00BA2DDD">
      <w:pPr>
        <w:pStyle w:val="Default"/>
      </w:pPr>
    </w:p>
    <w:sectPr w:rsidR="00BA2DDD" w:rsidSect="00D8794F">
      <w:footerReference w:type="default" r:id="rId8"/>
      <w:headerReference w:type="first" r:id="rId9"/>
      <w:pgSz w:w="11906" w:h="16838"/>
      <w:pgMar w:top="1134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388A" w14:textId="77777777" w:rsidR="00F71675" w:rsidRDefault="00F71675">
      <w:r>
        <w:separator/>
      </w:r>
    </w:p>
  </w:endnote>
  <w:endnote w:type="continuationSeparator" w:id="0">
    <w:p w14:paraId="7883AE08" w14:textId="77777777" w:rsidR="00F71675" w:rsidRDefault="00F7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4E1BA62" w14:textId="0180644E" w:rsidR="000B7516" w:rsidRPr="00D8794F" w:rsidRDefault="005A28C4" w:rsidP="00D8794F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891C4D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891C4D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3E8B" w14:textId="77777777" w:rsidR="00F71675" w:rsidRDefault="00F71675">
      <w:r>
        <w:separator/>
      </w:r>
    </w:p>
  </w:footnote>
  <w:footnote w:type="continuationSeparator" w:id="0">
    <w:p w14:paraId="6555E8B1" w14:textId="77777777" w:rsidR="00F71675" w:rsidRDefault="00F71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4924" w14:textId="60E47116" w:rsidR="00DC27F7" w:rsidRDefault="00DC27F7" w:rsidP="00DC27F7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914096">
      <w:rPr>
        <w:rFonts w:ascii="Times New Roman" w:hAnsi="Times New Roman"/>
        <w:bCs/>
        <w:sz w:val="16"/>
        <w:szCs w:val="20"/>
      </w:rPr>
      <w:t>5</w:t>
    </w:r>
  </w:p>
  <w:p w14:paraId="00D3DE25" w14:textId="77777777" w:rsidR="00DC27F7" w:rsidRPr="00C27A1A" w:rsidRDefault="00DC27F7" w:rsidP="00DC27F7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 xml:space="preserve">smlouvy na poskytování právních služeb pro MPSV – </w:t>
    </w:r>
    <w:r>
      <w:rPr>
        <w:rFonts w:ascii="Times New Roman" w:hAnsi="Times New Roman"/>
        <w:bCs/>
        <w:i/>
        <w:sz w:val="16"/>
        <w:szCs w:val="16"/>
      </w:rPr>
      <w:t>2</w:t>
    </w:r>
    <w:r w:rsidRPr="00C27A1A">
      <w:rPr>
        <w:rFonts w:ascii="Times New Roman" w:hAnsi="Times New Roman"/>
        <w:bCs/>
        <w:i/>
        <w:sz w:val="16"/>
        <w:szCs w:val="16"/>
      </w:rPr>
      <w:t>. část</w:t>
    </w:r>
  </w:p>
  <w:p w14:paraId="5AFDF2C7" w14:textId="1D4B7921" w:rsidR="00DC27F7" w:rsidRPr="008B7D5D" w:rsidRDefault="00DC27F7" w:rsidP="00DC27F7">
    <w:pPr>
      <w:pStyle w:val="Zhlav"/>
      <w:jc w:val="center"/>
      <w:rPr>
        <w:rFonts w:ascii="Times New Roman" w:hAnsi="Times New Roman"/>
        <w:i/>
        <w:sz w:val="16"/>
        <w:szCs w:val="16"/>
      </w:rPr>
    </w:pPr>
    <w:proofErr w:type="spellStart"/>
    <w:proofErr w:type="gramStart"/>
    <w:r w:rsidRPr="00C27A1A">
      <w:rPr>
        <w:rFonts w:ascii="Times New Roman" w:hAnsi="Times New Roman"/>
        <w:i/>
        <w:sz w:val="16"/>
        <w:szCs w:val="16"/>
      </w:rPr>
      <w:t>Minitendr</w:t>
    </w:r>
    <w:proofErr w:type="spellEnd"/>
    <w:r w:rsidRPr="00C27A1A">
      <w:rPr>
        <w:rFonts w:ascii="Times New Roman" w:hAnsi="Times New Roman"/>
        <w:i/>
        <w:sz w:val="16"/>
        <w:szCs w:val="16"/>
      </w:rPr>
      <w:t xml:space="preserve">  -</w:t>
    </w:r>
    <w:proofErr w:type="gramEnd"/>
    <w:r w:rsidRPr="00C27A1A">
      <w:rPr>
        <w:rFonts w:ascii="Times New Roman" w:hAnsi="Times New Roman"/>
        <w:i/>
        <w:sz w:val="16"/>
        <w:szCs w:val="16"/>
      </w:rPr>
      <w:t xml:space="preserve"> </w:t>
    </w:r>
    <w:r w:rsidRPr="008B7D5D">
      <w:rPr>
        <w:rFonts w:ascii="Times New Roman" w:hAnsi="Times New Roman"/>
        <w:i/>
        <w:sz w:val="16"/>
        <w:szCs w:val="16"/>
      </w:rPr>
      <w:t>„</w:t>
    </w:r>
    <w:r w:rsidR="003F65CB">
      <w:rPr>
        <w:rFonts w:ascii="Times New Roman" w:hAnsi="Times New Roman"/>
        <w:bCs/>
        <w:sz w:val="16"/>
        <w:szCs w:val="20"/>
      </w:rPr>
      <w:t>Právní služby v oblasti závazkového práva a práva veřejných zakázek</w:t>
    </w:r>
    <w:r w:rsidRPr="008B7D5D">
      <w:rPr>
        <w:rFonts w:ascii="Times New Roman" w:hAnsi="Times New Roman"/>
        <w:i/>
        <w:sz w:val="16"/>
        <w:szCs w:val="16"/>
      </w:rPr>
      <w:t>“</w:t>
    </w:r>
  </w:p>
  <w:p w14:paraId="5B57A51E" w14:textId="77777777" w:rsidR="00DC27F7" w:rsidRDefault="00DC27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58C"/>
    <w:multiLevelType w:val="multilevel"/>
    <w:tmpl w:val="9EFA44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2D5575"/>
    <w:multiLevelType w:val="multilevel"/>
    <w:tmpl w:val="47D8B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1B131A7"/>
    <w:multiLevelType w:val="multilevel"/>
    <w:tmpl w:val="12EAE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48267C8"/>
    <w:multiLevelType w:val="multilevel"/>
    <w:tmpl w:val="5178E4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F54FF4"/>
    <w:multiLevelType w:val="hybridMultilevel"/>
    <w:tmpl w:val="1C3C875E"/>
    <w:lvl w:ilvl="0" w:tplc="936E4B1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6E476852"/>
    <w:multiLevelType w:val="hybridMultilevel"/>
    <w:tmpl w:val="38C4234A"/>
    <w:lvl w:ilvl="0" w:tplc="304E67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F29E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32C4D6E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1852835812">
    <w:abstractNumId w:val="4"/>
  </w:num>
  <w:num w:numId="2" w16cid:durableId="1358971729">
    <w:abstractNumId w:val="6"/>
  </w:num>
  <w:num w:numId="3" w16cid:durableId="1543204467">
    <w:abstractNumId w:val="7"/>
  </w:num>
  <w:num w:numId="4" w16cid:durableId="1352684185">
    <w:abstractNumId w:val="0"/>
  </w:num>
  <w:num w:numId="5" w16cid:durableId="1285769127">
    <w:abstractNumId w:val="1"/>
  </w:num>
  <w:num w:numId="6" w16cid:durableId="1609199901">
    <w:abstractNumId w:val="5"/>
  </w:num>
  <w:num w:numId="7" w16cid:durableId="647128688">
    <w:abstractNumId w:val="3"/>
  </w:num>
  <w:num w:numId="8" w16cid:durableId="1414356692">
    <w:abstractNumId w:val="10"/>
  </w:num>
  <w:num w:numId="9" w16cid:durableId="455946760">
    <w:abstractNumId w:val="9"/>
  </w:num>
  <w:num w:numId="10" w16cid:durableId="848837688">
    <w:abstractNumId w:val="8"/>
  </w:num>
  <w:num w:numId="11" w16cid:durableId="364715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03"/>
    <w:rsid w:val="00002C42"/>
    <w:rsid w:val="00025F03"/>
    <w:rsid w:val="0003189F"/>
    <w:rsid w:val="000E2165"/>
    <w:rsid w:val="001231B2"/>
    <w:rsid w:val="001275CD"/>
    <w:rsid w:val="0025017D"/>
    <w:rsid w:val="00271D0A"/>
    <w:rsid w:val="002C751E"/>
    <w:rsid w:val="002D5410"/>
    <w:rsid w:val="00372CCB"/>
    <w:rsid w:val="003735FC"/>
    <w:rsid w:val="0039116C"/>
    <w:rsid w:val="003A494D"/>
    <w:rsid w:val="003C270C"/>
    <w:rsid w:val="003E62F4"/>
    <w:rsid w:val="003F5C98"/>
    <w:rsid w:val="003F65CB"/>
    <w:rsid w:val="0045574A"/>
    <w:rsid w:val="005315D1"/>
    <w:rsid w:val="00537357"/>
    <w:rsid w:val="00542BB2"/>
    <w:rsid w:val="005458EC"/>
    <w:rsid w:val="00576D4F"/>
    <w:rsid w:val="00583FAC"/>
    <w:rsid w:val="00597E8E"/>
    <w:rsid w:val="005A28C4"/>
    <w:rsid w:val="005B3EEA"/>
    <w:rsid w:val="00633D70"/>
    <w:rsid w:val="00662B6F"/>
    <w:rsid w:val="006701AF"/>
    <w:rsid w:val="00684E47"/>
    <w:rsid w:val="006C1756"/>
    <w:rsid w:val="00704319"/>
    <w:rsid w:val="00760865"/>
    <w:rsid w:val="007A0EC3"/>
    <w:rsid w:val="007A1B30"/>
    <w:rsid w:val="00806583"/>
    <w:rsid w:val="00832BF2"/>
    <w:rsid w:val="008731DF"/>
    <w:rsid w:val="008873F1"/>
    <w:rsid w:val="00891C4D"/>
    <w:rsid w:val="008B7D5D"/>
    <w:rsid w:val="008D612E"/>
    <w:rsid w:val="00913EA9"/>
    <w:rsid w:val="00914096"/>
    <w:rsid w:val="0093601D"/>
    <w:rsid w:val="00972FBB"/>
    <w:rsid w:val="009C5D79"/>
    <w:rsid w:val="00A00F28"/>
    <w:rsid w:val="00A31B43"/>
    <w:rsid w:val="00A446D3"/>
    <w:rsid w:val="00A67FAA"/>
    <w:rsid w:val="00AD15B9"/>
    <w:rsid w:val="00AF19F5"/>
    <w:rsid w:val="00AF7CE0"/>
    <w:rsid w:val="00B17E90"/>
    <w:rsid w:val="00B344CD"/>
    <w:rsid w:val="00B64C13"/>
    <w:rsid w:val="00BA2DDD"/>
    <w:rsid w:val="00C27AF8"/>
    <w:rsid w:val="00C341CD"/>
    <w:rsid w:val="00C34242"/>
    <w:rsid w:val="00C4124A"/>
    <w:rsid w:val="00C87232"/>
    <w:rsid w:val="00CB6BB1"/>
    <w:rsid w:val="00CC0476"/>
    <w:rsid w:val="00D05DDB"/>
    <w:rsid w:val="00D823EB"/>
    <w:rsid w:val="00D8449D"/>
    <w:rsid w:val="00D8794F"/>
    <w:rsid w:val="00DC27F7"/>
    <w:rsid w:val="00E11417"/>
    <w:rsid w:val="00E763F9"/>
    <w:rsid w:val="00E976F9"/>
    <w:rsid w:val="00F01AC2"/>
    <w:rsid w:val="00F04DE8"/>
    <w:rsid w:val="00F554C6"/>
    <w:rsid w:val="00F71675"/>
    <w:rsid w:val="00FE0063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1BF48"/>
  <w15:docId w15:val="{F3838760-9D79-4D89-9D1D-CF962677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8B7D5D"/>
    <w:pPr>
      <w:keepNext/>
      <w:numPr>
        <w:numId w:val="10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8B7D5D"/>
    <w:pPr>
      <w:keepNext/>
      <w:numPr>
        <w:ilvl w:val="1"/>
        <w:numId w:val="10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8B7D5D"/>
    <w:pPr>
      <w:keepNext/>
      <w:numPr>
        <w:ilvl w:val="2"/>
        <w:numId w:val="10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B7D5D"/>
    <w:pPr>
      <w:keepNext/>
      <w:numPr>
        <w:ilvl w:val="3"/>
        <w:numId w:val="10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B7D5D"/>
    <w:pPr>
      <w:numPr>
        <w:ilvl w:val="4"/>
        <w:numId w:val="10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B7D5D"/>
    <w:pPr>
      <w:numPr>
        <w:ilvl w:val="5"/>
        <w:numId w:val="10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8B7D5D"/>
    <w:pPr>
      <w:numPr>
        <w:ilvl w:val="6"/>
        <w:numId w:val="10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D5D"/>
    <w:pPr>
      <w:numPr>
        <w:ilvl w:val="7"/>
        <w:numId w:val="10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8B7D5D"/>
    <w:pPr>
      <w:numPr>
        <w:ilvl w:val="8"/>
        <w:numId w:val="10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8B7D5D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8B7D5D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8B7D5D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B7D5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B7D5D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B7D5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8B7D5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8B7D5D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8B7D5D"/>
    <w:rPr>
      <w:rFonts w:ascii="Arial" w:eastAsia="Calibri" w:hAnsi="Arial" w:cs="Times New Roman"/>
      <w:sz w:val="20"/>
      <w:szCs w:val="20"/>
      <w:lang w:eastAsia="cs-CZ"/>
    </w:rPr>
  </w:style>
  <w:style w:type="paragraph" w:customStyle="1" w:styleId="Default">
    <w:name w:val="Default"/>
    <w:rsid w:val="00C34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D615-9675-436D-86A2-5B048583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Dvořáková Andrea DiS. (MPSV)</cp:lastModifiedBy>
  <cp:revision>7</cp:revision>
  <cp:lastPrinted>2023-12-15T11:46:00Z</cp:lastPrinted>
  <dcterms:created xsi:type="dcterms:W3CDTF">2024-01-02T08:37:00Z</dcterms:created>
  <dcterms:modified xsi:type="dcterms:W3CDTF">2024-01-02T08:55:00Z</dcterms:modified>
</cp:coreProperties>
</file>