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30" w:rsidRPr="00A04DA3" w:rsidRDefault="00264EDE" w:rsidP="00E53630">
      <w:pPr>
        <w:pStyle w:val="Nadpis1"/>
      </w:pPr>
      <w:r>
        <w:t>D</w:t>
      </w:r>
      <w:r w:rsidR="00E53630" w:rsidRPr="00A04DA3">
        <w:t>ohoda o ceně a platebních podmínkách</w:t>
      </w:r>
    </w:p>
    <w:p w:rsidR="00E53630" w:rsidRPr="00A04DA3" w:rsidRDefault="00E53630" w:rsidP="00E53630">
      <w:pPr>
        <w:pStyle w:val="Nadpis2"/>
        <w:numPr>
          <w:ilvl w:val="0"/>
          <w:numId w:val="5"/>
        </w:numPr>
      </w:pPr>
      <w:r w:rsidRPr="00A04DA3">
        <w:t>Smluvní strany</w:t>
      </w:r>
    </w:p>
    <w:p w:rsidR="00E53630" w:rsidRPr="00A04DA3" w:rsidRDefault="00E53630" w:rsidP="00F05613">
      <w:pPr>
        <w:pStyle w:val="Nadpis3"/>
        <w:numPr>
          <w:ilvl w:val="0"/>
          <w:numId w:val="0"/>
        </w:numPr>
        <w:ind w:left="567" w:hanging="567"/>
      </w:pPr>
      <w:r>
        <w:t>Správa sportovišť Kopřivnice, příspěvková organizace</w:t>
      </w:r>
    </w:p>
    <w:p w:rsidR="00E53630" w:rsidRPr="00580331" w:rsidRDefault="00E53630" w:rsidP="00E53630">
      <w:pPr>
        <w:rPr>
          <w:rStyle w:val="Styl12b"/>
          <w:sz w:val="24"/>
        </w:rPr>
      </w:pPr>
      <w:r w:rsidRPr="00580331">
        <w:rPr>
          <w:rStyle w:val="Styl12b"/>
          <w:sz w:val="24"/>
        </w:rPr>
        <w:t>se sídlem:</w:t>
      </w:r>
      <w:r w:rsidRPr="00580331">
        <w:rPr>
          <w:rStyle w:val="Styl12b"/>
          <w:sz w:val="24"/>
        </w:rPr>
        <w:tab/>
      </w:r>
      <w:r w:rsidR="00610050" w:rsidRPr="00580331">
        <w:rPr>
          <w:rStyle w:val="Styl12b"/>
          <w:sz w:val="24"/>
        </w:rPr>
        <w:t>Štefánikova 1163/12</w:t>
      </w:r>
      <w:r w:rsidRPr="00580331">
        <w:rPr>
          <w:rStyle w:val="Styl12b"/>
          <w:sz w:val="24"/>
        </w:rPr>
        <w:t>, Kopřivnice PSČ 742 21</w:t>
      </w:r>
    </w:p>
    <w:p w:rsidR="00E53630" w:rsidRPr="00580331" w:rsidRDefault="00E53630" w:rsidP="00E53630">
      <w:pPr>
        <w:rPr>
          <w:rStyle w:val="Styl12b"/>
          <w:sz w:val="24"/>
        </w:rPr>
      </w:pPr>
      <w:r w:rsidRPr="00580331">
        <w:rPr>
          <w:rStyle w:val="Styl12b"/>
          <w:sz w:val="24"/>
        </w:rPr>
        <w:t>zastoupená:</w:t>
      </w:r>
      <w:r w:rsidRPr="00580331">
        <w:rPr>
          <w:rStyle w:val="Styl12b"/>
          <w:sz w:val="24"/>
        </w:rPr>
        <w:tab/>
      </w:r>
      <w:r w:rsidR="00610050" w:rsidRPr="00580331">
        <w:rPr>
          <w:rStyle w:val="Styl12b"/>
          <w:sz w:val="24"/>
        </w:rPr>
        <w:t>Bc. Vyškovský Pavel</w:t>
      </w:r>
      <w:r w:rsidR="00BC537F">
        <w:rPr>
          <w:rStyle w:val="Styl12b"/>
          <w:sz w:val="24"/>
        </w:rPr>
        <w:t xml:space="preserve">, </w:t>
      </w:r>
      <w:r w:rsidRPr="00580331">
        <w:rPr>
          <w:rStyle w:val="Styl12b"/>
          <w:sz w:val="24"/>
        </w:rPr>
        <w:t>ředitel</w:t>
      </w:r>
    </w:p>
    <w:p w:rsidR="00E53630" w:rsidRPr="00F05613" w:rsidRDefault="00E53630" w:rsidP="00E53630">
      <w:pPr>
        <w:rPr>
          <w:b/>
          <w:bCs/>
          <w:color w:val="auto"/>
        </w:rPr>
      </w:pPr>
      <w:r w:rsidRPr="00F05613">
        <w:rPr>
          <w:rStyle w:val="Nadpis6Char"/>
          <w:rFonts w:ascii="Arial" w:hAnsi="Arial" w:cs="Arial"/>
          <w:color w:val="auto"/>
        </w:rPr>
        <w:t>(dále jen „dodavatel“)</w:t>
      </w:r>
    </w:p>
    <w:p w:rsidR="00E53630" w:rsidRPr="00A04DA3" w:rsidRDefault="00E53630" w:rsidP="00F05613">
      <w:pPr>
        <w:pStyle w:val="Nadpis3"/>
        <w:numPr>
          <w:ilvl w:val="0"/>
          <w:numId w:val="0"/>
        </w:numPr>
        <w:ind w:left="567" w:hanging="567"/>
      </w:pPr>
      <w:r w:rsidRPr="004C54D1">
        <w:rPr>
          <w:noProof/>
        </w:rPr>
        <w:t>Středisko sociálních služeb města Kopřivnice, příspěvková organizace</w:t>
      </w:r>
      <w:r w:rsidRPr="00A04DA3">
        <w:t>.</w:t>
      </w:r>
    </w:p>
    <w:p w:rsidR="00E53630" w:rsidRPr="00A04DA3" w:rsidRDefault="00E53630" w:rsidP="00E53630">
      <w:r w:rsidRPr="00A04DA3">
        <w:t xml:space="preserve">se sídlem/bydliště: </w:t>
      </w:r>
      <w:r w:rsidRPr="00A04DA3">
        <w:tab/>
      </w:r>
      <w:r>
        <w:t>Č</w:t>
      </w:r>
      <w:r w:rsidRPr="004C54D1">
        <w:rPr>
          <w:noProof/>
        </w:rPr>
        <w:t>eská 320</w:t>
      </w:r>
      <w:r w:rsidRPr="00A04DA3">
        <w:t xml:space="preserve">, </w:t>
      </w:r>
      <w:r w:rsidRPr="004C54D1">
        <w:rPr>
          <w:noProof/>
        </w:rPr>
        <w:t>Kopřivnice</w:t>
      </w:r>
      <w:r w:rsidRPr="00A04DA3">
        <w:t xml:space="preserve">, PSČ </w:t>
      </w:r>
      <w:r w:rsidRPr="004C54D1">
        <w:rPr>
          <w:noProof/>
        </w:rPr>
        <w:t>742 21</w:t>
      </w:r>
    </w:p>
    <w:p w:rsidR="00E53630" w:rsidRPr="00A04DA3" w:rsidRDefault="00E53630" w:rsidP="00E53630">
      <w:pPr>
        <w:ind w:left="2127" w:hanging="2127"/>
      </w:pPr>
      <w:r w:rsidRPr="00A04DA3">
        <w:t>zastoupená:</w:t>
      </w:r>
      <w:r w:rsidRPr="00A04DA3">
        <w:tab/>
      </w:r>
      <w:r w:rsidRPr="004C54D1">
        <w:rPr>
          <w:noProof/>
        </w:rPr>
        <w:t>Ing</w:t>
      </w:r>
      <w:r w:rsidR="00F05613">
        <w:rPr>
          <w:noProof/>
        </w:rPr>
        <w:t xml:space="preserve">. </w:t>
      </w:r>
      <w:r w:rsidR="004A57A2">
        <w:rPr>
          <w:noProof/>
        </w:rPr>
        <w:t xml:space="preserve"> Petr K</w:t>
      </w:r>
      <w:r w:rsidR="00F05613" w:rsidRPr="00F05613">
        <w:rPr>
          <w:noProof/>
        </w:rPr>
        <w:t>ovařík</w:t>
      </w:r>
      <w:r w:rsidRPr="00A04DA3">
        <w:t xml:space="preserve">, </w:t>
      </w:r>
      <w:r w:rsidR="004A57A2">
        <w:rPr>
          <w:noProof/>
        </w:rPr>
        <w:t>ředitel</w:t>
      </w:r>
    </w:p>
    <w:p w:rsidR="00E53630" w:rsidRPr="00F05613" w:rsidRDefault="00E53630" w:rsidP="00E53630">
      <w:pPr>
        <w:rPr>
          <w:rStyle w:val="Styl12b"/>
          <w:sz w:val="24"/>
        </w:rPr>
      </w:pPr>
      <w:r w:rsidRPr="00F05613">
        <w:rPr>
          <w:rStyle w:val="Styl12b"/>
          <w:sz w:val="24"/>
        </w:rPr>
        <w:t>(dále jen „odběratel“)</w:t>
      </w:r>
    </w:p>
    <w:p w:rsidR="00E53630" w:rsidRPr="00A04DA3" w:rsidRDefault="00E53630" w:rsidP="00E53630">
      <w:pPr>
        <w:pStyle w:val="Nadpis2"/>
      </w:pPr>
      <w:r w:rsidRPr="00A04DA3">
        <w:t>Cena tepelné energie, produktů a služeb</w:t>
      </w:r>
    </w:p>
    <w:p w:rsidR="00610050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Cena tepelné energie je kalkulována a sjednána v souladu s článkem </w:t>
      </w:r>
    </w:p>
    <w:p w:rsidR="00E53630" w:rsidRPr="00A04DA3" w:rsidRDefault="00E53630" w:rsidP="00610050">
      <w:pPr>
        <w:widowControl/>
        <w:spacing w:before="120" w:after="120"/>
        <w:ind w:left="567"/>
        <w:jc w:val="both"/>
      </w:pPr>
      <w:r w:rsidRPr="00A04DA3">
        <w:t>5.1. smlouvy.</w:t>
      </w:r>
    </w:p>
    <w:p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Cena tepelné energie se účtuje formou jednosložkové ceny. </w:t>
      </w:r>
    </w:p>
    <w:p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Cena je stanovena pro úroveň předání tepelné energie – výstup z</w:t>
      </w:r>
      <w:r>
        <w:t> VS 17</w:t>
      </w:r>
    </w:p>
    <w:p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Při dodávce tepelné energie pro odběrná místa a dodávková množství, sjednaná touto smlouvou, bude uplatněna od </w:t>
      </w:r>
      <w:r w:rsidRPr="004C54D1">
        <w:rPr>
          <w:noProof/>
        </w:rPr>
        <w:t>od 1.1.20</w:t>
      </w:r>
      <w:r>
        <w:rPr>
          <w:noProof/>
        </w:rPr>
        <w:t>2</w:t>
      </w:r>
      <w:r w:rsidR="00F05613">
        <w:rPr>
          <w:noProof/>
        </w:rPr>
        <w:t>4</w:t>
      </w:r>
      <w:r w:rsidRPr="004C54D1">
        <w:rPr>
          <w:noProof/>
        </w:rPr>
        <w:t xml:space="preserve"> do 31.12.20</w:t>
      </w:r>
      <w:r>
        <w:rPr>
          <w:noProof/>
        </w:rPr>
        <w:t>2</w:t>
      </w:r>
      <w:r w:rsidR="00F05613">
        <w:rPr>
          <w:noProof/>
        </w:rPr>
        <w:t>4</w:t>
      </w:r>
      <w:r w:rsidR="00610050">
        <w:rPr>
          <w:noProof/>
        </w:rPr>
        <w:t>.</w:t>
      </w:r>
      <w:r>
        <w:t>P</w:t>
      </w:r>
      <w:r w:rsidRPr="00A04DA3">
        <w:t>ředběžná cena za dodávku (ve sjednaném místě předání), stanovená dle Cenového výměru Energetického regulačního úřadu č. 2/2013 ze dne 1. listopadu 2013 ve znění pozdějších předpisů takto:</w:t>
      </w:r>
    </w:p>
    <w:p w:rsidR="00E53630" w:rsidRDefault="00E53630" w:rsidP="00E53630">
      <w:pPr>
        <w:widowControl/>
        <w:numPr>
          <w:ilvl w:val="2"/>
          <w:numId w:val="3"/>
        </w:numPr>
        <w:tabs>
          <w:tab w:val="num" w:pos="851"/>
        </w:tabs>
        <w:spacing w:before="120" w:after="120"/>
        <w:ind w:left="851" w:hanging="284"/>
        <w:jc w:val="both"/>
      </w:pPr>
      <w:r w:rsidRPr="00A04DA3">
        <w:t>Předběžná cena tepla pro vytápění</w:t>
      </w:r>
      <w:r w:rsidRPr="00A04DA3">
        <w:tab/>
      </w:r>
      <w:r w:rsidR="00F05613">
        <w:t>892</w:t>
      </w:r>
      <w:r>
        <w:t xml:space="preserve">,- </w:t>
      </w:r>
      <w:r w:rsidRPr="00A04DA3">
        <w:t>Kč/GJ bez DPH</w:t>
      </w:r>
    </w:p>
    <w:p w:rsidR="00BE4A06" w:rsidRPr="00A04DA3" w:rsidRDefault="00F05613" w:rsidP="00BE4A06">
      <w:pPr>
        <w:widowControl/>
        <w:spacing w:before="120" w:after="120"/>
        <w:ind w:left="851"/>
        <w:jc w:val="both"/>
      </w:pPr>
      <w:r>
        <w:t>999</w:t>
      </w:r>
      <w:r w:rsidR="00BE4A06">
        <w:t>,- Kč/GJ včetně DPH</w:t>
      </w:r>
    </w:p>
    <w:p w:rsidR="00E53630" w:rsidRPr="00A04DA3" w:rsidRDefault="00E53630" w:rsidP="00E53630">
      <w:pPr>
        <w:widowControl/>
        <w:numPr>
          <w:ilvl w:val="2"/>
          <w:numId w:val="3"/>
        </w:numPr>
        <w:tabs>
          <w:tab w:val="num" w:pos="851"/>
        </w:tabs>
        <w:spacing w:before="120" w:after="120"/>
        <w:ind w:left="851" w:hanging="284"/>
        <w:jc w:val="both"/>
      </w:pPr>
      <w:r w:rsidRPr="00A04DA3">
        <w:t>K ceně tepla bude dopočtena DPH dle platných předpisů</w:t>
      </w:r>
    </w:p>
    <w:p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Sjednané ceny platí ode dne účinnosti této dohody o ceně do odvolání nebo do dne uplatnění dodatku smlouvy, nahrazujícího tuto dohodu o ceně.</w:t>
      </w:r>
    </w:p>
    <w:p w:rsidR="00E53630" w:rsidRPr="00A04DA3" w:rsidRDefault="00E53630" w:rsidP="00E53630">
      <w:pPr>
        <w:pStyle w:val="Nadpis2"/>
      </w:pPr>
      <w:r w:rsidRPr="00A04DA3">
        <w:t>Platební podmínky</w:t>
      </w:r>
    </w:p>
    <w:p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Obecně platné platební podmínky jsou sjednány smlouvou a touto přílohou.</w:t>
      </w:r>
    </w:p>
    <w:p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Způsob platby bankovním převodem na účet dodavatele</w:t>
      </w:r>
      <w:r>
        <w:t xml:space="preserve"> na základě faktury vystavené dodavatelem</w:t>
      </w:r>
      <w:r w:rsidRPr="00A04DA3">
        <w:t>.</w:t>
      </w:r>
    </w:p>
    <w:p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Splatnost 14 dnů po obdržení daňového dokladu</w:t>
      </w:r>
    </w:p>
    <w:p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Adresa pro zaslání daňového dokladu – shodná se sídlem odběratele.</w:t>
      </w:r>
    </w:p>
    <w:p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Případnou změnu cenových ujednání dodavatel odběrateli navrhne nejpozději do 5 dnů, před jejím uplatněním.</w:t>
      </w:r>
    </w:p>
    <w:p w:rsidR="00E53630" w:rsidRDefault="00E53630" w:rsidP="00E53630">
      <w:pPr>
        <w:widowControl/>
        <w:spacing w:before="120" w:after="120"/>
        <w:jc w:val="both"/>
      </w:pPr>
    </w:p>
    <w:p w:rsidR="00E53630" w:rsidRPr="00A04DA3" w:rsidRDefault="00E53630" w:rsidP="00E53630">
      <w:pPr>
        <w:widowControl/>
        <w:spacing w:before="120" w:after="120"/>
        <w:jc w:val="both"/>
      </w:pPr>
    </w:p>
    <w:p w:rsidR="00E53630" w:rsidRPr="00A04DA3" w:rsidRDefault="00E53630" w:rsidP="00E53630">
      <w:pPr>
        <w:keepNext/>
        <w:tabs>
          <w:tab w:val="left" w:pos="4253"/>
        </w:tabs>
        <w:ind w:right="284"/>
        <w:jc w:val="both"/>
      </w:pPr>
    </w:p>
    <w:p w:rsidR="00E53630" w:rsidRPr="00A04DA3" w:rsidRDefault="00E53630" w:rsidP="00E53630">
      <w:pPr>
        <w:pStyle w:val="Nadpis2"/>
      </w:pPr>
      <w:r>
        <w:t>S</w:t>
      </w:r>
      <w:r w:rsidRPr="00A04DA3">
        <w:t>jednané množství dodávky tepelné energie</w:t>
      </w:r>
    </w:p>
    <w:p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Množství sjednáno pro období</w:t>
      </w:r>
      <w:r w:rsidRPr="00A04DA3">
        <w:tab/>
      </w:r>
      <w:r w:rsidRPr="00A04DA3">
        <w:tab/>
      </w:r>
      <w:r w:rsidRPr="004C54D1">
        <w:rPr>
          <w:noProof/>
        </w:rPr>
        <w:t>od 1.1.20</w:t>
      </w:r>
      <w:r>
        <w:rPr>
          <w:noProof/>
        </w:rPr>
        <w:t>2</w:t>
      </w:r>
      <w:r w:rsidR="00F05613">
        <w:rPr>
          <w:noProof/>
        </w:rPr>
        <w:t>4</w:t>
      </w:r>
      <w:r w:rsidRPr="004C54D1">
        <w:rPr>
          <w:noProof/>
        </w:rPr>
        <w:t xml:space="preserve"> do 31.12.20</w:t>
      </w:r>
      <w:r>
        <w:rPr>
          <w:noProof/>
        </w:rPr>
        <w:t>2</w:t>
      </w:r>
      <w:r w:rsidR="00F05613">
        <w:rPr>
          <w:noProof/>
        </w:rPr>
        <w:t>4</w:t>
      </w:r>
    </w:p>
    <w:p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Předpokládané množství celkem </w:t>
      </w:r>
      <w:r w:rsidRPr="00A04DA3">
        <w:tab/>
      </w:r>
      <w:r w:rsidRPr="00A04DA3">
        <w:tab/>
      </w:r>
      <w:r w:rsidR="00F05613">
        <w:t>700</w:t>
      </w:r>
      <w:r w:rsidRPr="00A04DA3">
        <w:t xml:space="preserve"> GJ</w:t>
      </w:r>
    </w:p>
    <w:p w:rsidR="00E53630" w:rsidRPr="00A04DA3" w:rsidRDefault="00E53630" w:rsidP="00E53630">
      <w:pPr>
        <w:pStyle w:val="Nadpis2"/>
      </w:pPr>
      <w:r w:rsidRPr="00A04DA3">
        <w:t>Účinnost</w:t>
      </w:r>
    </w:p>
    <w:p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Tato dohoda nabývá účinnosti dne </w:t>
      </w:r>
      <w:r>
        <w:rPr>
          <w:noProof/>
        </w:rPr>
        <w:t>1.1.202</w:t>
      </w:r>
      <w:r w:rsidR="00F05613">
        <w:rPr>
          <w:noProof/>
        </w:rPr>
        <w:t>4</w:t>
      </w:r>
    </w:p>
    <w:p w:rsidR="00E53630" w:rsidRPr="00A04DA3" w:rsidRDefault="00E53630" w:rsidP="00E53630">
      <w:pPr>
        <w:pStyle w:val="Nadpis2"/>
      </w:pPr>
      <w:r w:rsidRPr="00A04DA3">
        <w:t>Cenová doložka</w:t>
      </w:r>
    </w:p>
    <w:p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Cena tepelné energie je tvořena v souladu se zákonem č. 526/1990 Sb., o cenách, ve znění pozdějších předpisů, s prováděcí vyhláškou č. 580/1990 Sb., ve znění pozdějších předpisů, dále v souladu s platnými cenovými rozhodnutími Energetického regulačního úřadu a v souladu s cenami a podmínkami dodavatelů paliv a energií se smluvními cenami. </w:t>
      </w:r>
    </w:p>
    <w:p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Cena se určuje na kalendářní rok.</w:t>
      </w:r>
    </w:p>
    <w:p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V předběžné ceně jsou zahrnuty náklady na nakupované teplo v cenách výrobce tepla, platných k 1. 1. daného roku. V případě změny cen nakupovaného tepla v průběhu roku bude předběžná cena úměrně tomu změněna</w:t>
      </w:r>
      <w:r>
        <w:t>.</w:t>
      </w:r>
    </w:p>
    <w:p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Předběžná cena je stanovena za předpokladu celkové dodávky tepla </w:t>
      </w:r>
      <w:r>
        <w:t>700</w:t>
      </w:r>
      <w:r w:rsidRPr="00A04DA3">
        <w:t> GJ za rok 20</w:t>
      </w:r>
      <w:r>
        <w:t>2</w:t>
      </w:r>
      <w:r w:rsidR="00F05613">
        <w:t>4</w:t>
      </w:r>
      <w:r w:rsidRPr="00A04DA3">
        <w:t>. V případě, že po skončení roku bude skutečné množství dodávek tepla odlišné, bude cena tepla úměrně tomu změněna.</w:t>
      </w:r>
    </w:p>
    <w:p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Vyúčtování skutečného množství dodávek tepla daného roku na cenu výslednou, kalkulovanou podle zásad Cenového rozhodnutí ERÚ, bude provedeno do </w:t>
      </w:r>
      <w:r>
        <w:t>15</w:t>
      </w:r>
      <w:r w:rsidRPr="00A04DA3">
        <w:t xml:space="preserve">. </w:t>
      </w:r>
      <w:r>
        <w:t>března</w:t>
      </w:r>
      <w:r w:rsidRPr="00A04DA3">
        <w:t xml:space="preserve"> roku následujícího</w:t>
      </w:r>
    </w:p>
    <w:p w:rsidR="00E53630" w:rsidRPr="00A04DA3" w:rsidRDefault="00E53630" w:rsidP="00E53630">
      <w:pPr>
        <w:pStyle w:val="Nadpis2"/>
      </w:pPr>
      <w:r w:rsidRPr="00A04DA3">
        <w:t>Cenové oznámení</w:t>
      </w:r>
    </w:p>
    <w:p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Dodavatel je oprávněn v průběhu regulovaného roku nebo před začátkem nového regulovaného roku změnit předběžnou cenu tepelné energie pro vytápění a cenu tepelné energie pro přípravu teplé vody. Změnu předběžné ceny tepelné energie může dodavatel odběrateli oznámit jednostranně - formou cenového oznámení – a to pouze v případě, že změna ceny je způsobena změnou tak zvaných proměnných nákladů, vstupujících do ceny tepelné energie, tj. při změně cen dodavatelem nakupovaného tepla nebo energií. Z oznámení musí být patrno, zda dochází ke změnám ve složkách proměnných nákladů oproti předcházejícímu období. </w:t>
      </w:r>
    </w:p>
    <w:p w:rsidR="00E53630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Změna ceny tepelné energie musí být v souladu s platnými cenovými rozhodnutími Energetického regulačního úřadu.</w:t>
      </w:r>
    </w:p>
    <w:p w:rsidR="00E53630" w:rsidRPr="00A04DA3" w:rsidRDefault="00E53630" w:rsidP="00E53630">
      <w:pPr>
        <w:widowControl/>
        <w:spacing w:before="120" w:after="120"/>
        <w:jc w:val="both"/>
      </w:pPr>
    </w:p>
    <w:p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Případná změna cenových ujednání nabývá platnosti a účinnosti od prvního dne následujícího měsíce, pokud změnu cenového ujednání dodavatel oznámil nejpozději do 20. dne v měsíci. Jestliže oznámí změnu cenového ujednání po 20. dni v měsíci, platí nové cenové ujednání od prvního dne druhého následujícího měsíce, pokud se smluvní strany nedohodnou jinak.</w:t>
      </w:r>
    </w:p>
    <w:p w:rsidR="00E53630" w:rsidRPr="00A04DA3" w:rsidRDefault="00E53630" w:rsidP="00E53630">
      <w:pPr>
        <w:widowControl/>
        <w:spacing w:before="120" w:after="120"/>
        <w:jc w:val="both"/>
      </w:pPr>
    </w:p>
    <w:p w:rsidR="00E53630" w:rsidRPr="00A04DA3" w:rsidRDefault="00E53630" w:rsidP="00E53630"/>
    <w:p w:rsidR="00E53630" w:rsidRPr="00A04DA3" w:rsidRDefault="00E53630" w:rsidP="00E53630"/>
    <w:tbl>
      <w:tblPr>
        <w:tblW w:w="0" w:type="auto"/>
        <w:tblLook w:val="01E0"/>
      </w:tblPr>
      <w:tblGrid>
        <w:gridCol w:w="3062"/>
        <w:gridCol w:w="2733"/>
        <w:gridCol w:w="3297"/>
      </w:tblGrid>
      <w:tr w:rsidR="004F4ECA" w:rsidRPr="00A04DA3" w:rsidTr="00580331">
        <w:tc>
          <w:tcPr>
            <w:tcW w:w="3062" w:type="dxa"/>
          </w:tcPr>
          <w:p w:rsidR="00E53630" w:rsidRPr="00A04DA3" w:rsidRDefault="00E53630" w:rsidP="004B2675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Dodavatel:</w:t>
            </w:r>
          </w:p>
        </w:tc>
        <w:tc>
          <w:tcPr>
            <w:tcW w:w="2733" w:type="dxa"/>
          </w:tcPr>
          <w:p w:rsidR="00E53630" w:rsidRPr="00A04DA3" w:rsidRDefault="00E53630" w:rsidP="004B2675"/>
        </w:tc>
        <w:tc>
          <w:tcPr>
            <w:tcW w:w="3163" w:type="dxa"/>
          </w:tcPr>
          <w:p w:rsidR="00E53630" w:rsidRDefault="00E53630" w:rsidP="004B2675"/>
          <w:p w:rsidR="00E53630" w:rsidRPr="00A04DA3" w:rsidRDefault="00E53630" w:rsidP="004B2675"/>
        </w:tc>
      </w:tr>
      <w:tr w:rsidR="004F4ECA" w:rsidRPr="00A04DA3" w:rsidTr="00580331">
        <w:trPr>
          <w:trHeight w:val="480"/>
        </w:trPr>
        <w:tc>
          <w:tcPr>
            <w:tcW w:w="3062" w:type="dxa"/>
            <w:vAlign w:val="bottom"/>
          </w:tcPr>
          <w:p w:rsidR="00E53630" w:rsidRPr="00A04DA3" w:rsidRDefault="00E53630" w:rsidP="004B2675">
            <w:r>
              <w:t xml:space="preserve">V </w:t>
            </w:r>
            <w:r w:rsidRPr="00A04DA3">
              <w:t>Kopřivnic</w:t>
            </w:r>
            <w:r>
              <w:t>i</w:t>
            </w:r>
            <w:r w:rsidRPr="00A04DA3">
              <w:t xml:space="preserve"> dne </w:t>
            </w:r>
          </w:p>
        </w:tc>
        <w:tc>
          <w:tcPr>
            <w:tcW w:w="2733" w:type="dxa"/>
            <w:vAlign w:val="bottom"/>
          </w:tcPr>
          <w:p w:rsidR="00E53630" w:rsidRPr="00A04DA3" w:rsidRDefault="00E53630" w:rsidP="004B2675"/>
        </w:tc>
        <w:tc>
          <w:tcPr>
            <w:tcW w:w="3163" w:type="dxa"/>
            <w:vAlign w:val="bottom"/>
          </w:tcPr>
          <w:p w:rsidR="00E53630" w:rsidRPr="00A04DA3" w:rsidRDefault="00E53630" w:rsidP="004B2675">
            <w:pPr>
              <w:rPr>
                <w:color w:val="C0C0C0"/>
              </w:rPr>
            </w:pPr>
          </w:p>
        </w:tc>
      </w:tr>
      <w:tr w:rsidR="004F4ECA" w:rsidRPr="00A04DA3" w:rsidTr="00580331">
        <w:trPr>
          <w:trHeight w:val="579"/>
        </w:trPr>
        <w:tc>
          <w:tcPr>
            <w:tcW w:w="3062" w:type="dxa"/>
            <w:vAlign w:val="bottom"/>
          </w:tcPr>
          <w:p w:rsidR="00E53630" w:rsidRPr="00A04DA3" w:rsidRDefault="00B6504E" w:rsidP="004B2675">
            <w:pPr>
              <w:ind w:firstLine="360"/>
            </w:pPr>
            <w:r>
              <w:t>Bc. Vyškovský Pavel</w:t>
            </w:r>
          </w:p>
        </w:tc>
        <w:tc>
          <w:tcPr>
            <w:tcW w:w="2733" w:type="dxa"/>
            <w:vAlign w:val="bottom"/>
          </w:tcPr>
          <w:p w:rsidR="00E53630" w:rsidRPr="00A04DA3" w:rsidRDefault="004F4ECA" w:rsidP="004B2675">
            <w:r>
              <w:t>ředitel</w:t>
            </w:r>
          </w:p>
        </w:tc>
        <w:tc>
          <w:tcPr>
            <w:tcW w:w="3163" w:type="dxa"/>
            <w:vAlign w:val="bottom"/>
          </w:tcPr>
          <w:p w:rsidR="00E53630" w:rsidRPr="004F4ECA" w:rsidRDefault="00580331" w:rsidP="004F4ECA">
            <w:pPr>
              <w:jc w:val="both"/>
              <w:rPr>
                <w:b/>
                <w:bCs/>
                <w:color w:val="D9D9D9"/>
              </w:rPr>
            </w:pPr>
            <w:r w:rsidRPr="004F4ECA">
              <w:rPr>
                <w:b/>
                <w:bCs/>
                <w:color w:val="D9D9D9"/>
              </w:rPr>
              <w:t>…</w:t>
            </w:r>
            <w:r w:rsidR="004F4ECA" w:rsidRPr="004F4ECA">
              <w:rPr>
                <w:b/>
                <w:bCs/>
                <w:color w:val="D9D9D9"/>
              </w:rPr>
              <w:t xml:space="preserve">                       …………...</w:t>
            </w:r>
            <w:r w:rsidRPr="004F4ECA">
              <w:rPr>
                <w:b/>
                <w:bCs/>
                <w:color w:val="D9D9D9"/>
              </w:rPr>
              <w:t>……………………</w:t>
            </w:r>
          </w:p>
        </w:tc>
      </w:tr>
      <w:tr w:rsidR="004F4ECA" w:rsidRPr="00A04DA3" w:rsidTr="00580331">
        <w:trPr>
          <w:trHeight w:val="378"/>
        </w:trPr>
        <w:tc>
          <w:tcPr>
            <w:tcW w:w="3062" w:type="dxa"/>
            <w:vAlign w:val="bottom"/>
          </w:tcPr>
          <w:p w:rsidR="00E53630" w:rsidRPr="00A04DA3" w:rsidRDefault="00E53630" w:rsidP="004B2675">
            <w:pPr>
              <w:ind w:firstLine="360"/>
            </w:pPr>
          </w:p>
        </w:tc>
        <w:tc>
          <w:tcPr>
            <w:tcW w:w="2733" w:type="dxa"/>
            <w:vAlign w:val="bottom"/>
          </w:tcPr>
          <w:p w:rsidR="00E53630" w:rsidRPr="00A04DA3" w:rsidRDefault="00E53630" w:rsidP="004B2675"/>
        </w:tc>
        <w:tc>
          <w:tcPr>
            <w:tcW w:w="3163" w:type="dxa"/>
            <w:vAlign w:val="bottom"/>
          </w:tcPr>
          <w:p w:rsidR="00E53630" w:rsidRPr="00A04DA3" w:rsidRDefault="00E53630" w:rsidP="004B2675">
            <w:pPr>
              <w:rPr>
                <w:color w:val="C0C0C0"/>
              </w:rPr>
            </w:pPr>
          </w:p>
        </w:tc>
      </w:tr>
      <w:tr w:rsidR="004F4ECA" w:rsidRPr="00A04DA3" w:rsidTr="00580331">
        <w:tc>
          <w:tcPr>
            <w:tcW w:w="3062" w:type="dxa"/>
          </w:tcPr>
          <w:p w:rsidR="00E53630" w:rsidRPr="00A04DA3" w:rsidRDefault="00E53630" w:rsidP="004B2675"/>
        </w:tc>
        <w:tc>
          <w:tcPr>
            <w:tcW w:w="2733" w:type="dxa"/>
          </w:tcPr>
          <w:p w:rsidR="00E53630" w:rsidRPr="00A04DA3" w:rsidRDefault="00E53630" w:rsidP="004B2675"/>
        </w:tc>
        <w:tc>
          <w:tcPr>
            <w:tcW w:w="3163" w:type="dxa"/>
          </w:tcPr>
          <w:p w:rsidR="00E53630" w:rsidRPr="00A04DA3" w:rsidRDefault="00E53630" w:rsidP="004B2675"/>
        </w:tc>
      </w:tr>
      <w:tr w:rsidR="004F4ECA" w:rsidRPr="00A04DA3" w:rsidTr="00580331">
        <w:tc>
          <w:tcPr>
            <w:tcW w:w="3062" w:type="dxa"/>
          </w:tcPr>
          <w:p w:rsidR="00E53630" w:rsidRPr="00A04DA3" w:rsidRDefault="00E53630" w:rsidP="004B2675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Odběratel:</w:t>
            </w:r>
          </w:p>
        </w:tc>
        <w:tc>
          <w:tcPr>
            <w:tcW w:w="2733" w:type="dxa"/>
          </w:tcPr>
          <w:p w:rsidR="00E53630" w:rsidRPr="00A04DA3" w:rsidRDefault="00E53630" w:rsidP="004B2675"/>
        </w:tc>
        <w:tc>
          <w:tcPr>
            <w:tcW w:w="3163" w:type="dxa"/>
          </w:tcPr>
          <w:p w:rsidR="00E53630" w:rsidRPr="00A04DA3" w:rsidRDefault="00E53630" w:rsidP="004B2675"/>
        </w:tc>
      </w:tr>
      <w:tr w:rsidR="004F4ECA" w:rsidRPr="00A04DA3" w:rsidTr="00580331">
        <w:trPr>
          <w:trHeight w:val="686"/>
        </w:trPr>
        <w:tc>
          <w:tcPr>
            <w:tcW w:w="3062" w:type="dxa"/>
            <w:vAlign w:val="bottom"/>
          </w:tcPr>
          <w:p w:rsidR="00E53630" w:rsidRPr="00A04DA3" w:rsidRDefault="00E53630" w:rsidP="004B2675">
            <w:r w:rsidRPr="00A04DA3">
              <w:t xml:space="preserve">V </w:t>
            </w:r>
            <w:r>
              <w:t xml:space="preserve">Kopřivnici </w:t>
            </w:r>
            <w:r w:rsidRPr="00A04DA3">
              <w:t>dne</w:t>
            </w:r>
          </w:p>
        </w:tc>
        <w:tc>
          <w:tcPr>
            <w:tcW w:w="2733" w:type="dxa"/>
            <w:vAlign w:val="bottom"/>
          </w:tcPr>
          <w:p w:rsidR="00E53630" w:rsidRPr="00A04DA3" w:rsidRDefault="00E53630" w:rsidP="004B2675"/>
        </w:tc>
        <w:tc>
          <w:tcPr>
            <w:tcW w:w="3163" w:type="dxa"/>
            <w:vAlign w:val="bottom"/>
          </w:tcPr>
          <w:p w:rsidR="00E53630" w:rsidRPr="00A04DA3" w:rsidRDefault="00E53630" w:rsidP="004B2675">
            <w:pPr>
              <w:rPr>
                <w:color w:val="C0C0C0"/>
              </w:rPr>
            </w:pPr>
          </w:p>
        </w:tc>
      </w:tr>
      <w:tr w:rsidR="004F4ECA" w:rsidRPr="00096DC6" w:rsidTr="00580331">
        <w:trPr>
          <w:trHeight w:val="512"/>
        </w:trPr>
        <w:tc>
          <w:tcPr>
            <w:tcW w:w="3062" w:type="dxa"/>
            <w:vAlign w:val="bottom"/>
          </w:tcPr>
          <w:p w:rsidR="00E53630" w:rsidRPr="00096DC6" w:rsidRDefault="00E53630" w:rsidP="004B2675">
            <w:pPr>
              <w:ind w:firstLine="360"/>
              <w:rPr>
                <w:color w:val="auto"/>
              </w:rPr>
            </w:pPr>
            <w:r w:rsidRPr="004C54D1">
              <w:rPr>
                <w:noProof/>
                <w:color w:val="auto"/>
              </w:rPr>
              <w:t>Ing.</w:t>
            </w:r>
            <w:r w:rsidR="00F05613" w:rsidRPr="00F05613">
              <w:rPr>
                <w:noProof/>
                <w:color w:val="auto"/>
              </w:rPr>
              <w:t xml:space="preserve"> Petr </w:t>
            </w:r>
            <w:r w:rsidR="00F05613">
              <w:rPr>
                <w:noProof/>
                <w:color w:val="auto"/>
              </w:rPr>
              <w:t>K</w:t>
            </w:r>
            <w:r w:rsidR="00F05613" w:rsidRPr="00F05613">
              <w:rPr>
                <w:noProof/>
                <w:color w:val="auto"/>
              </w:rPr>
              <w:t>ovařík</w:t>
            </w:r>
          </w:p>
        </w:tc>
        <w:tc>
          <w:tcPr>
            <w:tcW w:w="2733" w:type="dxa"/>
            <w:vAlign w:val="bottom"/>
          </w:tcPr>
          <w:p w:rsidR="00E53630" w:rsidRPr="00096DC6" w:rsidRDefault="00E53630" w:rsidP="004B2675">
            <w:pPr>
              <w:rPr>
                <w:color w:val="auto"/>
              </w:rPr>
            </w:pPr>
            <w:r w:rsidRPr="004C54D1">
              <w:rPr>
                <w:noProof/>
                <w:color w:val="auto"/>
              </w:rPr>
              <w:t>ředitel</w:t>
            </w:r>
          </w:p>
        </w:tc>
        <w:tc>
          <w:tcPr>
            <w:tcW w:w="3163" w:type="dxa"/>
            <w:vAlign w:val="bottom"/>
          </w:tcPr>
          <w:p w:rsidR="00E53630" w:rsidRPr="00096DC6" w:rsidRDefault="00E53630" w:rsidP="004B2675">
            <w:pPr>
              <w:rPr>
                <w:color w:val="auto"/>
              </w:rPr>
            </w:pPr>
            <w:r>
              <w:rPr>
                <w:color w:val="auto"/>
              </w:rPr>
              <w:t>……………………………..</w:t>
            </w:r>
          </w:p>
        </w:tc>
      </w:tr>
      <w:tr w:rsidR="004F4ECA" w:rsidRPr="00096DC6" w:rsidTr="00580331">
        <w:trPr>
          <w:trHeight w:val="562"/>
        </w:trPr>
        <w:tc>
          <w:tcPr>
            <w:tcW w:w="3062" w:type="dxa"/>
            <w:vAlign w:val="bottom"/>
          </w:tcPr>
          <w:p w:rsidR="00E53630" w:rsidRDefault="00E53630" w:rsidP="004B2675">
            <w:pPr>
              <w:ind w:firstLine="360"/>
              <w:rPr>
                <w:color w:val="auto"/>
              </w:rPr>
            </w:pPr>
          </w:p>
        </w:tc>
        <w:tc>
          <w:tcPr>
            <w:tcW w:w="2733" w:type="dxa"/>
            <w:vAlign w:val="bottom"/>
          </w:tcPr>
          <w:p w:rsidR="00E53630" w:rsidRDefault="00E53630" w:rsidP="004B2675">
            <w:pPr>
              <w:rPr>
                <w:color w:val="auto"/>
              </w:rPr>
            </w:pPr>
          </w:p>
        </w:tc>
        <w:tc>
          <w:tcPr>
            <w:tcW w:w="3163" w:type="dxa"/>
            <w:vAlign w:val="bottom"/>
          </w:tcPr>
          <w:p w:rsidR="00E53630" w:rsidRPr="00096DC6" w:rsidRDefault="00E53630" w:rsidP="004B2675">
            <w:pPr>
              <w:rPr>
                <w:color w:val="auto"/>
              </w:rPr>
            </w:pPr>
          </w:p>
        </w:tc>
      </w:tr>
    </w:tbl>
    <w:p w:rsidR="00E53630" w:rsidRPr="00A04DA3" w:rsidRDefault="00E53630" w:rsidP="00E53630"/>
    <w:p w:rsidR="00E53630" w:rsidRDefault="00E53630" w:rsidP="00E53630">
      <w:pPr>
        <w:sectPr w:rsidR="00E53630" w:rsidSect="00D345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7" w:right="1531" w:bottom="1418" w:left="1417" w:header="709" w:footer="709" w:gutter="0"/>
          <w:pgNumType w:start="1"/>
          <w:cols w:space="708"/>
          <w:docGrid w:linePitch="360"/>
        </w:sectPr>
      </w:pPr>
    </w:p>
    <w:p w:rsidR="00E53630" w:rsidRPr="00A04DA3" w:rsidRDefault="00E53630" w:rsidP="00E53630"/>
    <w:p w:rsidR="00D24BD6" w:rsidRDefault="00D24BD6"/>
    <w:sectPr w:rsidR="00D24BD6" w:rsidSect="002E7BAD">
      <w:headerReference w:type="default" r:id="rId13"/>
      <w:footerReference w:type="default" r:id="rId14"/>
      <w:type w:val="continuous"/>
      <w:pgSz w:w="11906" w:h="16838" w:code="9"/>
      <w:pgMar w:top="1417" w:right="1531" w:bottom="1418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C35" w:rsidRDefault="00090C35">
      <w:r>
        <w:separator/>
      </w:r>
    </w:p>
  </w:endnote>
  <w:endnote w:type="continuationSeparator" w:id="1">
    <w:p w:rsidR="00090C35" w:rsidRDefault="00090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CA" w:rsidRDefault="004F4EC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93000"/>
      <w:docPartObj>
        <w:docPartGallery w:val="Page Numbers (Bottom of Page)"/>
        <w:docPartUnique/>
      </w:docPartObj>
    </w:sdtPr>
    <w:sdtContent>
      <w:p w:rsidR="00BE4A06" w:rsidRDefault="00164C3F">
        <w:pPr>
          <w:pStyle w:val="Zpat"/>
          <w:jc w:val="center"/>
        </w:pPr>
        <w:r>
          <w:fldChar w:fldCharType="begin"/>
        </w:r>
        <w:r w:rsidR="00BE4A06">
          <w:instrText>PAGE   \* MERGEFORMAT</w:instrText>
        </w:r>
        <w:r>
          <w:fldChar w:fldCharType="separate"/>
        </w:r>
        <w:r w:rsidR="004A57A2">
          <w:rPr>
            <w:noProof/>
          </w:rPr>
          <w:t>3</w:t>
        </w:r>
        <w:r>
          <w:fldChar w:fldCharType="end"/>
        </w:r>
      </w:p>
    </w:sdtContent>
  </w:sdt>
  <w:p w:rsidR="00D24BD6" w:rsidRPr="00E52FDE" w:rsidRDefault="00D24BD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CA" w:rsidRDefault="004F4ECA">
    <w:pPr>
      <w:pStyle w:val="Zpa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D6" w:rsidRPr="00E52FDE" w:rsidRDefault="00E53630">
    <w:pPr>
      <w:pStyle w:val="Zpat"/>
    </w:pPr>
    <w:r>
      <w:tab/>
    </w:r>
    <w:r w:rsidRPr="00E52FDE">
      <w:rPr>
        <w:rStyle w:val="slostrnky"/>
      </w:rPr>
      <w:t xml:space="preserve">Strana </w:t>
    </w:r>
    <w:r w:rsidR="00164C3F"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PAGE </w:instrText>
    </w:r>
    <w:r w:rsidR="00164C3F" w:rsidRPr="00E52FDE">
      <w:rPr>
        <w:rStyle w:val="slostrnky"/>
      </w:rPr>
      <w:fldChar w:fldCharType="separate"/>
    </w:r>
    <w:r>
      <w:rPr>
        <w:rStyle w:val="slostrnky"/>
        <w:noProof/>
      </w:rPr>
      <w:t>1</w:t>
    </w:r>
    <w:r w:rsidR="00164C3F" w:rsidRPr="00E52FDE">
      <w:rPr>
        <w:rStyle w:val="slostrnky"/>
      </w:rPr>
      <w:fldChar w:fldCharType="end"/>
    </w:r>
    <w:r w:rsidRPr="00E52FDE">
      <w:rPr>
        <w:rStyle w:val="slostrnky"/>
      </w:rPr>
      <w:t xml:space="preserve"> (celkem </w:t>
    </w:r>
    <w:r w:rsidR="00164C3F"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SECTIONPAGES  </w:instrText>
    </w:r>
    <w:r w:rsidR="00164C3F" w:rsidRPr="00E52FDE">
      <w:rPr>
        <w:rStyle w:val="slostrnky"/>
      </w:rPr>
      <w:fldChar w:fldCharType="separate"/>
    </w:r>
    <w:r>
      <w:rPr>
        <w:rStyle w:val="slostrnky"/>
        <w:noProof/>
      </w:rPr>
      <w:t>1</w:t>
    </w:r>
    <w:r w:rsidR="00164C3F" w:rsidRPr="00E52FDE">
      <w:rPr>
        <w:rStyle w:val="slostrnky"/>
      </w:rPr>
      <w:fldChar w:fldCharType="end"/>
    </w:r>
    <w:r w:rsidRPr="00E52FDE">
      <w:rPr>
        <w:rStyle w:val="slostrnky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C35" w:rsidRDefault="00090C35">
      <w:r>
        <w:separator/>
      </w:r>
    </w:p>
  </w:footnote>
  <w:footnote w:type="continuationSeparator" w:id="1">
    <w:p w:rsidR="00090C35" w:rsidRDefault="00090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CA" w:rsidRDefault="004F4EC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7F" w:rsidRDefault="00BC537F">
    <w:pPr>
      <w:pStyle w:val="Zhlav"/>
    </w:pPr>
    <w:r>
      <w:t>Příloha č. 2 ke smlouvě o dodávce tepelné energie č. 99127</w:t>
    </w:r>
  </w:p>
  <w:p w:rsidR="00D24BD6" w:rsidRDefault="00D24BD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CA" w:rsidRDefault="004F4ECA">
    <w:pPr>
      <w:pStyle w:val="Zhlav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D6" w:rsidRPr="00B62DB1" w:rsidRDefault="00E53630" w:rsidP="00D34542">
    <w:pPr>
      <w:jc w:val="right"/>
      <w:rPr>
        <w:b/>
        <w:bCs/>
      </w:rPr>
    </w:pPr>
    <w:r>
      <w:t xml:space="preserve">Příloha č. 2 ke smlouvě o dodávce tepelné energie č. </w:t>
    </w:r>
    <w:r>
      <w:rPr>
        <w:noProof/>
      </w:rPr>
      <w:t>99062</w:t>
    </w:r>
  </w:p>
  <w:p w:rsidR="00D24BD6" w:rsidRDefault="00D24BD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5FA"/>
    <w:multiLevelType w:val="multilevel"/>
    <w:tmpl w:val="DD0CC77E"/>
    <w:lvl w:ilvl="0">
      <w:start w:val="1"/>
      <w:numFmt w:val="decimal"/>
      <w:pStyle w:val="Nadpis2"/>
      <w:lvlText w:val="Článek 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54C37253"/>
    <w:multiLevelType w:val="multilevel"/>
    <w:tmpl w:val="48DC7390"/>
    <w:lvl w:ilvl="0">
      <w:start w:val="1"/>
      <w:numFmt w:val="upperRoman"/>
      <w:suff w:val="nothing"/>
      <w:lvlText w:val="Článek %1."/>
      <w:lvlJc w:val="left"/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Nadpis3"/>
      <w:lvlText w:val="1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64C47DF9"/>
    <w:multiLevelType w:val="multilevel"/>
    <w:tmpl w:val="1026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630"/>
    <w:rsid w:val="00090C35"/>
    <w:rsid w:val="00164C3F"/>
    <w:rsid w:val="00173B4B"/>
    <w:rsid w:val="00201630"/>
    <w:rsid w:val="00264EDE"/>
    <w:rsid w:val="002F69AF"/>
    <w:rsid w:val="004A0046"/>
    <w:rsid w:val="004A57A2"/>
    <w:rsid w:val="004C1663"/>
    <w:rsid w:val="004F4ECA"/>
    <w:rsid w:val="005037F5"/>
    <w:rsid w:val="00580331"/>
    <w:rsid w:val="005E7BD4"/>
    <w:rsid w:val="00610050"/>
    <w:rsid w:val="006A371D"/>
    <w:rsid w:val="007F2F5B"/>
    <w:rsid w:val="00914064"/>
    <w:rsid w:val="00B6504E"/>
    <w:rsid w:val="00BC537F"/>
    <w:rsid w:val="00BE4A06"/>
    <w:rsid w:val="00D24BD6"/>
    <w:rsid w:val="00D45FFB"/>
    <w:rsid w:val="00E53630"/>
    <w:rsid w:val="00ED14D5"/>
    <w:rsid w:val="00ED18F8"/>
    <w:rsid w:val="00F0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630"/>
    <w:pPr>
      <w:widowControl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630"/>
    <w:pPr>
      <w:keepNext/>
      <w:widowControl/>
      <w:suppressAutoHyphens/>
      <w:spacing w:before="360" w:after="120"/>
      <w:jc w:val="center"/>
      <w:outlineLvl w:val="0"/>
    </w:pPr>
    <w:rPr>
      <w:rFonts w:eastAsia="Times New Roman"/>
      <w:b/>
      <w:bCs/>
      <w:color w:val="auto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630"/>
    <w:pPr>
      <w:widowControl/>
      <w:numPr>
        <w:numId w:val="2"/>
      </w:numPr>
      <w:spacing w:before="360" w:after="360"/>
      <w:outlineLvl w:val="1"/>
    </w:pPr>
    <w:rPr>
      <w:rFonts w:eastAsia="Times New Roman"/>
      <w:b/>
      <w:bCs/>
      <w:color w:val="auto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3630"/>
    <w:pPr>
      <w:keepNext/>
      <w:widowControl/>
      <w:numPr>
        <w:ilvl w:val="2"/>
        <w:numId w:val="1"/>
      </w:numPr>
      <w:spacing w:before="240" w:after="120"/>
      <w:jc w:val="both"/>
      <w:outlineLvl w:val="2"/>
    </w:pPr>
    <w:rPr>
      <w:rFonts w:eastAsia="Times New Roman"/>
      <w:b/>
      <w:bCs/>
      <w:color w:val="auto"/>
    </w:rPr>
  </w:style>
  <w:style w:type="paragraph" w:styleId="Nadpis4">
    <w:name w:val="heading 4"/>
    <w:basedOn w:val="Normln"/>
    <w:next w:val="Normln"/>
    <w:link w:val="Nadpis4Char"/>
    <w:uiPriority w:val="99"/>
    <w:qFormat/>
    <w:rsid w:val="00E53630"/>
    <w:pPr>
      <w:keepNext/>
      <w:widowControl/>
      <w:numPr>
        <w:ilvl w:val="3"/>
        <w:numId w:val="1"/>
      </w:numPr>
      <w:spacing w:before="240" w:after="120"/>
      <w:jc w:val="both"/>
      <w:outlineLvl w:val="3"/>
    </w:pPr>
    <w:rPr>
      <w:rFonts w:eastAsia="Times New Roman"/>
      <w:color w:val="auto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E53630"/>
    <w:pPr>
      <w:widowControl/>
      <w:numPr>
        <w:ilvl w:val="4"/>
        <w:numId w:val="1"/>
      </w:numPr>
      <w:tabs>
        <w:tab w:val="left" w:pos="737"/>
      </w:tabs>
      <w:spacing w:before="120" w:after="120"/>
      <w:jc w:val="both"/>
      <w:outlineLvl w:val="4"/>
    </w:pPr>
    <w:rPr>
      <w:rFonts w:eastAsia="Times New Roman"/>
      <w:color w:val="auto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100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53630"/>
    <w:rPr>
      <w:rFonts w:ascii="Arial" w:eastAsia="Times New Roman" w:hAnsi="Arial" w:cs="Arial"/>
      <w:b/>
      <w:bCs/>
      <w:kern w:val="32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536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E53630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E53630"/>
    <w:rPr>
      <w:rFonts w:ascii="Arial" w:eastAsia="Times New Roman" w:hAnsi="Arial" w:cs="Arial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E53630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rsid w:val="00E536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3630"/>
    <w:rPr>
      <w:rFonts w:ascii="Arial" w:eastAsia="Courier New" w:hAnsi="Arial" w:cs="Arial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536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3630"/>
    <w:rPr>
      <w:rFonts w:ascii="Arial" w:eastAsia="Courier New" w:hAnsi="Arial" w:cs="Arial"/>
      <w:color w:val="000000"/>
      <w:sz w:val="24"/>
      <w:szCs w:val="24"/>
      <w:lang w:eastAsia="cs-CZ"/>
    </w:rPr>
  </w:style>
  <w:style w:type="character" w:customStyle="1" w:styleId="Styl12b">
    <w:name w:val="Styl 12 b."/>
    <w:uiPriority w:val="99"/>
    <w:rsid w:val="00E53630"/>
    <w:rPr>
      <w:sz w:val="20"/>
    </w:rPr>
  </w:style>
  <w:style w:type="character" w:styleId="slostrnky">
    <w:name w:val="page number"/>
    <w:basedOn w:val="Standardnpsmoodstavce"/>
    <w:uiPriority w:val="99"/>
    <w:rsid w:val="00E53630"/>
    <w:rPr>
      <w:rFonts w:cs="Times New Roman"/>
    </w:rPr>
  </w:style>
  <w:style w:type="character" w:customStyle="1" w:styleId="Nadpis6Char">
    <w:name w:val="Nadpis 6 Char"/>
    <w:basedOn w:val="Standardnpsmoodstavce"/>
    <w:link w:val="Nadpis6"/>
    <w:uiPriority w:val="9"/>
    <w:rsid w:val="006100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Gilar</dc:creator>
  <cp:keywords/>
  <dc:description/>
  <cp:lastModifiedBy>HP PC</cp:lastModifiedBy>
  <cp:revision>6</cp:revision>
  <cp:lastPrinted>2022-01-04T11:20:00Z</cp:lastPrinted>
  <dcterms:created xsi:type="dcterms:W3CDTF">2023-12-21T10:49:00Z</dcterms:created>
  <dcterms:modified xsi:type="dcterms:W3CDTF">2024-01-03T06:02:00Z</dcterms:modified>
</cp:coreProperties>
</file>