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r>
        <mc:AlternateContent>
          <mc:Choice Requires="wps">
            <w:drawing>
              <wp:anchor simplePos="0" relativeHeight="2" behindDoc="1" locked="0" layoutInCell="1" allowOverlap="1">
                <wp:simplePos x="0" y="0"/>
                <wp:positionH relativeFrom="page">
                  <wp:posOffset>735965</wp:posOffset>
                </wp:positionH>
                <wp:positionV relativeFrom="page">
                  <wp:posOffset>843280</wp:posOffset>
                </wp:positionV>
                <wp:extent cx="5958840" cy="0"/>
                <wp:wrapNone/>
                <wp:docPr id="1" name="Shape 1"/>
                <a:graphic xmlns:a="http://schemas.openxmlformats.org/drawingml/2006/main">
                  <a:graphicData uri="http://schemas.microsoft.com/office/word/2010/wordprocessingShape">
                    <wps:wsp>
                      <wps:cNvCnPr/>
                      <wps:spPr>
                        <a:xfrm>
                          <a:ext cx="5958840" cy="0"/>
                        </a:xfrm>
                        <a:prstGeom prst="straightConnector1"/>
                        <a:ln w="6350">
                          <a:solidFill/>
                        </a:ln>
                      </wps:spPr>
                      <wps:bodyPr/>
                    </wps:wsp>
                  </a:graphicData>
                </a:graphic>
              </wp:anchor>
            </w:drawing>
          </mc:Choice>
          <mc:Fallback>
            <w:pict>
              <v:shape o:spt="32" o:oned="true" path="m,l21600,21600e" style="position:absolute;margin-left:57.950000000000003pt;margin-top:66.400000000000006pt;width:469.19999999999999pt;height:0;z-index:-251658240;mso-position-horizontal-relative:page;mso-position-vertical-relative:page">
                <v:stroke weight="0.5pt"/>
              </v:shape>
            </w:pict>
          </mc:Fallback>
        </mc:AlternateContent>
      </w:r>
      <w:r>
        <mc:AlternateContent>
          <mc:Choice Requires="wps">
            <w:drawing>
              <wp:anchor simplePos="0" relativeHeight="2" behindDoc="1" locked="0" layoutInCell="1" allowOverlap="1">
                <wp:simplePos x="0" y="0"/>
                <wp:positionH relativeFrom="page">
                  <wp:posOffset>742315</wp:posOffset>
                </wp:positionH>
                <wp:positionV relativeFrom="page">
                  <wp:posOffset>10001250</wp:posOffset>
                </wp:positionV>
                <wp:extent cx="5958840" cy="0"/>
                <wp:wrapNone/>
                <wp:docPr id="2" name="Shape 2"/>
                <a:graphic xmlns:a="http://schemas.openxmlformats.org/drawingml/2006/main">
                  <a:graphicData uri="http://schemas.microsoft.com/office/word/2010/wordprocessingShape">
                    <wps:wsp>
                      <wps:cNvCnPr/>
                      <wps:spPr>
                        <a:xfrm>
                          <a:ext cx="5958840" cy="0"/>
                        </a:xfrm>
                        <a:prstGeom prst="straightConnector1"/>
                        <a:ln w="6350">
                          <a:solidFill/>
                        </a:ln>
                      </wps:spPr>
                      <wps:bodyPr/>
                    </wps:wsp>
                  </a:graphicData>
                </a:graphic>
              </wp:anchor>
            </w:drawing>
          </mc:Choice>
          <mc:Fallback>
            <w:pict>
              <v:shape o:spt="32" o:oned="true" path="m,l21600,21600e" style="position:absolute;margin-left:58.450000000000003pt;margin-top:787.5pt;width:469.19999999999999pt;height:0;z-index:-251658240;mso-position-horizontal-relative:page;mso-position-vertical-relative:page">
                <v:stroke weight="0.5pt"/>
              </v:shape>
            </w:pict>
          </mc:Fallback>
        </mc:AlternateContent>
      </w:r>
    </w:p>
    <w:p>
      <w:pPr>
        <w:pStyle w:val="Style5"/>
        <w:keepNext w:val="0"/>
        <w:keepLines w:val="0"/>
        <w:framePr w:w="8098" w:h="432" w:hRule="exact" w:wrap="none" w:vAnchor="page" w:hAnchor="page" w:x="1160" w:y="9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předání a převzetí odpadu č. 30-05-11 -16/042 Domov pro seniory „SKALKA“ v Chebu, p.o.</w:t>
      </w:r>
    </w:p>
    <w:p>
      <w:pPr>
        <w:pStyle w:val="Style5"/>
        <w:keepNext w:val="0"/>
        <w:keepLines w:val="0"/>
        <w:framePr w:w="8098" w:h="432" w:hRule="exact" w:wrap="none" w:vAnchor="page" w:hAnchor="page" w:x="1160" w:y="9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změna číslo 08</w:t>
      </w:r>
    </w:p>
    <w:p>
      <w:pPr>
        <w:pStyle w:val="Style7"/>
        <w:keepNext w:val="0"/>
        <w:keepLines w:val="0"/>
        <w:framePr w:w="10116" w:h="3650" w:hRule="exact" w:wrap="none" w:vAnchor="page" w:hAnchor="page" w:x="1150" w:y="1944"/>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Dodatek č. 8 ke Smlouvě o předání a převzetí odpadů</w:t>
        <w:br/>
        <w:t>za účelem jejich dalšího zpracování č. 30-05-11-16/042</w:t>
      </w:r>
      <w:bookmarkEnd w:id="0"/>
      <w:bookmarkEnd w:id="1"/>
    </w:p>
    <w:p>
      <w:pPr>
        <w:pStyle w:val="Style9"/>
        <w:keepNext w:val="0"/>
        <w:keepLines w:val="0"/>
        <w:framePr w:w="10116" w:h="3650" w:hRule="exact" w:wrap="none" w:vAnchor="page" w:hAnchor="page" w:x="1150" w:y="1944"/>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Recovera Využití zdrojů a.s</w:t>
      </w:r>
      <w:bookmarkEnd w:id="2"/>
      <w:bookmarkEnd w:id="3"/>
    </w:p>
    <w:p>
      <w:pPr>
        <w:pStyle w:val="Style11"/>
        <w:keepNext w:val="0"/>
        <w:keepLines w:val="0"/>
        <w:framePr w:w="10116" w:h="3650" w:hRule="exact" w:wrap="none" w:vAnchor="page" w:hAnchor="page" w:x="1150" w:y="19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Španělská 1073/10, 120 00 Praha 2 Vinohrady</w:t>
      </w:r>
    </w:p>
    <w:p>
      <w:pPr>
        <w:pStyle w:val="Style11"/>
        <w:keepNext w:val="0"/>
        <w:keepLines w:val="0"/>
        <w:framePr w:w="10116" w:h="3650" w:hRule="exact" w:wrap="none" w:vAnchor="page" w:hAnchor="page" w:x="1150" w:y="19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OR pod spis.zn.: B 9378 u MS v Praze</w:t>
      </w:r>
    </w:p>
    <w:p>
      <w:pPr>
        <w:pStyle w:val="Style11"/>
        <w:keepNext w:val="0"/>
        <w:keepLines w:val="0"/>
        <w:framePr w:w="10116" w:h="3650" w:hRule="exact" w:wrap="none" w:vAnchor="page" w:hAnchor="page" w:x="1150" w:y="19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25638955</w:t>
      </w:r>
    </w:p>
    <w:p>
      <w:pPr>
        <w:pStyle w:val="Style11"/>
        <w:keepNext w:val="0"/>
        <w:keepLines w:val="0"/>
        <w:framePr w:w="10116" w:h="3650" w:hRule="exact" w:wrap="none" w:vAnchor="page" w:hAnchor="page" w:x="1150" w:y="19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CZ25638955</w:t>
      </w:r>
    </w:p>
    <w:p>
      <w:pPr>
        <w:pStyle w:val="Style11"/>
        <w:keepNext w:val="0"/>
        <w:keepLines w:val="0"/>
        <w:framePr w:w="10116" w:h="3650" w:hRule="exact" w:wrap="none" w:vAnchor="page" w:hAnchor="page" w:x="1150" w:y="19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zastupuje: Miloš Krýda, MBA, oblastní manažer obchodu</w:t>
      </w:r>
    </w:p>
    <w:p>
      <w:pPr>
        <w:pStyle w:val="Style11"/>
        <w:keepNext w:val="0"/>
        <w:keepLines w:val="0"/>
        <w:framePr w:w="10116" w:h="3650" w:hRule="exact" w:wrap="none" w:vAnchor="page" w:hAnchor="page" w:x="1150" w:y="19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Komerční banka, a.s., Praha</w:t>
      </w:r>
    </w:p>
    <w:p>
      <w:pPr>
        <w:pStyle w:val="Style11"/>
        <w:keepNext w:val="0"/>
        <w:keepLines w:val="0"/>
        <w:framePr w:w="10116" w:h="3650" w:hRule="exact" w:wrap="none" w:vAnchor="page" w:hAnchor="page" w:x="1150" w:y="1944"/>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 27-9328790297/0100</w:t>
      </w:r>
    </w:p>
    <w:p>
      <w:pPr>
        <w:pStyle w:val="Style11"/>
        <w:keepNext w:val="0"/>
        <w:keepLines w:val="0"/>
        <w:framePr w:w="10116" w:h="3650" w:hRule="exact" w:wrap="none" w:vAnchor="page" w:hAnchor="page" w:x="1150" w:y="1944"/>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11"/>
        <w:keepNext w:val="0"/>
        <w:keepLines w:val="0"/>
        <w:framePr w:w="10116" w:h="3650" w:hRule="exact" w:wrap="none" w:vAnchor="page" w:hAnchor="page" w:x="1150" w:y="1944"/>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a</w:t>
      </w:r>
    </w:p>
    <w:p>
      <w:pPr>
        <w:pStyle w:val="Style9"/>
        <w:keepNext w:val="0"/>
        <w:keepLines w:val="0"/>
        <w:framePr w:w="10116" w:h="6960" w:hRule="exact" w:wrap="none" w:vAnchor="page" w:hAnchor="page" w:x="1150" w:y="6040"/>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Domov pro seniory „SKALKA“ v Chebu, příspěvková organizace</w:t>
      </w:r>
      <w:bookmarkEnd w:id="4"/>
      <w:bookmarkEnd w:id="5"/>
    </w:p>
    <w:p>
      <w:pPr>
        <w:pStyle w:val="Style11"/>
        <w:keepNext w:val="0"/>
        <w:keepLines w:val="0"/>
        <w:framePr w:w="10116" w:h="6960" w:hRule="exact" w:wrap="none" w:vAnchor="page" w:hAnchor="page" w:x="1150" w:y="60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Americká 52, 350 02 Cheb - Skalka</w:t>
      </w:r>
    </w:p>
    <w:p>
      <w:pPr>
        <w:pStyle w:val="Style11"/>
        <w:keepNext w:val="0"/>
        <w:keepLines w:val="0"/>
        <w:framePr w:w="10116" w:h="6960" w:hRule="exact" w:wrap="none" w:vAnchor="page" w:hAnchor="page" w:x="1150" w:y="60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zapsaná v OR: Krajský soud v Plzni, spisová značka Pr 512</w:t>
      </w:r>
    </w:p>
    <w:p>
      <w:pPr>
        <w:pStyle w:val="Style11"/>
        <w:keepNext w:val="0"/>
        <w:keepLines w:val="0"/>
        <w:framePr w:w="10116" w:h="6960" w:hRule="exact" w:wrap="none" w:vAnchor="page" w:hAnchor="page" w:x="1150" w:y="60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 711 75 245</w:t>
      </w:r>
    </w:p>
    <w:p>
      <w:pPr>
        <w:pStyle w:val="Style11"/>
        <w:keepNext w:val="0"/>
        <w:keepLines w:val="0"/>
        <w:framePr w:w="10116" w:h="6960" w:hRule="exact" w:wrap="none" w:vAnchor="page" w:hAnchor="page" w:x="1150" w:y="604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Zastupuje: Mgr. Alena Samuelové, ředitelka</w:t>
      </w:r>
    </w:p>
    <w:p>
      <w:pPr>
        <w:pStyle w:val="Style11"/>
        <w:keepNext w:val="0"/>
        <w:keepLines w:val="0"/>
        <w:framePr w:w="10116" w:h="6960" w:hRule="exact" w:wrap="none" w:vAnchor="page" w:hAnchor="page" w:x="1150" w:y="604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adresa pro zasílání korespondence: Domov pro seniory „SKALKA“ v Chebu, p.o., Americká 52, 350 02 Cheb - Skalka</w:t>
      </w:r>
    </w:p>
    <w:p>
      <w:pPr>
        <w:pStyle w:val="Style11"/>
        <w:keepNext w:val="0"/>
        <w:keepLines w:val="0"/>
        <w:framePr w:w="10116" w:h="6960" w:hRule="exact" w:wrap="none" w:vAnchor="page" w:hAnchor="page" w:x="1150" w:y="604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11"/>
        <w:keepNext w:val="0"/>
        <w:keepLines w:val="0"/>
        <w:framePr w:w="10116" w:h="6960" w:hRule="exact" w:wrap="none" w:vAnchor="page" w:hAnchor="page" w:x="1150" w:y="604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p>
      <w:pPr>
        <w:pStyle w:val="Style14"/>
        <w:keepNext w:val="0"/>
        <w:keepLines w:val="0"/>
        <w:framePr w:w="10116" w:h="6960" w:hRule="exact" w:wrap="none" w:vAnchor="page" w:hAnchor="page" w:x="1150" w:y="6040"/>
        <w:widowControl w:val="0"/>
        <w:shd w:val="clear" w:color="auto" w:fill="auto"/>
        <w:bidi w:val="0"/>
        <w:spacing w:before="0" w:after="100" w:line="240" w:lineRule="auto"/>
        <w:ind w:left="3880" w:right="0" w:firstLine="0"/>
        <w:jc w:val="left"/>
      </w:pPr>
      <w:bookmarkStart w:id="6" w:name="bookmark6"/>
      <w:bookmarkStart w:id="7" w:name="bookmark7"/>
      <w:r>
        <w:rPr>
          <w:color w:val="000000"/>
          <w:spacing w:val="0"/>
          <w:w w:val="100"/>
          <w:position w:val="0"/>
          <w:shd w:val="clear" w:color="auto" w:fill="auto"/>
          <w:lang w:val="cs-CZ" w:eastAsia="cs-CZ" w:bidi="cs-CZ"/>
        </w:rPr>
        <w:t>Předmět dodatku</w:t>
      </w:r>
      <w:bookmarkEnd w:id="6"/>
      <w:bookmarkEnd w:id="7"/>
    </w:p>
    <w:p>
      <w:pPr>
        <w:pStyle w:val="Style11"/>
        <w:keepNext w:val="0"/>
        <w:keepLines w:val="0"/>
        <w:framePr w:w="10116" w:h="6960" w:hRule="exact" w:wrap="none" w:vAnchor="page" w:hAnchor="page" w:x="1150" w:y="6040"/>
        <w:widowControl w:val="0"/>
        <w:numPr>
          <w:ilvl w:val="0"/>
          <w:numId w:val="1"/>
        </w:numPr>
        <w:shd w:val="clear" w:color="auto" w:fill="auto"/>
        <w:tabs>
          <w:tab w:pos="334" w:val="left"/>
        </w:tabs>
        <w:bidi w:val="0"/>
        <w:spacing w:before="0" w:after="100" w:line="240" w:lineRule="auto"/>
        <w:ind w:left="0" w:right="0" w:firstLine="0"/>
        <w:jc w:val="left"/>
      </w:pPr>
      <w:r>
        <w:rPr>
          <w:color w:val="000000"/>
          <w:spacing w:val="0"/>
          <w:w w:val="100"/>
          <w:position w:val="0"/>
          <w:shd w:val="clear" w:color="auto" w:fill="auto"/>
          <w:lang w:val="cs-CZ" w:eastAsia="cs-CZ" w:bidi="cs-CZ"/>
        </w:rPr>
        <w:t>Objednatel a zhotovitel uzavřeli dne 01.02.2010 smlouvu o předání a převzetí odpadů za účelem jejich dalšího zpracován, číslo: 30-05-11-16/042 (dále jen „smlouva“).</w:t>
      </w:r>
    </w:p>
    <w:p>
      <w:pPr>
        <w:pStyle w:val="Style11"/>
        <w:keepNext w:val="0"/>
        <w:keepLines w:val="0"/>
        <w:framePr w:w="10116" w:h="6960" w:hRule="exact" w:wrap="none" w:vAnchor="page" w:hAnchor="page" w:x="1150" w:y="6040"/>
        <w:widowControl w:val="0"/>
        <w:numPr>
          <w:ilvl w:val="0"/>
          <w:numId w:val="1"/>
        </w:numPr>
        <w:shd w:val="clear" w:color="auto" w:fill="auto"/>
        <w:tabs>
          <w:tab w:pos="339" w:val="left"/>
        </w:tabs>
        <w:bidi w:val="0"/>
        <w:spacing w:before="0" w:after="100" w:line="257" w:lineRule="auto"/>
        <w:ind w:left="0" w:right="0" w:firstLine="0"/>
        <w:jc w:val="left"/>
      </w:pPr>
      <w:r>
        <w:rPr>
          <w:color w:val="000000"/>
          <w:spacing w:val="0"/>
          <w:w w:val="100"/>
          <w:position w:val="0"/>
          <w:shd w:val="clear" w:color="auto" w:fill="auto"/>
          <w:lang w:val="cs-CZ" w:eastAsia="cs-CZ" w:bidi="cs-CZ"/>
        </w:rPr>
        <w:t>Předmětem tohoto dodatku je úprava článku II. Předmět smlouvy, cenové podmínky, který nově zní následovně:</w:t>
      </w:r>
    </w:p>
    <w:p>
      <w:pPr>
        <w:pStyle w:val="Style9"/>
        <w:keepNext w:val="0"/>
        <w:keepLines w:val="0"/>
        <w:framePr w:w="10116" w:h="6960" w:hRule="exact" w:wrap="none" w:vAnchor="page" w:hAnchor="page" w:x="1150" w:y="6040"/>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II.</w:t>
      </w:r>
      <w:bookmarkEnd w:id="8"/>
      <w:bookmarkEnd w:id="9"/>
    </w:p>
    <w:p>
      <w:pPr>
        <w:pStyle w:val="Style14"/>
        <w:keepNext w:val="0"/>
        <w:keepLines w:val="0"/>
        <w:framePr w:w="10116" w:h="6960" w:hRule="exact" w:wrap="none" w:vAnchor="page" w:hAnchor="page" w:x="1150" w:y="6040"/>
        <w:widowControl w:val="0"/>
        <w:shd w:val="clear" w:color="auto" w:fill="auto"/>
        <w:bidi w:val="0"/>
        <w:spacing w:before="0" w:after="22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Předmět smlouvy, cenové podmínky</w:t>
      </w:r>
      <w:bookmarkEnd w:id="10"/>
      <w:bookmarkEnd w:id="11"/>
    </w:p>
    <w:p>
      <w:pPr>
        <w:pStyle w:val="Style11"/>
        <w:keepNext w:val="0"/>
        <w:keepLines w:val="0"/>
        <w:framePr w:w="10116" w:h="6960" w:hRule="exact" w:wrap="none" w:vAnchor="page" w:hAnchor="page" w:x="1150" w:y="60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je provozovatelem zařízení určeného pro nakládání s odpady plně oprávněným podnikat</w:t>
      </w:r>
    </w:p>
    <w:p>
      <w:pPr>
        <w:pStyle w:val="Style11"/>
        <w:keepNext w:val="0"/>
        <w:keepLines w:val="0"/>
        <w:framePr w:w="10116" w:h="6960" w:hRule="exact" w:wrap="none" w:vAnchor="page" w:hAnchor="page" w:x="1150" w:y="604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v odpadovém hospodářství dle zákona č. 541/2020 Sb., o odpadech (dále jen „zákon o odpadech“).</w:t>
      </w:r>
    </w:p>
    <w:p>
      <w:pPr>
        <w:pStyle w:val="Style11"/>
        <w:keepNext w:val="0"/>
        <w:keepLines w:val="0"/>
        <w:framePr w:w="10116" w:h="6960" w:hRule="exact" w:wrap="none" w:vAnchor="page" w:hAnchor="page" w:x="1150" w:y="60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se touto smlouvou zavazuje, že bude od objednatele přebírat odpady za účelem jejich dalšího zpracování dle zákona o odpadech a poskytovat mu další sjednaná související plnění za dohodnuté ceny a v dohodnutém místě:</w:t>
      </w:r>
    </w:p>
    <w:p>
      <w:pPr>
        <w:pStyle w:val="Style11"/>
        <w:keepNext w:val="0"/>
        <w:keepLines w:val="0"/>
        <w:framePr w:w="10116" w:h="6960" w:hRule="exact" w:wrap="none" w:vAnchor="page" w:hAnchor="page" w:x="1150" w:y="6040"/>
        <w:widowControl w:val="0"/>
        <w:shd w:val="clear" w:color="auto" w:fill="auto"/>
        <w:bidi w:val="0"/>
        <w:spacing w:before="0" w:after="220" w:line="240" w:lineRule="auto"/>
        <w:ind w:left="0" w:right="0" w:firstLine="720"/>
        <w:jc w:val="left"/>
      </w:pPr>
      <w:r>
        <w:rPr>
          <w:b/>
          <w:bCs/>
          <w:color w:val="000000"/>
          <w:spacing w:val="0"/>
          <w:w w:val="100"/>
          <w:position w:val="0"/>
          <w:shd w:val="clear" w:color="auto" w:fill="auto"/>
          <w:lang w:val="cs-CZ" w:eastAsia="cs-CZ" w:bidi="cs-CZ"/>
        </w:rPr>
        <w:t>Domov pro seniory „SKALKA“ v Chebu, p.o., Americká 52, 350 02 Cheb - Skalka</w:t>
      </w:r>
    </w:p>
    <w:p>
      <w:pPr>
        <w:pStyle w:val="Style11"/>
        <w:keepNext w:val="0"/>
        <w:keepLines w:val="0"/>
        <w:framePr w:w="10116" w:h="6960" w:hRule="exact" w:wrap="none" w:vAnchor="page" w:hAnchor="page" w:x="1150" w:y="60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 se zavazuje odpady zhotoviteli předávat, další poskytnutá plnění přijímat a zaplatit zhotoviteli sjednanou cenu.</w:t>
      </w:r>
    </w:p>
    <w:p>
      <w:pPr>
        <w:pStyle w:val="Style5"/>
        <w:keepNext w:val="0"/>
        <w:keepLines w:val="0"/>
        <w:framePr w:wrap="none" w:vAnchor="page" w:hAnchor="page" w:x="1174" w:y="15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Recovera Využití zdrojů a.s.</w:t>
      </w:r>
    </w:p>
    <w:p>
      <w:pPr>
        <w:pStyle w:val="Style5"/>
        <w:keepNext w:val="0"/>
        <w:keepLines w:val="0"/>
        <w:framePr w:wrap="none" w:vAnchor="page" w:hAnchor="page" w:x="8528" w:y="15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číslo 1 ze 2</w:t>
      </w:r>
    </w:p>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821055</wp:posOffset>
                </wp:positionH>
                <wp:positionV relativeFrom="page">
                  <wp:posOffset>799465</wp:posOffset>
                </wp:positionV>
                <wp:extent cx="5937885" cy="0"/>
                <wp:wrapNone/>
                <wp:docPr id="3" name="Shape 3"/>
                <a:graphic xmlns:a="http://schemas.openxmlformats.org/drawingml/2006/main">
                  <a:graphicData uri="http://schemas.microsoft.com/office/word/2010/wordprocessingShape">
                    <wps:wsp>
                      <wps:cNvCnPr/>
                      <wps:spPr>
                        <a:xfrm>
                          <a:ext cx="5937885" cy="0"/>
                        </a:xfrm>
                        <a:prstGeom prst="straightConnector1"/>
                        <a:ln w="6350">
                          <a:solidFill/>
                        </a:ln>
                      </wps:spPr>
                      <wps:bodyPr/>
                    </wps:wsp>
                  </a:graphicData>
                </a:graphic>
              </wp:anchor>
            </w:drawing>
          </mc:Choice>
          <mc:Fallback>
            <w:pict>
              <v:shape o:spt="32" o:oned="true" path="m,l21600,21600e" style="position:absolute;margin-left:64.650000000000006pt;margin-top:62.950000000000003pt;width:467.55000000000001pt;height:0;z-index:-251658240;mso-position-horizontal-relative:page;mso-position-vertical-relative:page">
                <v:stroke weight="0.5pt"/>
              </v:shape>
            </w:pict>
          </mc:Fallback>
        </mc:AlternateContent>
      </w:r>
      <w:r>
        <mc:AlternateContent>
          <mc:Choice Requires="wps">
            <w:drawing>
              <wp:anchor simplePos="0" relativeHeight="2" behindDoc="1" locked="0" layoutInCell="1" allowOverlap="1">
                <wp:simplePos x="0" y="0"/>
                <wp:positionH relativeFrom="page">
                  <wp:posOffset>833755</wp:posOffset>
                </wp:positionH>
                <wp:positionV relativeFrom="page">
                  <wp:posOffset>9937115</wp:posOffset>
                </wp:positionV>
                <wp:extent cx="5934075" cy="0"/>
                <wp:wrapNone/>
                <wp:docPr id="4" name="Shape 4"/>
                <a:graphic xmlns:a="http://schemas.openxmlformats.org/drawingml/2006/main">
                  <a:graphicData uri="http://schemas.microsoft.com/office/word/2010/wordprocessingShape">
                    <wps:wsp>
                      <wps:cNvCnPr/>
                      <wps:spPr>
                        <a:xfrm>
                          <a:ext cx="5934075" cy="0"/>
                        </a:xfrm>
                        <a:prstGeom prst="straightConnector1"/>
                        <a:ln w="6350">
                          <a:solidFill/>
                        </a:ln>
                      </wps:spPr>
                      <wps:bodyPr/>
                    </wps:wsp>
                  </a:graphicData>
                </a:graphic>
              </wp:anchor>
            </w:drawing>
          </mc:Choice>
          <mc:Fallback>
            <w:pict>
              <v:shape o:spt="32" o:oned="true" path="m,l21600,21600e" style="position:absolute;margin-left:65.650000000000006pt;margin-top:782.45000000000005pt;width:467.25pt;height:0;z-index:-251658240;mso-position-horizontal-relative:page;mso-position-vertical-relative:page">
                <v:stroke weight="0.5pt"/>
              </v:shape>
            </w:pict>
          </mc:Fallback>
        </mc:AlternateContent>
      </w:r>
    </w:p>
    <w:p>
      <w:pPr>
        <w:pStyle w:val="Style5"/>
        <w:keepNext w:val="0"/>
        <w:keepLines w:val="0"/>
        <w:framePr w:w="8078" w:h="451" w:hRule="exact" w:wrap="none" w:vAnchor="page" w:hAnchor="page" w:x="1297" w:y="83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Smlouva o předání a převzetí odpadu č. 30-05-11-16/042 Domov pro seniory „SKALKA“ v Chebu, p.o.</w:t>
      </w:r>
    </w:p>
    <w:p>
      <w:pPr>
        <w:pStyle w:val="Style5"/>
        <w:keepNext w:val="0"/>
        <w:keepLines w:val="0"/>
        <w:framePr w:w="8078" w:h="451" w:hRule="exact" w:wrap="none" w:vAnchor="page" w:hAnchor="page" w:x="1297" w:y="83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změna číslo 08</w:t>
      </w:r>
    </w:p>
    <w:p>
      <w:pPr>
        <w:pStyle w:val="Style11"/>
        <w:keepNext w:val="0"/>
        <w:keepLines w:val="0"/>
        <w:framePr w:wrap="none" w:vAnchor="page" w:hAnchor="page" w:x="1294" w:y="18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Sjednaná plnění:</w:t>
      </w:r>
    </w:p>
    <w:p>
      <w:pPr>
        <w:pStyle w:val="Style16"/>
        <w:keepNext w:val="0"/>
        <w:keepLines w:val="0"/>
        <w:framePr w:wrap="none" w:vAnchor="page" w:hAnchor="page" w:x="1309" w:y="231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 Převzetí odpadů</w:t>
      </w:r>
    </w:p>
    <w:tbl>
      <w:tblPr>
        <w:tblOverlap w:val="never"/>
        <w:jc w:val="left"/>
        <w:tblLayout w:type="fixed"/>
      </w:tblPr>
      <w:tblGrid>
        <w:gridCol w:w="1526"/>
        <w:gridCol w:w="552"/>
        <w:gridCol w:w="5918"/>
        <w:gridCol w:w="523"/>
        <w:gridCol w:w="1205"/>
      </w:tblGrid>
      <w:tr>
        <w:trPr>
          <w:trHeight w:val="427" w:hRule="exact"/>
        </w:trPr>
        <w:tc>
          <w:tcPr>
            <w:tcBorders>
              <w:top w:val="single" w:sz="4"/>
              <w:lef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Katal. č. dle</w:t>
            </w:r>
          </w:p>
        </w:tc>
        <w:tc>
          <w:tcPr>
            <w:tcBorders>
              <w:top w:val="single" w:sz="4"/>
              <w:lef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Kat.</w:t>
            </w:r>
          </w:p>
        </w:tc>
        <w:tc>
          <w:tcPr>
            <w:tcBorders>
              <w:top w:val="single" w:sz="4"/>
              <w:lef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odpadu</w:t>
            </w:r>
          </w:p>
        </w:tc>
        <w:tc>
          <w:tcPr>
            <w:tcBorders>
              <w:top w:val="single" w:sz="4"/>
              <w:lef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NU</w:t>
            </w:r>
          </w:p>
        </w:tc>
        <w:tc>
          <w:tcPr>
            <w:tcBorders>
              <w:top w:val="single" w:sz="4"/>
              <w:left w:val="single" w:sz="4"/>
              <w:right w:val="single" w:sz="4"/>
            </w:tcBorders>
            <w:shd w:val="clear" w:color="auto" w:fill="FFFFFF"/>
            <w:vAlign w:val="bottom"/>
          </w:tcPr>
          <w:p>
            <w:pPr>
              <w:pStyle w:val="Style19"/>
              <w:keepNext w:val="0"/>
              <w:keepLines w:val="0"/>
              <w:framePr w:w="9725" w:h="1661" w:wrap="none" w:vAnchor="page" w:hAnchor="page" w:x="1323" w:y="2659"/>
              <w:widowControl w:val="0"/>
              <w:shd w:val="clear" w:color="auto" w:fill="auto"/>
              <w:bidi w:val="0"/>
              <w:spacing w:before="0" w:after="0" w:line="214" w:lineRule="auto"/>
              <w:ind w:left="0" w:right="0" w:firstLine="0"/>
              <w:jc w:val="center"/>
            </w:pPr>
            <w:r>
              <w:rPr>
                <w:b/>
                <w:bCs/>
                <w:color w:val="000000"/>
                <w:spacing w:val="0"/>
                <w:w w:val="100"/>
                <w:position w:val="0"/>
                <w:shd w:val="clear" w:color="auto" w:fill="auto"/>
                <w:lang w:val="cs-CZ" w:eastAsia="cs-CZ" w:bidi="cs-CZ"/>
              </w:rPr>
              <w:t>Cena (Kč/NU)</w:t>
            </w:r>
          </w:p>
        </w:tc>
      </w:tr>
      <w:tr>
        <w:trPr>
          <w:trHeight w:val="216" w:hRule="exact"/>
        </w:trPr>
        <w:tc>
          <w:tcPr>
            <w:tcBorders>
              <w:top w:val="single" w:sz="4"/>
              <w:left w:val="single" w:sz="4"/>
            </w:tcBorders>
            <w:shd w:val="clear" w:color="auto" w:fill="FFFFFF"/>
            <w:vAlign w:val="bottom"/>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18 01 01</w:t>
            </w:r>
          </w:p>
        </w:tc>
        <w:tc>
          <w:tcPr>
            <w:tcBorders>
              <w:top w:val="single" w:sz="4"/>
              <w:left w:val="single" w:sz="4"/>
            </w:tcBorders>
            <w:shd w:val="clear" w:color="auto" w:fill="FFFFFF"/>
            <w:vAlign w:val="bottom"/>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w:t>
            </w:r>
          </w:p>
        </w:tc>
        <w:tc>
          <w:tcPr>
            <w:tcBorders>
              <w:top w:val="single" w:sz="4"/>
              <w:left w:val="single" w:sz="4"/>
            </w:tcBorders>
            <w:shd w:val="clear" w:color="auto" w:fill="FFFFFF"/>
            <w:vAlign w:val="bottom"/>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Ostré předměty (kromě čísla 180103)</w:t>
            </w:r>
          </w:p>
        </w:tc>
        <w:tc>
          <w:tcPr>
            <w:tcBorders>
              <w:top w:val="single" w:sz="4"/>
              <w:left w:val="single" w:sz="4"/>
            </w:tcBorders>
            <w:shd w:val="clear" w:color="auto" w:fill="FFFFFF"/>
            <w:vAlign w:val="bottom"/>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kg</w:t>
            </w:r>
          </w:p>
        </w:tc>
        <w:tc>
          <w:tcPr>
            <w:tcBorders>
              <w:top w:val="single" w:sz="4"/>
              <w:left w:val="single" w:sz="4"/>
              <w:right w:val="single" w:sz="4"/>
            </w:tcBorders>
            <w:shd w:val="clear" w:color="auto" w:fill="FFFFFF"/>
            <w:vAlign w:val="bottom"/>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17,99</w:t>
            </w:r>
          </w:p>
        </w:tc>
      </w:tr>
      <w:tr>
        <w:trPr>
          <w:trHeight w:val="504" w:hRule="exact"/>
        </w:trPr>
        <w:tc>
          <w:tcPr>
            <w:tcBorders>
              <w:top w:val="single" w:sz="4"/>
              <w:lef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18 01 03</w:t>
            </w:r>
          </w:p>
        </w:tc>
        <w:tc>
          <w:tcPr>
            <w:tcBorders>
              <w:top w:val="single" w:sz="4"/>
              <w:lef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w:t>
            </w:r>
          </w:p>
        </w:tc>
        <w:tc>
          <w:tcPr>
            <w:tcBorders>
              <w:top w:val="single" w:sz="4"/>
              <w:lef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Odpady, na jejichž sběr a odstraňování jsou kladeny zvi. požadavky s ohledem na prevenci infekce</w:t>
            </w:r>
          </w:p>
        </w:tc>
        <w:tc>
          <w:tcPr>
            <w:tcBorders>
              <w:top w:val="single" w:sz="4"/>
              <w:lef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kg</w:t>
            </w:r>
          </w:p>
        </w:tc>
        <w:tc>
          <w:tcPr>
            <w:tcBorders>
              <w:top w:val="single" w:sz="4"/>
              <w:left w:val="single" w:sz="4"/>
              <w:righ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17,99</w:t>
            </w:r>
          </w:p>
        </w:tc>
      </w:tr>
      <w:tr>
        <w:trPr>
          <w:trHeight w:val="514" w:hRule="exact"/>
        </w:trPr>
        <w:tc>
          <w:tcPr>
            <w:tcBorders>
              <w:top w:val="single" w:sz="4"/>
              <w:left w:val="single" w:sz="4"/>
              <w:bottom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18 01 09</w:t>
            </w:r>
          </w:p>
        </w:tc>
        <w:tc>
          <w:tcPr>
            <w:tcBorders>
              <w:top w:val="single" w:sz="4"/>
              <w:left w:val="single" w:sz="4"/>
              <w:bottom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w:t>
            </w:r>
          </w:p>
        </w:tc>
        <w:tc>
          <w:tcPr>
            <w:tcBorders>
              <w:top w:val="single" w:sz="4"/>
              <w:left w:val="single" w:sz="4"/>
              <w:bottom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Jiná nepoužitelná léčiva neuvedená pod číslem 180108</w:t>
            </w:r>
          </w:p>
        </w:tc>
        <w:tc>
          <w:tcPr>
            <w:tcBorders>
              <w:top w:val="single" w:sz="4"/>
              <w:left w:val="single" w:sz="4"/>
              <w:bottom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kg</w:t>
            </w:r>
          </w:p>
        </w:tc>
        <w:tc>
          <w:tcPr>
            <w:tcBorders>
              <w:top w:val="single" w:sz="4"/>
              <w:left w:val="single" w:sz="4"/>
              <w:bottom w:val="single" w:sz="4"/>
              <w:right w:val="single" w:sz="4"/>
            </w:tcBorders>
            <w:shd w:val="clear" w:color="auto" w:fill="FFFFFF"/>
            <w:vAlign w:val="top"/>
          </w:tcPr>
          <w:p>
            <w:pPr>
              <w:pStyle w:val="Style19"/>
              <w:keepNext w:val="0"/>
              <w:keepLines w:val="0"/>
              <w:framePr w:w="9725" w:h="1661" w:wrap="none" w:vAnchor="page" w:hAnchor="page" w:x="1323" w:y="2659"/>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20,-</w:t>
            </w:r>
          </w:p>
        </w:tc>
      </w:tr>
    </w:tbl>
    <w:p>
      <w:pPr>
        <w:pStyle w:val="Style16"/>
        <w:keepNext w:val="0"/>
        <w:keepLines w:val="0"/>
        <w:framePr w:w="9281" w:h="713" w:hRule="exact" w:wrap="none" w:vAnchor="page" w:hAnchor="page" w:x="1297" w:y="4322"/>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Služba a cena zahrnuje:</w:t>
      </w:r>
    </w:p>
    <w:p>
      <w:pPr>
        <w:pStyle w:val="Style16"/>
        <w:keepNext w:val="0"/>
        <w:keepLines w:val="0"/>
        <w:framePr w:w="9281" w:h="713" w:hRule="exact" w:wrap="none" w:vAnchor="page" w:hAnchor="page" w:x="1297" w:y="432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Přepravu odpadu krytým automobilem dle podmínek ADR z prostoru domova do spalovny, a to s četností 3x týdně v kapacitě, která zajistí odvoz veškerého zdravotnického odpadu.</w:t>
      </w:r>
    </w:p>
    <w:p>
      <w:pPr>
        <w:pStyle w:val="Style14"/>
        <w:keepNext w:val="0"/>
        <w:keepLines w:val="0"/>
        <w:framePr w:w="9828" w:h="5050" w:hRule="exact" w:wrap="none" w:vAnchor="page" w:hAnchor="page" w:x="1294" w:y="5198"/>
        <w:widowControl w:val="0"/>
        <w:shd w:val="clear" w:color="auto" w:fill="auto"/>
        <w:bidi w:val="0"/>
        <w:spacing w:before="0" w:after="0" w:line="257" w:lineRule="auto"/>
        <w:ind w:left="0" w:right="0" w:firstLine="0"/>
        <w:jc w:val="left"/>
      </w:pPr>
      <w:bookmarkStart w:id="12" w:name="bookmark12"/>
      <w:bookmarkStart w:id="13" w:name="bookmark13"/>
      <w:r>
        <w:rPr>
          <w:color w:val="000000"/>
          <w:spacing w:val="0"/>
          <w:w w:val="100"/>
          <w:position w:val="0"/>
          <w:u w:val="none"/>
          <w:shd w:val="clear" w:color="auto" w:fill="auto"/>
          <w:lang w:val="cs-CZ" w:eastAsia="cs-CZ" w:bidi="cs-CZ"/>
        </w:rPr>
        <w:t>Předmětem smlouvy je dále:</w:t>
      </w:r>
      <w:bookmarkEnd w:id="12"/>
      <w:bookmarkEnd w:id="13"/>
    </w:p>
    <w:p>
      <w:pPr>
        <w:pStyle w:val="Style11"/>
        <w:keepNext w:val="0"/>
        <w:keepLines w:val="0"/>
        <w:framePr w:w="9828" w:h="5050" w:hRule="exact" w:wrap="none" w:vAnchor="page" w:hAnchor="page" w:x="1294" w:y="5198"/>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Dodávka pytlů z PVC velikosti 700x1100mm tl. 0,1 mm na odpady, v počtu odpovídajícímu množství likvidovaného odpadu, uvažováno 8 kg na 1 pytel.</w:t>
      </w:r>
    </w:p>
    <w:p>
      <w:pPr>
        <w:pStyle w:val="Style11"/>
        <w:keepNext w:val="0"/>
        <w:keepLines w:val="0"/>
        <w:framePr w:w="9828" w:h="5050" w:hRule="exact" w:wrap="none" w:vAnchor="page" w:hAnchor="page" w:x="1294" w:y="5198"/>
        <w:widowControl w:val="0"/>
        <w:numPr>
          <w:ilvl w:val="0"/>
          <w:numId w:val="3"/>
        </w:numPr>
        <w:shd w:val="clear" w:color="auto" w:fill="auto"/>
        <w:tabs>
          <w:tab w:pos="330" w:val="left"/>
        </w:tabs>
        <w:bidi w:val="0"/>
        <w:spacing w:before="0" w:after="200" w:line="257" w:lineRule="auto"/>
        <w:ind w:left="0" w:right="0" w:firstLine="0"/>
        <w:jc w:val="left"/>
      </w:pPr>
      <w:r>
        <w:rPr>
          <w:color w:val="000000"/>
          <w:spacing w:val="0"/>
          <w:w w:val="100"/>
          <w:position w:val="0"/>
          <w:shd w:val="clear" w:color="auto" w:fill="auto"/>
          <w:lang w:val="cs-CZ" w:eastAsia="cs-CZ" w:bidi="cs-CZ"/>
        </w:rPr>
        <w:t>případě další potřeby pytlů nad rámec bude účtována cena 9,- Kč/ks.</w:t>
      </w:r>
    </w:p>
    <w:p>
      <w:pPr>
        <w:pStyle w:val="Style11"/>
        <w:keepNext w:val="0"/>
        <w:keepLines w:val="0"/>
        <w:framePr w:w="9828" w:h="5050" w:hRule="exact" w:wrap="none" w:vAnchor="page" w:hAnchor="page" w:x="1294" w:y="5198"/>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Celková cena k vyúčtování zhotovitelem objednateli odpovídá násobku výše uvedených jednotkových cen a příslušných měrných jednotek. Všechny ceny uvedené ve smlouvě jsou bez DPH, která se připočte v souladu s příslušnými platnými předpisy.</w:t>
      </w:r>
    </w:p>
    <w:p>
      <w:pPr>
        <w:pStyle w:val="Style9"/>
        <w:keepNext w:val="0"/>
        <w:keepLines w:val="0"/>
        <w:framePr w:w="9828" w:h="5050" w:hRule="exact" w:wrap="none" w:vAnchor="page" w:hAnchor="page" w:x="1294" w:y="5198"/>
        <w:widowControl w:val="0"/>
        <w:shd w:val="clear" w:color="auto" w:fill="auto"/>
        <w:bidi w:val="0"/>
        <w:spacing w:before="0" w:after="0" w:line="216"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III.</w:t>
      </w:r>
      <w:bookmarkEnd w:id="14"/>
      <w:bookmarkEnd w:id="15"/>
    </w:p>
    <w:p>
      <w:pPr>
        <w:pStyle w:val="Style14"/>
        <w:keepNext w:val="0"/>
        <w:keepLines w:val="0"/>
        <w:framePr w:w="9828" w:h="5050" w:hRule="exact" w:wrap="none" w:vAnchor="page" w:hAnchor="page" w:x="1294" w:y="5198"/>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Závěrečná ujednání</w:t>
      </w:r>
      <w:bookmarkEnd w:id="16"/>
      <w:bookmarkEnd w:id="17"/>
    </w:p>
    <w:p>
      <w:pPr>
        <w:pStyle w:val="Style11"/>
        <w:keepNext w:val="0"/>
        <w:keepLines w:val="0"/>
        <w:framePr w:w="9828" w:h="5050" w:hRule="exact" w:wrap="none" w:vAnchor="page" w:hAnchor="page" w:x="1294" w:y="5198"/>
        <w:widowControl w:val="0"/>
        <w:numPr>
          <w:ilvl w:val="0"/>
          <w:numId w:val="3"/>
        </w:numPr>
        <w:shd w:val="clear" w:color="auto" w:fill="auto"/>
        <w:tabs>
          <w:tab w:pos="330" w:val="left"/>
        </w:tabs>
        <w:bidi w:val="0"/>
        <w:spacing w:before="0" w:after="0" w:line="240" w:lineRule="auto"/>
        <w:ind w:left="0" w:right="0" w:firstLine="0"/>
        <w:jc w:val="left"/>
      </w:pPr>
      <w:r>
        <w:rPr>
          <w:color w:val="000000"/>
          <w:spacing w:val="0"/>
          <w:w w:val="100"/>
          <w:position w:val="0"/>
          <w:shd w:val="clear" w:color="auto" w:fill="auto"/>
          <w:lang w:val="cs-CZ" w:eastAsia="cs-CZ" w:bidi="cs-CZ"/>
        </w:rPr>
        <w:t>ostatních ustanoveních se výše uvedená smlouva nemění.</w:t>
      </w:r>
    </w:p>
    <w:p>
      <w:pPr>
        <w:pStyle w:val="Style11"/>
        <w:keepNext w:val="0"/>
        <w:keepLines w:val="0"/>
        <w:framePr w:w="9828" w:h="5050" w:hRule="exact" w:wrap="none" w:vAnchor="page" w:hAnchor="page" w:x="1294" w:y="51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Tento dodatek nabývá účinnosti ode dne 01.01.2024. V případě, že se tento dodatek uzavře po datu 01.01.2024, pak se smluvní strany dohodly, že na plnění provedená od 01.01.2024 dle smlouvy se hledí jako na plnění provedená dle smlouvy ve znění tohoto dodatku.</w:t>
      </w:r>
    </w:p>
    <w:p>
      <w:pPr>
        <w:pStyle w:val="Style11"/>
        <w:keepNext w:val="0"/>
        <w:keepLines w:val="0"/>
        <w:framePr w:w="9828" w:h="5050" w:hRule="exact" w:wrap="none" w:vAnchor="page" w:hAnchor="page" w:x="1294" w:y="51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 prohlašují, že si tento dodatek přečetly a s jeho obsahem souhlasí.</w:t>
      </w:r>
    </w:p>
    <w:p>
      <w:pPr>
        <w:pStyle w:val="Style11"/>
        <w:keepNext w:val="0"/>
        <w:keepLines w:val="0"/>
        <w:framePr w:w="9828" w:h="5050" w:hRule="exact" w:wrap="none" w:vAnchor="page" w:hAnchor="page" w:x="1294" w:y="51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Tento dodatek je projevem jejich úplné, svobodné a vážné vůle.</w:t>
      </w:r>
    </w:p>
    <w:p>
      <w:pPr>
        <w:pStyle w:val="Style11"/>
        <w:keepNext w:val="0"/>
        <w:keepLines w:val="0"/>
        <w:framePr w:w="9828" w:h="5050" w:hRule="exact" w:wrap="none" w:vAnchor="page" w:hAnchor="page" w:x="1294" w:y="51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Tento dodatek nebyl uzavřen v tísni ani za jednostranně nevýhodných podmínek. Na důkaz toho připojují své vlastnoruční podpisy.</w:t>
      </w:r>
    </w:p>
    <w:p>
      <w:pPr>
        <w:pStyle w:val="Style11"/>
        <w:keepNext w:val="0"/>
        <w:keepLines w:val="0"/>
        <w:framePr w:w="9828" w:h="5050" w:hRule="exact" w:wrap="none" w:vAnchor="page" w:hAnchor="page" w:x="1294" w:y="51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Tento dodatek byl vyhotoven ve dvou exemplářích, z nichž každá ze smluvních stran obdrží po jednom dodatku po jeho podpisu.</w:t>
      </w:r>
    </w:p>
    <w:p>
      <w:pPr>
        <w:pStyle w:val="Style11"/>
        <w:keepNext w:val="0"/>
        <w:keepLines w:val="0"/>
        <w:framePr w:w="9828" w:h="5050" w:hRule="exact" w:wrap="none" w:vAnchor="page" w:hAnchor="page" w:x="1294" w:y="51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ustanovení smlouvy jsou tímto dodatkem nedotčené.</w:t>
      </w:r>
    </w:p>
    <w:p>
      <w:pPr>
        <w:framePr w:wrap="none" w:vAnchor="page" w:hAnchor="page" w:x="6123" w:y="10684"/>
        <w:widowControl w:val="0"/>
      </w:pPr>
    </w:p>
    <w:p>
      <w:pPr>
        <w:pStyle w:val="Style11"/>
        <w:keepNext w:val="0"/>
        <w:keepLines w:val="0"/>
        <w:framePr w:wrap="none" w:vAnchor="page" w:hAnchor="page" w:x="1294" w:y="10651"/>
        <w:widowControl w:val="0"/>
        <w:pBdr>
          <w:bottom w:val="single" w:sz="4" w:space="0" w:color="auto"/>
        </w:pBdr>
        <w:shd w:val="clear" w:color="auto" w:fill="auto"/>
        <w:tabs>
          <w:tab w:pos="7455" w:val="left"/>
          <w:tab w:leader="dot" w:pos="7646" w:val="left"/>
          <w:tab w:leader="dot" w:pos="7842" w:val="left"/>
        </w:tabs>
        <w:bidi w:val="0"/>
        <w:spacing w:before="0" w:after="0" w:line="240" w:lineRule="auto"/>
        <w:ind w:left="6188" w:right="1956" w:firstLine="0"/>
        <w:jc w:val="left"/>
      </w:pPr>
      <w:r>
        <w:rPr>
          <w:color w:val="000000"/>
          <w:spacing w:val="0"/>
          <w:w w:val="100"/>
          <w:position w:val="0"/>
          <w:shd w:val="clear" w:color="auto" w:fill="auto"/>
          <w:lang w:val="cs-CZ" w:eastAsia="cs-CZ" w:bidi="cs-CZ"/>
        </w:rPr>
        <w:t>... dne</w:t>
        <w:tab/>
        <w:tab/>
        <w:tab/>
      </w:r>
    </w:p>
    <w:p>
      <w:pPr>
        <w:pStyle w:val="Style14"/>
        <w:keepNext w:val="0"/>
        <w:keepLines w:val="0"/>
        <w:framePr w:w="9828" w:h="924" w:hRule="exact" w:wrap="none" w:vAnchor="page" w:hAnchor="page" w:x="1294" w:y="12482"/>
        <w:widowControl w:val="0"/>
        <w:shd w:val="clear" w:color="auto" w:fill="auto"/>
        <w:bidi w:val="0"/>
        <w:spacing w:before="0" w:after="0" w:line="240" w:lineRule="auto"/>
        <w:ind w:left="24" w:right="7437" w:firstLine="0"/>
        <w:jc w:val="left"/>
      </w:pPr>
      <w:bookmarkStart w:id="18" w:name="bookmark18"/>
      <w:bookmarkStart w:id="19" w:name="bookmark19"/>
      <w:r>
        <w:rPr>
          <w:color w:val="000000"/>
          <w:spacing w:val="0"/>
          <w:w w:val="100"/>
          <w:position w:val="0"/>
          <w:u w:val="none"/>
          <w:shd w:val="clear" w:color="auto" w:fill="auto"/>
          <w:lang w:val="cs-CZ" w:eastAsia="cs-CZ" w:bidi="cs-CZ"/>
        </w:rPr>
        <w:t>Za zhotovitele:</w:t>
      </w:r>
      <w:bookmarkEnd w:id="18"/>
      <w:bookmarkEnd w:id="19"/>
    </w:p>
    <w:p>
      <w:pPr>
        <w:pStyle w:val="Style11"/>
        <w:keepNext w:val="0"/>
        <w:keepLines w:val="0"/>
        <w:framePr w:w="9828" w:h="924" w:hRule="exact" w:wrap="none" w:vAnchor="page" w:hAnchor="page" w:x="1294" w:y="12482"/>
        <w:widowControl w:val="0"/>
        <w:shd w:val="clear" w:color="auto" w:fill="auto"/>
        <w:bidi w:val="0"/>
        <w:spacing w:before="0" w:after="0" w:line="240" w:lineRule="auto"/>
        <w:ind w:left="24" w:right="7437" w:firstLine="0"/>
        <w:jc w:val="left"/>
      </w:pPr>
      <w:r>
        <w:rPr>
          <w:color w:val="000000"/>
          <w:spacing w:val="0"/>
          <w:w w:val="100"/>
          <w:position w:val="0"/>
          <w:shd w:val="clear" w:color="auto" w:fill="auto"/>
          <w:lang w:val="cs-CZ" w:eastAsia="cs-CZ" w:bidi="cs-CZ"/>
        </w:rPr>
        <w:t>Miloš Krýda MBA</w:t>
      </w:r>
    </w:p>
    <w:p>
      <w:pPr>
        <w:pStyle w:val="Style11"/>
        <w:keepNext w:val="0"/>
        <w:keepLines w:val="0"/>
        <w:framePr w:w="9828" w:h="924" w:hRule="exact" w:wrap="none" w:vAnchor="page" w:hAnchor="page" w:x="1294" w:y="12482"/>
        <w:widowControl w:val="0"/>
        <w:shd w:val="clear" w:color="auto" w:fill="auto"/>
        <w:bidi w:val="0"/>
        <w:spacing w:before="0" w:after="0" w:line="240" w:lineRule="auto"/>
        <w:ind w:left="24" w:right="7437" w:firstLine="0"/>
        <w:jc w:val="left"/>
      </w:pPr>
      <w:r>
        <w:rPr>
          <w:color w:val="000000"/>
          <w:spacing w:val="0"/>
          <w:w w:val="100"/>
          <w:position w:val="0"/>
          <w:shd w:val="clear" w:color="auto" w:fill="auto"/>
          <w:lang w:val="cs-CZ" w:eastAsia="cs-CZ" w:bidi="cs-CZ"/>
        </w:rPr>
        <w:t>Oblastní manažer obchodu</w:t>
        <w:br/>
        <w:t>na základě plné moci</w:t>
      </w:r>
    </w:p>
    <w:p>
      <w:pPr>
        <w:pStyle w:val="Style11"/>
        <w:keepNext w:val="0"/>
        <w:keepLines w:val="0"/>
        <w:framePr w:w="1997" w:h="696" w:hRule="exact" w:wrap="none" w:vAnchor="page" w:hAnchor="page" w:x="6114" w:y="12484"/>
        <w:widowControl w:val="0"/>
        <w:shd w:val="clear" w:color="auto" w:fill="auto"/>
        <w:bidi w:val="0"/>
        <w:spacing w:before="0" w:after="0" w:line="240" w:lineRule="auto"/>
        <w:ind w:left="4" w:right="4" w:firstLine="0"/>
        <w:jc w:val="left"/>
      </w:pPr>
      <w:r>
        <w:rPr>
          <w:b/>
          <w:bCs/>
          <w:color w:val="000000"/>
          <w:spacing w:val="0"/>
          <w:w w:val="100"/>
          <w:position w:val="0"/>
          <w:shd w:val="clear" w:color="auto" w:fill="auto"/>
          <w:lang w:val="cs-CZ" w:eastAsia="cs-CZ" w:bidi="cs-CZ"/>
        </w:rPr>
        <w:t>Za objednatele:</w:t>
      </w:r>
    </w:p>
    <w:p>
      <w:pPr>
        <w:pStyle w:val="Style11"/>
        <w:keepNext w:val="0"/>
        <w:keepLines w:val="0"/>
        <w:framePr w:w="1997" w:h="696" w:hRule="exact" w:wrap="none" w:vAnchor="page" w:hAnchor="page" w:x="6114" w:y="12484"/>
        <w:widowControl w:val="0"/>
        <w:shd w:val="clear" w:color="auto" w:fill="auto"/>
        <w:bidi w:val="0"/>
        <w:spacing w:before="0" w:after="0" w:line="240" w:lineRule="auto"/>
        <w:ind w:left="4" w:right="4" w:firstLine="0"/>
        <w:jc w:val="left"/>
      </w:pPr>
      <w:r>
        <w:rPr>
          <w:color w:val="000000"/>
          <w:spacing w:val="0"/>
          <w:w w:val="100"/>
          <w:position w:val="0"/>
          <w:shd w:val="clear" w:color="auto" w:fill="auto"/>
          <w:lang w:val="cs-CZ" w:eastAsia="cs-CZ" w:bidi="cs-CZ"/>
        </w:rPr>
        <w:t>Mgr. Alena Samuelové</w:t>
        <w:br/>
        <w:t>ředitelka</w:t>
      </w:r>
    </w:p>
    <w:p>
      <w:pPr>
        <w:pStyle w:val="Style5"/>
        <w:keepNext w:val="0"/>
        <w:keepLines w:val="0"/>
        <w:framePr w:wrap="none" w:vAnchor="page" w:hAnchor="page" w:x="1316" w:y="156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Recovera Využití zdrojů a.s.</w:t>
      </w:r>
    </w:p>
    <w:p>
      <w:pPr>
        <w:pStyle w:val="Style5"/>
        <w:keepNext w:val="0"/>
        <w:keepLines w:val="0"/>
        <w:framePr w:wrap="none" w:vAnchor="page" w:hAnchor="page" w:x="8655" w:y="156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číslo 2 ze 2</w:t>
      </w:r>
    </w:p>
    <w:p>
      <w:pPr>
        <w:widowControl w:val="0"/>
        <w:spacing w:line="1" w:lineRule="exact"/>
      </w:pPr>
    </w:p>
    <w:sectPr>
      <w:footnotePr>
        <w:pos w:val="pageBottom"/>
        <w:numFmt w:val="decimal"/>
        <w:numRestart w:val="continuous"/>
      </w:footnotePr>
      <w:pgSz w:w="11900" w:h="16840"/>
      <w:pgMar w:top="360" w:left="360" w:right="360" w:bottom="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Záhlaví nebo zápatí_"/>
    <w:basedOn w:val="DefaultParagraphFont"/>
    <w:link w:val="Style5"/>
    <w:rPr>
      <w:rFonts w:ascii="Arial" w:eastAsia="Arial" w:hAnsi="Arial" w:cs="Arial"/>
      <w:b w:val="0"/>
      <w:bCs w:val="0"/>
      <w:i w:val="0"/>
      <w:iCs w:val="0"/>
      <w:smallCaps w:val="0"/>
      <w:strike w:val="0"/>
      <w:sz w:val="17"/>
      <w:szCs w:val="17"/>
      <w:u w:val="none"/>
    </w:rPr>
  </w:style>
  <w:style w:type="character" w:customStyle="1" w:styleId="CharStyle8">
    <w:name w:val="Nadpis #1_"/>
    <w:basedOn w:val="DefaultParagraphFont"/>
    <w:link w:val="Style7"/>
    <w:rPr>
      <w:rFonts w:ascii="Arial" w:eastAsia="Arial" w:hAnsi="Arial" w:cs="Arial"/>
      <w:b/>
      <w:bCs/>
      <w:i w:val="0"/>
      <w:iCs w:val="0"/>
      <w:smallCaps w:val="0"/>
      <w:strike w:val="0"/>
      <w:sz w:val="26"/>
      <w:szCs w:val="26"/>
      <w:u w:val="none"/>
    </w:rPr>
  </w:style>
  <w:style w:type="character" w:customStyle="1" w:styleId="CharStyle10">
    <w:name w:val="Nadpis #2_"/>
    <w:basedOn w:val="DefaultParagraphFont"/>
    <w:link w:val="Style9"/>
    <w:rPr>
      <w:rFonts w:ascii="Arial" w:eastAsia="Arial" w:hAnsi="Arial" w:cs="Arial"/>
      <w:b/>
      <w:bCs/>
      <w:i w:val="0"/>
      <w:iCs w:val="0"/>
      <w:smallCaps w:val="0"/>
      <w:strike w:val="0"/>
      <w:sz w:val="22"/>
      <w:szCs w:val="22"/>
      <w:u w:val="none"/>
    </w:rPr>
  </w:style>
  <w:style w:type="character" w:customStyle="1" w:styleId="CharStyle12">
    <w:name w:val="Základní text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5">
    <w:name w:val="Nadpis #3_"/>
    <w:basedOn w:val="DefaultParagraphFont"/>
    <w:link w:val="Style14"/>
    <w:rPr>
      <w:rFonts w:ascii="Arial" w:eastAsia="Arial" w:hAnsi="Arial" w:cs="Arial"/>
      <w:b/>
      <w:bCs/>
      <w:i w:val="0"/>
      <w:iCs w:val="0"/>
      <w:smallCaps w:val="0"/>
      <w:strike w:val="0"/>
      <w:sz w:val="19"/>
      <w:szCs w:val="19"/>
      <w:u w:val="single"/>
    </w:rPr>
  </w:style>
  <w:style w:type="character" w:customStyle="1" w:styleId="CharStyle17">
    <w:name w:val="Titulek tabulky_"/>
    <w:basedOn w:val="DefaultParagraphFont"/>
    <w:link w:val="Style16"/>
    <w:rPr>
      <w:rFonts w:ascii="Arial" w:eastAsia="Arial" w:hAnsi="Arial" w:cs="Arial"/>
      <w:b w:val="0"/>
      <w:bCs w:val="0"/>
      <w:i w:val="0"/>
      <w:iCs w:val="0"/>
      <w:smallCaps w:val="0"/>
      <w:strike w:val="0"/>
      <w:sz w:val="19"/>
      <w:szCs w:val="19"/>
      <w:u w:val="none"/>
    </w:rPr>
  </w:style>
  <w:style w:type="character" w:customStyle="1" w:styleId="CharStyle20">
    <w:name w:val="Jiné_"/>
    <w:basedOn w:val="DefaultParagraphFont"/>
    <w:link w:val="Style19"/>
    <w:rPr>
      <w:rFonts w:ascii="Arial" w:eastAsia="Arial" w:hAnsi="Arial" w:cs="Arial"/>
      <w:b w:val="0"/>
      <w:bCs w:val="0"/>
      <w:i w:val="0"/>
      <w:iCs w:val="0"/>
      <w:smallCaps w:val="0"/>
      <w:strike w:val="0"/>
      <w:sz w:val="19"/>
      <w:szCs w:val="19"/>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Záhlaví nebo zápatí"/>
    <w:basedOn w:val="Normal"/>
    <w:link w:val="CharStyle6"/>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7">
    <w:name w:val="Nadpis #1"/>
    <w:basedOn w:val="Normal"/>
    <w:link w:val="CharStyle8"/>
    <w:pPr>
      <w:widowControl w:val="0"/>
      <w:shd w:val="clear" w:color="auto" w:fill="FFFFFF"/>
      <w:spacing w:before="100" w:after="260"/>
      <w:jc w:val="center"/>
      <w:outlineLvl w:val="0"/>
    </w:pPr>
    <w:rPr>
      <w:rFonts w:ascii="Arial" w:eastAsia="Arial" w:hAnsi="Arial" w:cs="Arial"/>
      <w:b/>
      <w:bCs/>
      <w:i w:val="0"/>
      <w:iCs w:val="0"/>
      <w:smallCaps w:val="0"/>
      <w:strike w:val="0"/>
      <w:sz w:val="26"/>
      <w:szCs w:val="26"/>
      <w:u w:val="none"/>
    </w:rPr>
  </w:style>
  <w:style w:type="paragraph" w:customStyle="1" w:styleId="Style9">
    <w:name w:val="Nadpis #2"/>
    <w:basedOn w:val="Normal"/>
    <w:link w:val="CharStyle10"/>
    <w:pPr>
      <w:widowControl w:val="0"/>
      <w:shd w:val="clear" w:color="auto" w:fill="FFFFFF"/>
      <w:outlineLvl w:val="1"/>
    </w:pPr>
    <w:rPr>
      <w:rFonts w:ascii="Arial" w:eastAsia="Arial" w:hAnsi="Arial" w:cs="Arial"/>
      <w:b/>
      <w:bCs/>
      <w:i w:val="0"/>
      <w:iCs w:val="0"/>
      <w:smallCaps w:val="0"/>
      <w:strike w:val="0"/>
      <w:sz w:val="22"/>
      <w:szCs w:val="22"/>
      <w:u w:val="none"/>
    </w:rPr>
  </w:style>
  <w:style w:type="paragraph" w:customStyle="1" w:styleId="Style11">
    <w:name w:val="Základní text"/>
    <w:basedOn w:val="Normal"/>
    <w:link w:val="CharStyle12"/>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4">
    <w:name w:val="Nadpis #3"/>
    <w:basedOn w:val="Normal"/>
    <w:link w:val="CharStyle15"/>
    <w:pPr>
      <w:widowControl w:val="0"/>
      <w:shd w:val="clear" w:color="auto" w:fill="FFFFFF"/>
      <w:spacing w:after="50"/>
      <w:outlineLvl w:val="2"/>
    </w:pPr>
    <w:rPr>
      <w:rFonts w:ascii="Arial" w:eastAsia="Arial" w:hAnsi="Arial" w:cs="Arial"/>
      <w:b/>
      <w:bCs/>
      <w:i w:val="0"/>
      <w:iCs w:val="0"/>
      <w:smallCaps w:val="0"/>
      <w:strike w:val="0"/>
      <w:sz w:val="19"/>
      <w:szCs w:val="19"/>
      <w:u w:val="single"/>
    </w:rPr>
  </w:style>
  <w:style w:type="paragraph" w:customStyle="1" w:styleId="Style16">
    <w:name w:val="Titulek tabulky"/>
    <w:basedOn w:val="Normal"/>
    <w:link w:val="CharStyle17"/>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9">
    <w:name w:val="Jiné"/>
    <w:basedOn w:val="Normal"/>
    <w:link w:val="CharStyle20"/>
    <w:pPr>
      <w:widowControl w:val="0"/>
      <w:shd w:val="clear" w:color="auto" w:fill="FFFFFF"/>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