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9E" w:rsidRDefault="00625AC6">
      <w:pPr>
        <w:pStyle w:val="Nadpis2"/>
      </w:pPr>
      <w:r>
        <w:t>Příloha č. 1 k PS 5181380787</w:t>
      </w:r>
    </w:p>
    <w:p w:rsidR="005A7A9E" w:rsidRDefault="00625AC6">
      <w:pPr>
        <w:spacing w:before="217"/>
        <w:ind w:left="117"/>
        <w:rPr>
          <w:b/>
          <w:sz w:val="32"/>
        </w:rPr>
      </w:pPr>
      <w:r>
        <w:rPr>
          <w:b/>
          <w:sz w:val="32"/>
        </w:rPr>
        <w:t>Zvláštní ujednání</w:t>
      </w:r>
    </w:p>
    <w:p w:rsidR="005A7A9E" w:rsidRDefault="005A7A9E">
      <w:pPr>
        <w:pStyle w:val="Zkladntext"/>
        <w:rPr>
          <w:b/>
          <w:sz w:val="32"/>
        </w:rPr>
      </w:pPr>
    </w:p>
    <w:p w:rsidR="005A7A9E" w:rsidRDefault="005A7A9E">
      <w:pPr>
        <w:pStyle w:val="Zkladntext"/>
        <w:spacing w:before="9"/>
        <w:rPr>
          <w:b/>
          <w:sz w:val="32"/>
        </w:rPr>
      </w:pPr>
    </w:p>
    <w:p w:rsidR="005A7A9E" w:rsidRDefault="00625AC6">
      <w:pPr>
        <w:pStyle w:val="Nadpis4"/>
        <w:numPr>
          <w:ilvl w:val="0"/>
          <w:numId w:val="1"/>
        </w:numPr>
        <w:tabs>
          <w:tab w:val="left" w:pos="903"/>
        </w:tabs>
        <w:spacing w:before="1"/>
      </w:pPr>
      <w:r>
        <w:t>Spoluúčast</w:t>
      </w:r>
    </w:p>
    <w:p w:rsidR="005A7A9E" w:rsidRDefault="005A7A9E">
      <w:pPr>
        <w:pStyle w:val="Zkladntext"/>
        <w:spacing w:before="7"/>
        <w:rPr>
          <w:b/>
          <w:sz w:val="20"/>
        </w:rPr>
      </w:pPr>
    </w:p>
    <w:p w:rsidR="005A7A9E" w:rsidRDefault="00625AC6">
      <w:pPr>
        <w:pStyle w:val="Zkladntext"/>
        <w:spacing w:line="276" w:lineRule="auto"/>
        <w:ind w:left="117" w:right="734"/>
        <w:jc w:val="both"/>
      </w:pPr>
      <w:r>
        <w:t>Pokud</w:t>
      </w:r>
      <w:r>
        <w:rPr>
          <w:spacing w:val="-2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3"/>
        </w:rPr>
        <w:t>jedné</w:t>
      </w:r>
      <w:r>
        <w:rPr>
          <w:spacing w:val="-14"/>
        </w:rPr>
        <w:t xml:space="preserve"> </w:t>
      </w:r>
      <w:r>
        <w:t>pojistné</w:t>
      </w:r>
      <w:r>
        <w:rPr>
          <w:spacing w:val="-15"/>
        </w:rPr>
        <w:t xml:space="preserve"> </w:t>
      </w:r>
      <w:r>
        <w:t>události</w:t>
      </w:r>
      <w:r>
        <w:rPr>
          <w:spacing w:val="-13"/>
        </w:rPr>
        <w:t xml:space="preserve"> </w:t>
      </w:r>
      <w:r>
        <w:t>vznikne</w:t>
      </w:r>
      <w:r>
        <w:rPr>
          <w:spacing w:val="-14"/>
        </w:rPr>
        <w:t xml:space="preserve"> </w:t>
      </w:r>
      <w:r>
        <w:t>nárok</w:t>
      </w:r>
      <w:r>
        <w:rPr>
          <w:spacing w:val="-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více</w:t>
      </w:r>
      <w:r>
        <w:rPr>
          <w:spacing w:val="3"/>
        </w:rPr>
        <w:t xml:space="preserve"> než</w:t>
      </w:r>
      <w:r>
        <w:rPr>
          <w:spacing w:val="-21"/>
        </w:rPr>
        <w:t xml:space="preserve"> </w:t>
      </w:r>
      <w:r>
        <w:rPr>
          <w:spacing w:val="3"/>
        </w:rPr>
        <w:t>jedné</w:t>
      </w:r>
      <w:r>
        <w:rPr>
          <w:spacing w:val="-15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položek</w:t>
      </w:r>
      <w:r>
        <w:rPr>
          <w:spacing w:val="-3"/>
        </w:rPr>
        <w:t xml:space="preserve"> </w:t>
      </w:r>
      <w:r>
        <w:t>pojištěných</w:t>
      </w:r>
      <w:r>
        <w:rPr>
          <w:spacing w:val="-21"/>
        </w:rPr>
        <w:t xml:space="preserve"> </w:t>
      </w:r>
      <w:r>
        <w:t xml:space="preserve">touto smlouvou, aplikuje se spoluúčast pouze </w:t>
      </w:r>
      <w:r>
        <w:rPr>
          <w:spacing w:val="2"/>
        </w:rPr>
        <w:t xml:space="preserve">jednou. </w:t>
      </w:r>
      <w:r>
        <w:rPr>
          <w:spacing w:val="5"/>
        </w:rPr>
        <w:t xml:space="preserve">Je-li </w:t>
      </w:r>
      <w:r>
        <w:t>pro jednotlivé položky postižené škodou sjednána</w:t>
      </w:r>
      <w:r>
        <w:rPr>
          <w:spacing w:val="-11"/>
        </w:rPr>
        <w:t xml:space="preserve"> </w:t>
      </w:r>
      <w:r>
        <w:t>odlišná</w:t>
      </w:r>
      <w:r>
        <w:rPr>
          <w:spacing w:val="-10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spoluúčasti,</w:t>
      </w:r>
      <w:r>
        <w:rPr>
          <w:spacing w:val="-4"/>
        </w:rPr>
        <w:t xml:space="preserve"> </w:t>
      </w:r>
      <w:r>
        <w:t>odečítá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pojistného</w:t>
      </w:r>
      <w:r>
        <w:rPr>
          <w:spacing w:val="-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rPr>
          <w:spacing w:val="2"/>
        </w:rPr>
        <w:t>nejvyšší</w:t>
      </w:r>
      <w:r>
        <w:rPr>
          <w:spacing w:val="-1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spoluúčastí.</w:t>
      </w:r>
    </w:p>
    <w:p w:rsidR="005A7A9E" w:rsidRDefault="005A7A9E">
      <w:pPr>
        <w:pStyle w:val="Zkladntext"/>
      </w:pPr>
    </w:p>
    <w:p w:rsidR="005A7A9E" w:rsidRDefault="005A7A9E">
      <w:pPr>
        <w:pStyle w:val="Zkladntext"/>
      </w:pPr>
    </w:p>
    <w:p w:rsidR="005A7A9E" w:rsidRDefault="00625AC6">
      <w:pPr>
        <w:pStyle w:val="Nadpis4"/>
        <w:numPr>
          <w:ilvl w:val="0"/>
          <w:numId w:val="1"/>
        </w:numPr>
        <w:tabs>
          <w:tab w:val="left" w:pos="903"/>
        </w:tabs>
        <w:spacing w:before="149"/>
      </w:pPr>
      <w:r>
        <w:t>Věci</w:t>
      </w:r>
      <w:r>
        <w:rPr>
          <w:spacing w:val="-3"/>
        </w:rPr>
        <w:t xml:space="preserve"> </w:t>
      </w:r>
      <w:r>
        <w:t>zaměstnanců</w:t>
      </w:r>
    </w:p>
    <w:p w:rsidR="005A7A9E" w:rsidRDefault="005A7A9E">
      <w:pPr>
        <w:pStyle w:val="Zkladntext"/>
        <w:spacing w:before="3"/>
        <w:rPr>
          <w:b/>
          <w:sz w:val="19"/>
        </w:rPr>
      </w:pPr>
    </w:p>
    <w:p w:rsidR="005A7A9E" w:rsidRDefault="00625AC6">
      <w:pPr>
        <w:pStyle w:val="Zkladntext"/>
        <w:spacing w:before="1" w:line="283" w:lineRule="auto"/>
        <w:ind w:left="117" w:right="739"/>
        <w:jc w:val="both"/>
      </w:pPr>
      <w:r>
        <w:t xml:space="preserve">Ujednává se, že za věci zaměstnanců, pojištěné pod pol. č. M03 a K03 jsou považovány i věci doktorandů, asistentů, apod. Zároveň se pro pojištění věcí zaměstnanců sjednává spoluúčast </w:t>
      </w:r>
      <w:proofErr w:type="spellStart"/>
      <w:proofErr w:type="gramStart"/>
      <w:r>
        <w:rPr>
          <w:b/>
        </w:rPr>
        <w:t>xxx</w:t>
      </w:r>
      <w:proofErr w:type="spellEnd"/>
      <w:r>
        <w:rPr>
          <w:b/>
        </w:rPr>
        <w:t>,-</w:t>
      </w:r>
      <w:proofErr w:type="gramEnd"/>
      <w:r>
        <w:rPr>
          <w:b/>
        </w:rPr>
        <w:t xml:space="preserve"> Kč</w:t>
      </w:r>
      <w:r>
        <w:t>.</w:t>
      </w:r>
    </w:p>
    <w:p w:rsidR="005A7A9E" w:rsidRDefault="005A7A9E">
      <w:pPr>
        <w:pStyle w:val="Zkladntext"/>
      </w:pPr>
    </w:p>
    <w:p w:rsidR="005A7A9E" w:rsidRDefault="005A7A9E">
      <w:pPr>
        <w:pStyle w:val="Zkladntext"/>
        <w:rPr>
          <w:sz w:val="34"/>
        </w:rPr>
      </w:pPr>
    </w:p>
    <w:p w:rsidR="005A7A9E" w:rsidRDefault="00625AC6">
      <w:pPr>
        <w:pStyle w:val="Nadpis4"/>
        <w:numPr>
          <w:ilvl w:val="0"/>
          <w:numId w:val="1"/>
        </w:numPr>
        <w:tabs>
          <w:tab w:val="left" w:pos="903"/>
        </w:tabs>
        <w:spacing w:line="276" w:lineRule="auto"/>
        <w:ind w:right="740"/>
      </w:pPr>
      <w:r>
        <w:t xml:space="preserve">Voda z vodovodních zařízení – </w:t>
      </w:r>
      <w:r>
        <w:rPr>
          <w:spacing w:val="-3"/>
        </w:rPr>
        <w:t xml:space="preserve">potrubí </w:t>
      </w:r>
      <w:r>
        <w:t xml:space="preserve">(včetně </w:t>
      </w:r>
      <w:r>
        <w:rPr>
          <w:spacing w:val="-3"/>
        </w:rPr>
        <w:t xml:space="preserve">potrubí </w:t>
      </w:r>
      <w:r>
        <w:t>na po</w:t>
      </w:r>
      <w:r>
        <w:t>zemku, na kterém stojí pojištěná</w:t>
      </w:r>
      <w:r>
        <w:rPr>
          <w:spacing w:val="-14"/>
        </w:rPr>
        <w:t xml:space="preserve"> </w:t>
      </w:r>
      <w:r>
        <w:t>budova)</w:t>
      </w:r>
    </w:p>
    <w:p w:rsidR="005A7A9E" w:rsidRDefault="00625AC6">
      <w:pPr>
        <w:pStyle w:val="Zkladntext"/>
        <w:spacing w:before="207" w:line="278" w:lineRule="auto"/>
        <w:ind w:left="117" w:right="750"/>
        <w:jc w:val="both"/>
      </w:pPr>
      <w:r>
        <w:t xml:space="preserve">Pro pojištění vodovodních </w:t>
      </w:r>
      <w:r>
        <w:rPr>
          <w:spacing w:val="3"/>
        </w:rPr>
        <w:t xml:space="preserve">škod </w:t>
      </w:r>
      <w:r>
        <w:t xml:space="preserve">se </w:t>
      </w:r>
      <w:r>
        <w:rPr>
          <w:spacing w:val="2"/>
        </w:rPr>
        <w:t xml:space="preserve">ujednává </w:t>
      </w:r>
      <w:r>
        <w:t xml:space="preserve">také krytí škod z vodovodních </w:t>
      </w:r>
      <w:r>
        <w:rPr>
          <w:spacing w:val="-3"/>
        </w:rPr>
        <w:t xml:space="preserve">či </w:t>
      </w:r>
      <w:r>
        <w:rPr>
          <w:spacing w:val="-4"/>
        </w:rPr>
        <w:t xml:space="preserve">kanalizačních </w:t>
      </w:r>
      <w:r>
        <w:t>potrubí a zařízeních připojených na potrubí (včetně nákladu na odstranění závady a škod na těchto zařízeních) způsobených pře</w:t>
      </w:r>
      <w:r>
        <w:t xml:space="preserve">tlakem páry </w:t>
      </w:r>
      <w:r>
        <w:rPr>
          <w:spacing w:val="2"/>
        </w:rPr>
        <w:t xml:space="preserve">nebo </w:t>
      </w:r>
      <w:r>
        <w:rPr>
          <w:spacing w:val="-3"/>
        </w:rPr>
        <w:t xml:space="preserve">kapaliny </w:t>
      </w:r>
      <w:r>
        <w:rPr>
          <w:spacing w:val="2"/>
        </w:rPr>
        <w:t xml:space="preserve">nebo </w:t>
      </w:r>
      <w:r>
        <w:t xml:space="preserve">zamrznutím vody ve vodovodním </w:t>
      </w:r>
      <w:r>
        <w:rPr>
          <w:spacing w:val="-3"/>
        </w:rPr>
        <w:t>či kanalizačním</w:t>
      </w:r>
      <w:r>
        <w:rPr>
          <w:spacing w:val="20"/>
        </w:rPr>
        <w:t xml:space="preserve"> </w:t>
      </w:r>
      <w:r>
        <w:t>potrubí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zařízeních</w:t>
      </w:r>
      <w:r>
        <w:rPr>
          <w:spacing w:val="-8"/>
        </w:rPr>
        <w:t xml:space="preserve"> </w:t>
      </w:r>
      <w:r>
        <w:t>připojených</w:t>
      </w:r>
      <w:r>
        <w:rPr>
          <w:spacing w:val="-2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potrubí.</w:t>
      </w:r>
      <w:r>
        <w:rPr>
          <w:spacing w:val="-6"/>
        </w:rPr>
        <w:t xml:space="preserve"> </w:t>
      </w:r>
      <w:r>
        <w:rPr>
          <w:spacing w:val="2"/>
        </w:rPr>
        <w:t>Ujednává</w:t>
      </w:r>
      <w:r>
        <w:rPr>
          <w:spacing w:val="-27"/>
        </w:rPr>
        <w:t xml:space="preserve"> </w:t>
      </w:r>
      <w:r>
        <w:rPr>
          <w:spacing w:val="3"/>
        </w:rPr>
        <w:t>se,</w:t>
      </w:r>
      <w:r>
        <w:rPr>
          <w:spacing w:val="-21"/>
        </w:rPr>
        <w:t xml:space="preserve"> </w:t>
      </w:r>
      <w:r>
        <w:t>že</w:t>
      </w:r>
      <w:r>
        <w:rPr>
          <w:spacing w:val="-17"/>
        </w:rPr>
        <w:t xml:space="preserve"> </w:t>
      </w:r>
      <w:r>
        <w:t>úhrada</w:t>
      </w:r>
      <w:r>
        <w:rPr>
          <w:spacing w:val="-13"/>
        </w:rPr>
        <w:t xml:space="preserve"> </w:t>
      </w:r>
      <w:r>
        <w:t>nákladů</w:t>
      </w:r>
      <w:r>
        <w:rPr>
          <w:spacing w:val="-7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opravu trubek</w:t>
      </w:r>
      <w:r>
        <w:rPr>
          <w:spacing w:val="-6"/>
        </w:rPr>
        <w:t xml:space="preserve"> </w:t>
      </w:r>
      <w:r>
        <w:rPr>
          <w:spacing w:val="3"/>
        </w:rPr>
        <w:t>je</w:t>
      </w:r>
      <w:r>
        <w:rPr>
          <w:spacing w:val="-16"/>
        </w:rPr>
        <w:t xml:space="preserve"> </w:t>
      </w:r>
      <w:r>
        <w:t>přitom</w:t>
      </w:r>
      <w:r>
        <w:rPr>
          <w:spacing w:val="9"/>
        </w:rPr>
        <w:t xml:space="preserve"> </w:t>
      </w:r>
      <w:r>
        <w:rPr>
          <w:spacing w:val="2"/>
        </w:rPr>
        <w:t>omezena</w:t>
      </w:r>
      <w:r>
        <w:rPr>
          <w:spacing w:val="-2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vynaložené</w:t>
      </w:r>
      <w:r>
        <w:rPr>
          <w:spacing w:val="-1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opravu</w:t>
      </w:r>
      <w:r>
        <w:rPr>
          <w:spacing w:val="-6"/>
        </w:rPr>
        <w:t xml:space="preserve"> </w:t>
      </w:r>
      <w:r>
        <w:rPr>
          <w:spacing w:val="-5"/>
        </w:rPr>
        <w:t>10</w:t>
      </w:r>
      <w:r>
        <w:rPr>
          <w:spacing w:val="30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potrubí</w:t>
      </w:r>
      <w:r>
        <w:rPr>
          <w:spacing w:val="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3"/>
        </w:rPr>
        <w:t>jedné</w:t>
      </w:r>
      <w:r>
        <w:rPr>
          <w:spacing w:val="-16"/>
        </w:rPr>
        <w:t xml:space="preserve"> </w:t>
      </w:r>
      <w:r>
        <w:t>pojistné</w:t>
      </w:r>
      <w:r>
        <w:rPr>
          <w:spacing w:val="-16"/>
        </w:rPr>
        <w:t xml:space="preserve"> </w:t>
      </w:r>
      <w:r>
        <w:t xml:space="preserve">události, úhrada na vyhledání a rozmrazení </w:t>
      </w:r>
      <w:r>
        <w:rPr>
          <w:spacing w:val="3"/>
        </w:rPr>
        <w:t xml:space="preserve">je </w:t>
      </w:r>
      <w:r>
        <w:rPr>
          <w:spacing w:val="2"/>
        </w:rPr>
        <w:t xml:space="preserve">omezena </w:t>
      </w:r>
      <w:r>
        <w:t xml:space="preserve">částkou </w:t>
      </w:r>
      <w:proofErr w:type="spellStart"/>
      <w:proofErr w:type="gramStart"/>
      <w:r>
        <w:rPr>
          <w:b/>
          <w:spacing w:val="-7"/>
        </w:rPr>
        <w:t>xxx</w:t>
      </w:r>
      <w:proofErr w:type="spellEnd"/>
      <w:r>
        <w:rPr>
          <w:b/>
          <w:spacing w:val="-7"/>
        </w:rPr>
        <w:t>,-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 xml:space="preserve">Kč </w:t>
      </w:r>
      <w:r>
        <w:t xml:space="preserve">z </w:t>
      </w:r>
      <w:r>
        <w:rPr>
          <w:spacing w:val="3"/>
        </w:rPr>
        <w:t xml:space="preserve">jedné </w:t>
      </w:r>
      <w:r>
        <w:t>pojistné</w:t>
      </w:r>
      <w:r>
        <w:rPr>
          <w:spacing w:val="-28"/>
        </w:rPr>
        <w:t xml:space="preserve"> </w:t>
      </w:r>
      <w:r>
        <w:t>události.</w:t>
      </w:r>
    </w:p>
    <w:p w:rsidR="005A7A9E" w:rsidRDefault="005A7A9E">
      <w:pPr>
        <w:pStyle w:val="Zkladntext"/>
      </w:pPr>
    </w:p>
    <w:p w:rsidR="005A7A9E" w:rsidRDefault="005A7A9E">
      <w:pPr>
        <w:pStyle w:val="Zkladntext"/>
        <w:spacing w:before="11"/>
        <w:rPr>
          <w:sz w:val="35"/>
        </w:rPr>
      </w:pPr>
    </w:p>
    <w:p w:rsidR="005A7A9E" w:rsidRDefault="00625AC6">
      <w:pPr>
        <w:pStyle w:val="Nadpis4"/>
        <w:numPr>
          <w:ilvl w:val="0"/>
          <w:numId w:val="1"/>
        </w:numPr>
        <w:tabs>
          <w:tab w:val="left" w:pos="903"/>
        </w:tabs>
      </w:pPr>
      <w:r>
        <w:t>Podpojištění</w:t>
      </w:r>
    </w:p>
    <w:p w:rsidR="005A7A9E" w:rsidRDefault="005A7A9E">
      <w:pPr>
        <w:pStyle w:val="Zkladntext"/>
        <w:spacing w:before="4"/>
        <w:rPr>
          <w:b/>
          <w:sz w:val="19"/>
        </w:rPr>
      </w:pPr>
    </w:p>
    <w:p w:rsidR="005A7A9E" w:rsidRDefault="00625AC6">
      <w:pPr>
        <w:pStyle w:val="Zkladntext"/>
        <w:spacing w:line="276" w:lineRule="auto"/>
        <w:ind w:left="117" w:right="755"/>
        <w:jc w:val="both"/>
      </w:pPr>
      <w:r>
        <w:rPr>
          <w:spacing w:val="2"/>
        </w:rPr>
        <w:t xml:space="preserve">Ujednává </w:t>
      </w:r>
      <w:proofErr w:type="gramStart"/>
      <w:r>
        <w:rPr>
          <w:spacing w:val="3"/>
        </w:rPr>
        <w:t xml:space="preserve">se,  </w:t>
      </w:r>
      <w:r>
        <w:t>že</w:t>
      </w:r>
      <w:proofErr w:type="gramEnd"/>
      <w:r>
        <w:t xml:space="preserve">  pojistitel  neuplatní  podpojištění  ve  smyslu  ustanovení  pojistných  podmínek  v případě, že v době vzniku pojistné události </w:t>
      </w:r>
      <w:r>
        <w:rPr>
          <w:spacing w:val="3"/>
        </w:rPr>
        <w:t xml:space="preserve">je </w:t>
      </w:r>
      <w:r>
        <w:t xml:space="preserve">pojistná částka pojištěného majetku nižší </w:t>
      </w:r>
      <w:r>
        <w:rPr>
          <w:spacing w:val="3"/>
        </w:rPr>
        <w:t xml:space="preserve">než </w:t>
      </w:r>
      <w:r>
        <w:rPr>
          <w:spacing w:val="-5"/>
        </w:rPr>
        <w:t xml:space="preserve">jeho </w:t>
      </w:r>
      <w:r>
        <w:t xml:space="preserve">pojistná hodnota, stanovená v této pojistné smlouvě, o </w:t>
      </w:r>
      <w:r>
        <w:rPr>
          <w:spacing w:val="2"/>
        </w:rPr>
        <w:t xml:space="preserve">méně </w:t>
      </w:r>
      <w:r>
        <w:rPr>
          <w:spacing w:val="3"/>
        </w:rPr>
        <w:t>než</w:t>
      </w:r>
      <w:r>
        <w:rPr>
          <w:spacing w:val="-40"/>
        </w:rPr>
        <w:t xml:space="preserve"> </w:t>
      </w:r>
      <w:r>
        <w:rPr>
          <w:spacing w:val="-4"/>
        </w:rPr>
        <w:t>15%.</w:t>
      </w:r>
    </w:p>
    <w:p w:rsidR="005A7A9E" w:rsidRDefault="005A7A9E">
      <w:pPr>
        <w:pStyle w:val="Zkladntext"/>
      </w:pPr>
    </w:p>
    <w:p w:rsidR="005A7A9E" w:rsidRDefault="005A7A9E">
      <w:pPr>
        <w:pStyle w:val="Zkladntext"/>
      </w:pPr>
    </w:p>
    <w:p w:rsidR="005A7A9E" w:rsidRDefault="00625AC6">
      <w:pPr>
        <w:pStyle w:val="Nadpis4"/>
        <w:numPr>
          <w:ilvl w:val="0"/>
          <w:numId w:val="1"/>
        </w:numPr>
        <w:tabs>
          <w:tab w:val="left" w:pos="903"/>
        </w:tabs>
        <w:spacing w:before="149"/>
      </w:pPr>
      <w:r>
        <w:t>Způsoby zabezpečení a limity pojistného</w:t>
      </w:r>
      <w:r>
        <w:rPr>
          <w:spacing w:val="-23"/>
        </w:rPr>
        <w:t xml:space="preserve"> </w:t>
      </w:r>
      <w:r>
        <w:t>zabezpečení</w:t>
      </w:r>
    </w:p>
    <w:p w:rsidR="005A7A9E" w:rsidRDefault="005A7A9E">
      <w:pPr>
        <w:pStyle w:val="Zkladntext"/>
        <w:spacing w:before="7"/>
        <w:rPr>
          <w:b/>
          <w:sz w:val="20"/>
        </w:rPr>
      </w:pPr>
    </w:p>
    <w:p w:rsidR="005A7A9E" w:rsidRDefault="00625AC6">
      <w:pPr>
        <w:pStyle w:val="Zkladntext"/>
        <w:spacing w:before="1"/>
        <w:ind w:left="117"/>
      </w:pPr>
      <w:r>
        <w:t>Způsob zabezpečení předmětu pojištění je uveden v Tabulce 1 DPPMP-P, pokud není dále uvedeno</w:t>
      </w:r>
    </w:p>
    <w:p w:rsidR="005A7A9E" w:rsidRDefault="00625AC6">
      <w:pPr>
        <w:pStyle w:val="Zkladntext"/>
        <w:spacing w:before="43"/>
        <w:ind w:left="117"/>
      </w:pPr>
      <w:r>
        <w:t>jinak.</w:t>
      </w:r>
    </w:p>
    <w:p w:rsidR="005A7A9E" w:rsidRDefault="00625AC6">
      <w:pPr>
        <w:pStyle w:val="Zkladntext"/>
        <w:spacing w:before="203"/>
        <w:ind w:left="117"/>
      </w:pPr>
      <w:r>
        <w:t>Odchylně od Tabulky 1 DPPMP-P pro maximální limit pojistného plnění (jen pro hmotné věci) ve výši</w:t>
      </w:r>
    </w:p>
    <w:p w:rsidR="005A7A9E" w:rsidRDefault="00625AC6">
      <w:pPr>
        <w:spacing w:before="44"/>
        <w:ind w:left="117"/>
        <w:rPr>
          <w:sz w:val="24"/>
        </w:rPr>
      </w:pPr>
      <w:proofErr w:type="spellStart"/>
      <w:proofErr w:type="gramStart"/>
      <w:r>
        <w:rPr>
          <w:b/>
          <w:sz w:val="24"/>
        </w:rPr>
        <w:t>xxx</w:t>
      </w:r>
      <w:proofErr w:type="spellEnd"/>
      <w:r>
        <w:rPr>
          <w:b/>
          <w:sz w:val="24"/>
        </w:rPr>
        <w:t>,-</w:t>
      </w:r>
      <w:proofErr w:type="gramEnd"/>
      <w:r>
        <w:rPr>
          <w:b/>
          <w:sz w:val="24"/>
        </w:rPr>
        <w:t xml:space="preserve"> Kč </w:t>
      </w:r>
      <w:r>
        <w:rPr>
          <w:sz w:val="24"/>
        </w:rPr>
        <w:t>postačuje následující zabezpečení proti krádeži:</w:t>
      </w:r>
    </w:p>
    <w:p w:rsidR="005A7A9E" w:rsidRDefault="005A7A9E">
      <w:pPr>
        <w:rPr>
          <w:sz w:val="24"/>
        </w:rPr>
        <w:sectPr w:rsidR="005A7A9E">
          <w:footerReference w:type="default" r:id="rId7"/>
          <w:type w:val="continuous"/>
          <w:pgSz w:w="11910" w:h="16840"/>
          <w:pgMar w:top="1100" w:right="380" w:bottom="500" w:left="1020" w:header="708" w:footer="309" w:gutter="0"/>
          <w:cols w:space="708"/>
        </w:sectPr>
      </w:pPr>
    </w:p>
    <w:p w:rsidR="005A7A9E" w:rsidRDefault="00625AC6">
      <w:pPr>
        <w:pStyle w:val="Zkladntext"/>
        <w:spacing w:before="41"/>
        <w:ind w:left="117"/>
      </w:pPr>
      <w:r>
        <w:lastRenderedPageBreak/>
        <w:t>všechny dveře/vstupy do uzamčeného prostoru jsou zabezpečeny dveřmi a zámky nezjištěné</w:t>
      </w:r>
    </w:p>
    <w:p w:rsidR="005A7A9E" w:rsidRDefault="00625AC6">
      <w:pPr>
        <w:pStyle w:val="Zkladntext"/>
        <w:spacing w:before="43"/>
        <w:ind w:left="117"/>
      </w:pPr>
      <w:r>
        <w:t>konstrukce.</w:t>
      </w:r>
    </w:p>
    <w:p w:rsidR="005A7A9E" w:rsidRDefault="00625AC6">
      <w:pPr>
        <w:pStyle w:val="Zkladntext"/>
        <w:spacing w:before="203" w:line="276" w:lineRule="auto"/>
        <w:ind w:left="117" w:right="758"/>
        <w:jc w:val="both"/>
      </w:pPr>
      <w:r>
        <w:t>Vstupy jsou dále zabezpečeny elektronickými zámky (vstup na kartu ne čip). Uzamčený prostor je dále zabezpečen PZTS (dříve EZS) s napojením na velín (nepřetr</w:t>
      </w:r>
      <w:r>
        <w:t>žitý provoz), včetně kamerového systém v budově. Ostatní ujednání Tabulky 1, DPPMP-P se nemění.</w:t>
      </w:r>
    </w:p>
    <w:p w:rsidR="005A7A9E" w:rsidRDefault="00625AC6">
      <w:pPr>
        <w:pStyle w:val="Zkladntext"/>
        <w:spacing w:before="159" w:line="276" w:lineRule="auto"/>
        <w:ind w:left="117" w:right="754"/>
        <w:jc w:val="both"/>
      </w:pPr>
      <w:r>
        <w:t xml:space="preserve">Dojde-li ke ztrátě, zničení </w:t>
      </w:r>
      <w:r>
        <w:rPr>
          <w:spacing w:val="2"/>
        </w:rPr>
        <w:t xml:space="preserve">nebo </w:t>
      </w:r>
      <w:r>
        <w:t xml:space="preserve">poškození pojištěných věcí v důsledku krádeže vloupáním </w:t>
      </w:r>
      <w:r>
        <w:rPr>
          <w:spacing w:val="2"/>
        </w:rPr>
        <w:t xml:space="preserve">nebo </w:t>
      </w:r>
      <w:r>
        <w:t>loupeže,</w:t>
      </w:r>
      <w:r>
        <w:rPr>
          <w:spacing w:val="-16"/>
        </w:rPr>
        <w:t xml:space="preserve"> </w:t>
      </w:r>
      <w:r>
        <w:rPr>
          <w:spacing w:val="-3"/>
        </w:rPr>
        <w:t>řídí</w:t>
      </w:r>
      <w:r>
        <w:rPr>
          <w:spacing w:val="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5"/>
        </w:rPr>
        <w:t>limit</w:t>
      </w:r>
      <w:r>
        <w:rPr>
          <w:spacing w:val="14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3"/>
        </w:rPr>
        <w:t>jedné</w:t>
      </w:r>
      <w:r>
        <w:rPr>
          <w:spacing w:val="-12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události</w:t>
      </w:r>
      <w:r>
        <w:rPr>
          <w:spacing w:val="-28"/>
        </w:rPr>
        <w:t xml:space="preserve"> </w:t>
      </w:r>
      <w:r>
        <w:t>způsobem</w:t>
      </w:r>
      <w:r>
        <w:rPr>
          <w:spacing w:val="-19"/>
        </w:rPr>
        <w:t xml:space="preserve"> </w:t>
      </w:r>
      <w:r>
        <w:t>z</w:t>
      </w:r>
      <w:r>
        <w:t>abezpečení</w:t>
      </w:r>
      <w:r>
        <w:rPr>
          <w:spacing w:val="-28"/>
        </w:rPr>
        <w:t xml:space="preserve"> </w:t>
      </w:r>
      <w:r>
        <w:t>pojištěných</w:t>
      </w:r>
      <w:r>
        <w:rPr>
          <w:spacing w:val="-18"/>
        </w:rPr>
        <w:t xml:space="preserve"> </w:t>
      </w:r>
      <w:r>
        <w:t>věcí</w:t>
      </w:r>
      <w:r>
        <w:rPr>
          <w:spacing w:val="-10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2"/>
        </w:rPr>
        <w:t xml:space="preserve">době, </w:t>
      </w:r>
      <w:r>
        <w:t>kdy k pojistné události</w:t>
      </w:r>
      <w:r>
        <w:rPr>
          <w:spacing w:val="-6"/>
        </w:rPr>
        <w:t xml:space="preserve"> </w:t>
      </w:r>
      <w:r>
        <w:t>došlo.</w:t>
      </w:r>
    </w:p>
    <w:p w:rsidR="005A7A9E" w:rsidRDefault="005A7A9E">
      <w:pPr>
        <w:pStyle w:val="Zkladntext"/>
      </w:pPr>
    </w:p>
    <w:p w:rsidR="005A7A9E" w:rsidRDefault="005A7A9E">
      <w:pPr>
        <w:pStyle w:val="Zkladntext"/>
        <w:spacing w:before="8"/>
        <w:rPr>
          <w:sz w:val="29"/>
        </w:rPr>
      </w:pPr>
    </w:p>
    <w:p w:rsidR="005A7A9E" w:rsidRDefault="00625AC6">
      <w:pPr>
        <w:pStyle w:val="Zkladntext"/>
        <w:ind w:left="117"/>
      </w:pPr>
      <w:r>
        <w:t>V Praze dne 19. 12. 2023</w:t>
      </w: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rPr>
          <w:sz w:val="20"/>
        </w:rPr>
      </w:pPr>
    </w:p>
    <w:p w:rsidR="005A7A9E" w:rsidRDefault="005A7A9E">
      <w:pPr>
        <w:pStyle w:val="Zkladntext"/>
        <w:spacing w:before="9"/>
        <w:rPr>
          <w:sz w:val="15"/>
        </w:rPr>
      </w:pPr>
    </w:p>
    <w:p w:rsidR="005A7A9E" w:rsidRDefault="005A7A9E">
      <w:pPr>
        <w:rPr>
          <w:sz w:val="15"/>
        </w:rPr>
        <w:sectPr w:rsidR="005A7A9E">
          <w:pgSz w:w="11910" w:h="16840"/>
          <w:pgMar w:top="1080" w:right="380" w:bottom="500" w:left="1020" w:header="0" w:footer="309" w:gutter="0"/>
          <w:cols w:space="708"/>
        </w:sectPr>
      </w:pPr>
    </w:p>
    <w:p w:rsidR="005A7A9E" w:rsidRDefault="00625AC6">
      <w:pPr>
        <w:pStyle w:val="Zkladntext"/>
        <w:tabs>
          <w:tab w:val="left" w:pos="5788"/>
        </w:tabs>
        <w:spacing w:before="51"/>
        <w:ind w:left="117"/>
      </w:pPr>
      <w:r>
        <w:t>Za</w:t>
      </w:r>
      <w:r>
        <w:rPr>
          <w:spacing w:val="4"/>
        </w:rPr>
        <w:t xml:space="preserve"> </w:t>
      </w:r>
      <w:r>
        <w:t>pojistníka</w:t>
      </w:r>
      <w:r>
        <w:tab/>
        <w:t>Za</w:t>
      </w:r>
      <w:r>
        <w:rPr>
          <w:spacing w:val="5"/>
        </w:rPr>
        <w:t xml:space="preserve"> </w:t>
      </w:r>
      <w:r>
        <w:t>pojistitele</w:t>
      </w:r>
    </w:p>
    <w:p w:rsidR="005A7A9E" w:rsidRDefault="005A7A9E">
      <w:pPr>
        <w:pStyle w:val="Zkladntext"/>
      </w:pPr>
    </w:p>
    <w:p w:rsidR="005A7A9E" w:rsidRDefault="005A7A9E">
      <w:pPr>
        <w:pStyle w:val="Zkladntext"/>
        <w:spacing w:before="6"/>
        <w:rPr>
          <w:sz w:val="20"/>
        </w:rPr>
      </w:pPr>
      <w:bookmarkStart w:id="0" w:name="_GoBack"/>
      <w:bookmarkEnd w:id="0"/>
    </w:p>
    <w:sectPr w:rsidR="005A7A9E" w:rsidSect="00625AC6">
      <w:type w:val="continuous"/>
      <w:pgSz w:w="11910" w:h="16840"/>
      <w:pgMar w:top="1100" w:right="380" w:bottom="500" w:left="1020" w:header="708" w:footer="708" w:gutter="0"/>
      <w:cols w:num="2" w:space="708" w:equalWidth="0">
        <w:col w:w="7526" w:space="481"/>
        <w:col w:w="25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5AC6">
      <w:r>
        <w:separator/>
      </w:r>
    </w:p>
  </w:endnote>
  <w:endnote w:type="continuationSeparator" w:id="0">
    <w:p w:rsidR="00000000" w:rsidRDefault="0062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A9E" w:rsidRDefault="00625AC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.05pt;margin-top:815.15pt;width:73.1pt;height:12.4pt;z-index:-251658752;mso-position-horizontal-relative:page;mso-position-vertical-relative:page" filled="f" stroked="f">
          <v:textbox inset="0,0,0,0">
            <w:txbxContent>
              <w:p w:rsidR="005A7A9E" w:rsidRDefault="00625AC6">
                <w:pPr>
                  <w:spacing w:line="232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Interní / </w:t>
                </w:r>
                <w:proofErr w:type="spellStart"/>
                <w:r>
                  <w:rPr>
                    <w:sz w:val="21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5AC6">
      <w:r>
        <w:separator/>
      </w:r>
    </w:p>
  </w:footnote>
  <w:footnote w:type="continuationSeparator" w:id="0">
    <w:p w:rsidR="00000000" w:rsidRDefault="0062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1BB1"/>
    <w:multiLevelType w:val="hybridMultilevel"/>
    <w:tmpl w:val="1FBE2868"/>
    <w:lvl w:ilvl="0" w:tplc="9D9045B6">
      <w:start w:val="1"/>
      <w:numFmt w:val="decimal"/>
      <w:lvlText w:val="%1."/>
      <w:lvlJc w:val="left"/>
      <w:pPr>
        <w:ind w:left="902" w:hanging="353"/>
        <w:jc w:val="left"/>
      </w:pPr>
      <w:rPr>
        <w:rFonts w:ascii="Calibri" w:eastAsia="Calibri" w:hAnsi="Calibri" w:cs="Calibri" w:hint="default"/>
        <w:b/>
        <w:bCs/>
        <w:spacing w:val="-10"/>
        <w:w w:val="100"/>
        <w:sz w:val="24"/>
        <w:szCs w:val="24"/>
        <w:lang w:val="cs-CZ" w:eastAsia="cs-CZ" w:bidi="cs-CZ"/>
      </w:rPr>
    </w:lvl>
    <w:lvl w:ilvl="1" w:tplc="B7C8EA7E">
      <w:numFmt w:val="bullet"/>
      <w:lvlText w:val="•"/>
      <w:lvlJc w:val="left"/>
      <w:pPr>
        <w:ind w:left="1860" w:hanging="353"/>
      </w:pPr>
      <w:rPr>
        <w:rFonts w:hint="default"/>
        <w:lang w:val="cs-CZ" w:eastAsia="cs-CZ" w:bidi="cs-CZ"/>
      </w:rPr>
    </w:lvl>
    <w:lvl w:ilvl="2" w:tplc="6B200252">
      <w:numFmt w:val="bullet"/>
      <w:lvlText w:val="•"/>
      <w:lvlJc w:val="left"/>
      <w:pPr>
        <w:ind w:left="2820" w:hanging="353"/>
      </w:pPr>
      <w:rPr>
        <w:rFonts w:hint="default"/>
        <w:lang w:val="cs-CZ" w:eastAsia="cs-CZ" w:bidi="cs-CZ"/>
      </w:rPr>
    </w:lvl>
    <w:lvl w:ilvl="3" w:tplc="571A10C0">
      <w:numFmt w:val="bullet"/>
      <w:lvlText w:val="•"/>
      <w:lvlJc w:val="left"/>
      <w:pPr>
        <w:ind w:left="3781" w:hanging="353"/>
      </w:pPr>
      <w:rPr>
        <w:rFonts w:hint="default"/>
        <w:lang w:val="cs-CZ" w:eastAsia="cs-CZ" w:bidi="cs-CZ"/>
      </w:rPr>
    </w:lvl>
    <w:lvl w:ilvl="4" w:tplc="027CC558">
      <w:numFmt w:val="bullet"/>
      <w:lvlText w:val="•"/>
      <w:lvlJc w:val="left"/>
      <w:pPr>
        <w:ind w:left="4741" w:hanging="353"/>
      </w:pPr>
      <w:rPr>
        <w:rFonts w:hint="default"/>
        <w:lang w:val="cs-CZ" w:eastAsia="cs-CZ" w:bidi="cs-CZ"/>
      </w:rPr>
    </w:lvl>
    <w:lvl w:ilvl="5" w:tplc="418E671C">
      <w:numFmt w:val="bullet"/>
      <w:lvlText w:val="•"/>
      <w:lvlJc w:val="left"/>
      <w:pPr>
        <w:ind w:left="5702" w:hanging="353"/>
      </w:pPr>
      <w:rPr>
        <w:rFonts w:hint="default"/>
        <w:lang w:val="cs-CZ" w:eastAsia="cs-CZ" w:bidi="cs-CZ"/>
      </w:rPr>
    </w:lvl>
    <w:lvl w:ilvl="6" w:tplc="32265848">
      <w:numFmt w:val="bullet"/>
      <w:lvlText w:val="•"/>
      <w:lvlJc w:val="left"/>
      <w:pPr>
        <w:ind w:left="6662" w:hanging="353"/>
      </w:pPr>
      <w:rPr>
        <w:rFonts w:hint="default"/>
        <w:lang w:val="cs-CZ" w:eastAsia="cs-CZ" w:bidi="cs-CZ"/>
      </w:rPr>
    </w:lvl>
    <w:lvl w:ilvl="7" w:tplc="3510F814">
      <w:numFmt w:val="bullet"/>
      <w:lvlText w:val="•"/>
      <w:lvlJc w:val="left"/>
      <w:pPr>
        <w:ind w:left="7622" w:hanging="353"/>
      </w:pPr>
      <w:rPr>
        <w:rFonts w:hint="default"/>
        <w:lang w:val="cs-CZ" w:eastAsia="cs-CZ" w:bidi="cs-CZ"/>
      </w:rPr>
    </w:lvl>
    <w:lvl w:ilvl="8" w:tplc="C696FC94">
      <w:numFmt w:val="bullet"/>
      <w:lvlText w:val="•"/>
      <w:lvlJc w:val="left"/>
      <w:pPr>
        <w:ind w:left="8583" w:hanging="35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A9E"/>
    <w:rsid w:val="005A7A9E"/>
    <w:rsid w:val="006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D9B3C53"/>
  <w15:docId w15:val="{49EC3F52-B6FA-4304-A9E8-B63B7182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spacing w:before="25"/>
      <w:ind w:left="117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" w:line="329" w:lineRule="exact"/>
      <w:ind w:left="8124"/>
      <w:outlineLvl w:val="2"/>
    </w:pPr>
    <w:rPr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ind w:left="902" w:hanging="353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2" w:hanging="35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Kabátová Lucie</dc:creator>
  <cp:lastModifiedBy>Cindrova, Sarka</cp:lastModifiedBy>
  <cp:revision>2</cp:revision>
  <dcterms:created xsi:type="dcterms:W3CDTF">2023-12-20T14:10:00Z</dcterms:created>
  <dcterms:modified xsi:type="dcterms:W3CDTF">2023-12-20T14:11:00Z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2023-12-20T00:00:00Z</vt:filetime>
  </property>
</Properties>
</file>