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70B" w14:textId="77777777" w:rsidR="00911A33" w:rsidRPr="002760F6" w:rsidRDefault="00911A33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2760F6">
        <w:rPr>
          <w:rFonts w:ascii="Arial Unicode MS" w:eastAsia="Arial Unicode MS" w:hAnsi="Arial Unicode MS" w:cs="Arial Unicode MS"/>
          <w:b/>
          <w:sz w:val="30"/>
          <w:szCs w:val="30"/>
        </w:rPr>
        <w:t>DOHODA O NAROVNÁNÍ</w:t>
      </w:r>
    </w:p>
    <w:p w14:paraId="78BD81F5" w14:textId="77777777" w:rsidR="00911A33" w:rsidRPr="002760F6" w:rsidRDefault="00911A33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E5BC959" w14:textId="68C22E2F" w:rsidR="00911A33" w:rsidRPr="002760F6" w:rsidRDefault="00911A33" w:rsidP="00662B4C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 xml:space="preserve">kterou níže uvedeného dne, měsíce a roku uzavřely ve smyslu ustanovení § </w:t>
      </w:r>
      <w:r w:rsidR="00662B4C">
        <w:rPr>
          <w:rFonts w:ascii="Arial Unicode MS" w:eastAsia="Arial Unicode MS" w:hAnsi="Arial Unicode MS" w:cs="Arial Unicode MS"/>
          <w:i/>
          <w:sz w:val="21"/>
          <w:szCs w:val="21"/>
        </w:rPr>
        <w:t xml:space="preserve">1981 a § 1982 a                    § </w:t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>1903 a násl.</w:t>
      </w:r>
      <w:r w:rsidR="00662B4C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>zákona č. 89/2012 Sb., občanský zákoník, v platném znění, tyto smluvní strany:</w:t>
      </w:r>
    </w:p>
    <w:p w14:paraId="32482E34" w14:textId="77777777" w:rsidR="00911A33" w:rsidRPr="002760F6" w:rsidRDefault="00911A33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62156B0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18075097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IČO: 280 46 153</w:t>
      </w:r>
    </w:p>
    <w:p w14:paraId="6BAB829A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DBE2E4E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22669</w:t>
      </w:r>
    </w:p>
    <w:p w14:paraId="74033096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zastoupena jednatelem Otakarem Horákem</w:t>
      </w:r>
    </w:p>
    <w:p w14:paraId="396BEAEC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C202018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>n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a straně jedné jako poskytovatel (dále jen „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777C3A0B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3CBA59D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669D6E58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09F1EFA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Čistá Plzeň servis s.r.o.</w:t>
      </w:r>
    </w:p>
    <w:p w14:paraId="33744413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172 99 870</w:t>
      </w:r>
    </w:p>
    <w:p w14:paraId="0E644BEC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38C146FF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42466</w:t>
      </w:r>
    </w:p>
    <w:p w14:paraId="69CD6932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zastoupena jednateli Jiřím Vlasákem a Mgr. Pavlem 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Thurnwaldem</w:t>
      </w:r>
      <w:proofErr w:type="spellEnd"/>
    </w:p>
    <w:p w14:paraId="084984B9" w14:textId="77777777" w:rsidR="00756137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77573B8" w14:textId="77777777" w:rsidR="00911A33" w:rsidRPr="002760F6" w:rsidRDefault="0075613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na straně druhé jako příjemce (dále jen „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Příjemce“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911A33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FE50A66" w14:textId="77777777" w:rsidR="0032430D" w:rsidRPr="002760F6" w:rsidRDefault="0032430D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CCB981" w14:textId="77777777" w:rsidR="004946F7" w:rsidRPr="002760F6" w:rsidRDefault="004946F7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8F56A85" w14:textId="77777777" w:rsidR="00911A33" w:rsidRPr="002760F6" w:rsidRDefault="00911A33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5A04564B" w14:textId="77777777" w:rsidR="00911A33" w:rsidRPr="002760F6" w:rsidRDefault="00911A33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  <w:r w:rsidR="002F6B68"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p w14:paraId="736F5D40" w14:textId="77777777" w:rsidR="00911A33" w:rsidRPr="002760F6" w:rsidRDefault="00911A33" w:rsidP="002760F6">
      <w:pPr>
        <w:pStyle w:val="Odstavecseseznamem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595092" w14:textId="77777777" w:rsidR="00756137" w:rsidRPr="002760F6" w:rsidRDefault="00756137" w:rsidP="002760F6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Příjemce počínaje dnem 1. 9. 2023 provádí shromažďování a přepravu odpadu na území statutárního města Plzně v rámci odpadového hospodářství organizovaného statutárním městem Plzeň a Poskytovatelem. </w:t>
      </w:r>
    </w:p>
    <w:p w14:paraId="0774AF4F" w14:textId="77777777" w:rsidR="00986417" w:rsidRPr="002760F6" w:rsidRDefault="00986417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E638DB" w14:textId="2BECB86D" w:rsidR="00FE4846" w:rsidRPr="00A55B27" w:rsidRDefault="00986417" w:rsidP="00FE4846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Příjemce v době počínaje dnem 1. 9. 2023 a konče dnem 31. 10. 2023 </w:t>
      </w:r>
      <w:r w:rsidR="00F1424A" w:rsidRPr="002760F6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F1424A" w:rsidRPr="002760F6">
        <w:rPr>
          <w:rFonts w:ascii="Arial Unicode MS" w:eastAsia="Arial Unicode MS" w:hAnsi="Arial Unicode MS" w:cs="Arial Unicode MS"/>
          <w:b/>
          <w:sz w:val="21"/>
          <w:szCs w:val="21"/>
        </w:rPr>
        <w:t>Rozhodn</w:t>
      </w:r>
      <w:r w:rsidR="007D2B74" w:rsidRPr="002760F6">
        <w:rPr>
          <w:rFonts w:ascii="Arial Unicode MS" w:eastAsia="Arial Unicode MS" w:hAnsi="Arial Unicode MS" w:cs="Arial Unicode MS"/>
          <w:b/>
          <w:sz w:val="21"/>
          <w:szCs w:val="21"/>
        </w:rPr>
        <w:t>é</w:t>
      </w:r>
      <w:r w:rsidR="00F1424A"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7D2B74" w:rsidRPr="002760F6">
        <w:rPr>
          <w:rFonts w:ascii="Arial Unicode MS" w:eastAsia="Arial Unicode MS" w:hAnsi="Arial Unicode MS" w:cs="Arial Unicode MS"/>
          <w:b/>
          <w:sz w:val="21"/>
          <w:szCs w:val="21"/>
        </w:rPr>
        <w:t>období</w:t>
      </w:r>
      <w:r w:rsidR="00F1424A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konzumoval od Poskytovatele celou řadu služeb a užíval jeho movité a nemovité věci, aniž by jim svědčily mezi smluvními stranami dohodnuté právní tituly. </w:t>
      </w:r>
      <w:r w:rsidR="00FE4846" w:rsidRPr="002760F6">
        <w:rPr>
          <w:rFonts w:ascii="Arial Unicode MS" w:eastAsia="Arial Unicode MS" w:hAnsi="Arial Unicode MS" w:cs="Arial Unicode MS"/>
          <w:sz w:val="21"/>
          <w:szCs w:val="21"/>
        </w:rPr>
        <w:t>Rozsah služeb a užívání věcí, jakož i náhrada za ně proto zůstává spornou.</w:t>
      </w:r>
    </w:p>
    <w:p w14:paraId="2B2000A0" w14:textId="77777777" w:rsidR="00FE4846" w:rsidRPr="00A55B27" w:rsidRDefault="00FE4846" w:rsidP="00A55B2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98D4D98" w14:textId="6DB624F4" w:rsidR="00FE4846" w:rsidRDefault="00FE4846" w:rsidP="002760F6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Příjemce v Rozhodné době poskytoval Poskytovateli služby na základě jednotlivých objednávek Poskytovatele. </w:t>
      </w:r>
      <w:r w:rsidR="0071487B">
        <w:rPr>
          <w:rFonts w:ascii="Arial Unicode MS" w:eastAsia="Arial Unicode MS" w:hAnsi="Arial Unicode MS" w:cs="Arial Unicode MS"/>
          <w:sz w:val="21"/>
          <w:szCs w:val="21"/>
        </w:rPr>
        <w:t xml:space="preserve">Rozsah služeb, jakož </w:t>
      </w:r>
      <w:r w:rsidR="00B0274C">
        <w:rPr>
          <w:rFonts w:ascii="Arial Unicode MS" w:eastAsia="Arial Unicode MS" w:hAnsi="Arial Unicode MS" w:cs="Arial Unicode MS"/>
          <w:sz w:val="21"/>
          <w:szCs w:val="21"/>
        </w:rPr>
        <w:t>výše jejich plnění zůstává spornou.</w:t>
      </w:r>
    </w:p>
    <w:p w14:paraId="27F6BCC6" w14:textId="77777777" w:rsidR="00986417" w:rsidRPr="002760F6" w:rsidRDefault="00986417" w:rsidP="002760F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FB4AF61" w14:textId="6222DD7F" w:rsidR="003948CF" w:rsidRPr="002760F6" w:rsidRDefault="00986417" w:rsidP="002760F6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Smluvní strany sjednaly, že touto dohodou odstraní rozsah sporných služeb</w:t>
      </w:r>
      <w:r w:rsidR="003948CF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a užívání movitých a nemovitých věcí a sporn</w:t>
      </w:r>
      <w:r w:rsidR="00FE4846">
        <w:rPr>
          <w:rFonts w:ascii="Arial Unicode MS" w:eastAsia="Arial Unicode MS" w:hAnsi="Arial Unicode MS" w:cs="Arial Unicode MS"/>
          <w:sz w:val="21"/>
          <w:szCs w:val="21"/>
        </w:rPr>
        <w:t>ou</w:t>
      </w:r>
      <w:r w:rsidR="003948CF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výš</w:t>
      </w:r>
      <w:r w:rsidR="00FE4846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948CF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nárok</w:t>
      </w:r>
      <w:r w:rsidR="00FE4846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3948CF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na peněžitou náhradu.</w:t>
      </w:r>
    </w:p>
    <w:p w14:paraId="11B8DF9A" w14:textId="77777777" w:rsidR="00D67A0C" w:rsidRPr="002760F6" w:rsidRDefault="00D67A0C" w:rsidP="002760F6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66D5BB" w14:textId="77777777" w:rsidR="00B50A86" w:rsidRPr="002760F6" w:rsidRDefault="00B50A86" w:rsidP="002760F6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0226F62" w14:textId="77777777" w:rsidR="00B50A86" w:rsidRPr="002760F6" w:rsidRDefault="00B50A86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1417AD3D" w14:textId="77777777" w:rsidR="00B50A86" w:rsidRPr="002760F6" w:rsidRDefault="00865D45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Rozsah plnění</w:t>
      </w:r>
    </w:p>
    <w:p w14:paraId="6B5DBE32" w14:textId="77777777" w:rsidR="00943C83" w:rsidRPr="002760F6" w:rsidRDefault="00943C83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656777C" w14:textId="77777777" w:rsidR="003948CF" w:rsidRPr="002760F6" w:rsidRDefault="003948CF" w:rsidP="002760F6">
      <w:pPr>
        <w:pStyle w:val="Odstavecseseznamem"/>
        <w:numPr>
          <w:ilvl w:val="0"/>
          <w:numId w:val="1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Smluvní strany činí nesporným, že Příjemcem konzumované služby </w:t>
      </w:r>
      <w:r w:rsidR="00F1424A" w:rsidRPr="002760F6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 Rozhodném období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spočívaly:</w:t>
      </w:r>
    </w:p>
    <w:p w14:paraId="3E327224" w14:textId="77777777" w:rsidR="003948CF" w:rsidRPr="002760F6" w:rsidRDefault="003948CF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0519B5B" w14:textId="77777777" w:rsidR="003948CF" w:rsidRPr="002760F6" w:rsidRDefault="003948CF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ve službách zákaznického centra,</w:t>
      </w:r>
    </w:p>
    <w:p w14:paraId="45C1C873" w14:textId="77777777" w:rsidR="003948CF" w:rsidRPr="002760F6" w:rsidRDefault="003948CF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ve službách asistentky,</w:t>
      </w:r>
    </w:p>
    <w:p w14:paraId="3633CE2D" w14:textId="77777777" w:rsidR="003948CF" w:rsidRPr="002760F6" w:rsidRDefault="003948CF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 zajištění služeb v oblasti bezpečnosti a ochrany zdraví při práci,</w:t>
      </w:r>
    </w:p>
    <w:p w14:paraId="6C526527" w14:textId="717CC90F" w:rsidR="00AC31D2" w:rsidRDefault="003948CF" w:rsidP="00AC31D2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 zajištění služeb v oblasti personalistiky,</w:t>
      </w:r>
    </w:p>
    <w:p w14:paraId="591D7DC4" w14:textId="35BE9B23" w:rsidR="003948CF" w:rsidRPr="00A55B27" w:rsidRDefault="003948CF" w:rsidP="00AC31D2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55B27">
        <w:rPr>
          <w:rFonts w:ascii="Arial Unicode MS" w:eastAsia="Arial Unicode MS" w:hAnsi="Arial Unicode MS" w:cs="Arial Unicode MS"/>
          <w:sz w:val="21"/>
          <w:szCs w:val="21"/>
        </w:rPr>
        <w:t>v zajištění služeb mzdové účetní,</w:t>
      </w:r>
    </w:p>
    <w:p w14:paraId="5B6E9CA5" w14:textId="77777777" w:rsidR="003948CF" w:rsidRPr="002760F6" w:rsidRDefault="003948CF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 zajištění účetních služeb,</w:t>
      </w:r>
    </w:p>
    <w:p w14:paraId="3D7C5AFB" w14:textId="14FA89CE" w:rsidR="003948CF" w:rsidRPr="002760F6" w:rsidRDefault="003948CF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 zajištění služeb v oblasti controllingu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66BB1E61" w14:textId="64A6BEF5" w:rsidR="003948CF" w:rsidRDefault="003948CF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v zajištění evidence nakládání s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odpadem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0A6DD8F3" w14:textId="50DD4E9F" w:rsidR="00224580" w:rsidRDefault="00B514E3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čerpání pohonných hmot tankovacími kartami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>oskytovatele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4F74D12E" w14:textId="65B20785" w:rsidR="00224580" w:rsidRDefault="00B514E3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>mýtné</w:t>
      </w:r>
      <w:r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 uhrazené</w:t>
      </w:r>
      <w:r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oskytovatelem za jízdy uskutečněné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>říjemcem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921397B" w14:textId="6BF36B7D" w:rsidR="00224580" w:rsidRDefault="00B514E3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>náj</w:t>
      </w:r>
      <w:r>
        <w:rPr>
          <w:rFonts w:ascii="Arial Unicode MS" w:eastAsia="Arial Unicode MS" w:hAnsi="Arial Unicode MS" w:cs="Arial Unicode MS"/>
          <w:sz w:val="21"/>
          <w:szCs w:val="21"/>
        </w:rPr>
        <w:t>mu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 pronajatých vozidel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1E80B978" w14:textId="39898D53" w:rsidR="00224580" w:rsidRPr="00785CCC" w:rsidRDefault="00B514E3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>služb</w:t>
      </w:r>
      <w:r>
        <w:rPr>
          <w:rFonts w:ascii="Arial Unicode MS" w:eastAsia="Arial Unicode MS" w:hAnsi="Arial Unicode MS" w:cs="Arial Unicode MS"/>
          <w:sz w:val="21"/>
          <w:szCs w:val="21"/>
        </w:rPr>
        <w:t>ách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 proveden</w:t>
      </w:r>
      <w:r>
        <w:rPr>
          <w:rFonts w:ascii="Arial Unicode MS" w:eastAsia="Arial Unicode MS" w:hAnsi="Arial Unicode MS" w:cs="Arial Unicode MS"/>
          <w:sz w:val="21"/>
          <w:szCs w:val="21"/>
        </w:rPr>
        <w:t>ých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 činnost</w:t>
      </w:r>
      <w:r>
        <w:rPr>
          <w:rFonts w:ascii="Arial Unicode MS" w:eastAsia="Arial Unicode MS" w:hAnsi="Arial Unicode MS" w:cs="Arial Unicode MS"/>
          <w:sz w:val="21"/>
          <w:szCs w:val="21"/>
        </w:rPr>
        <w:t>í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 (provedená práce)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224580">
        <w:rPr>
          <w:rFonts w:ascii="Arial Unicode MS" w:eastAsia="Arial Unicode MS" w:hAnsi="Arial Unicode MS" w:cs="Arial Unicode MS"/>
          <w:sz w:val="21"/>
          <w:szCs w:val="21"/>
        </w:rPr>
        <w:t xml:space="preserve">oskytovatelem na základě </w:t>
      </w:r>
      <w:r w:rsidRPr="00B514E3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224580" w:rsidRPr="00B514E3">
        <w:rPr>
          <w:rFonts w:ascii="Arial Unicode MS" w:eastAsia="Arial Unicode MS" w:hAnsi="Arial Unicode MS" w:cs="Arial Unicode MS"/>
          <w:sz w:val="21"/>
          <w:szCs w:val="21"/>
        </w:rPr>
        <w:t>objednáv</w:t>
      </w:r>
      <w:r w:rsidRPr="00B514E3">
        <w:rPr>
          <w:rFonts w:ascii="Arial Unicode MS" w:eastAsia="Arial Unicode MS" w:hAnsi="Arial Unicode MS" w:cs="Arial Unicode MS"/>
          <w:sz w:val="21"/>
          <w:szCs w:val="21"/>
        </w:rPr>
        <w:t>ek a</w:t>
      </w:r>
    </w:p>
    <w:p w14:paraId="0F48554D" w14:textId="7AE6B186" w:rsidR="00224580" w:rsidRDefault="00B514E3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55B27"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 w:rsidR="00224580" w:rsidRPr="00B514E3">
        <w:rPr>
          <w:rFonts w:ascii="Arial Unicode MS" w:eastAsia="Arial Unicode MS" w:hAnsi="Arial Unicode MS" w:cs="Arial Unicode MS"/>
          <w:sz w:val="21"/>
          <w:szCs w:val="21"/>
        </w:rPr>
        <w:t>služb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>ách</w:t>
      </w:r>
      <w:r w:rsidR="00224580" w:rsidRPr="00B514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>provedených činností (provedená práce)</w:t>
      </w:r>
      <w:r w:rsidR="00224580" w:rsidRPr="00B514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224580" w:rsidRPr="00B514E3">
        <w:rPr>
          <w:rFonts w:ascii="Arial Unicode MS" w:eastAsia="Arial Unicode MS" w:hAnsi="Arial Unicode MS" w:cs="Arial Unicode MS"/>
          <w:sz w:val="21"/>
          <w:szCs w:val="21"/>
        </w:rPr>
        <w:t>ř</w:t>
      </w:r>
      <w:r w:rsidR="004A66E8" w:rsidRPr="00B514E3">
        <w:rPr>
          <w:rFonts w:ascii="Arial Unicode MS" w:eastAsia="Arial Unicode MS" w:hAnsi="Arial Unicode MS" w:cs="Arial Unicode MS"/>
          <w:sz w:val="21"/>
          <w:szCs w:val="21"/>
        </w:rPr>
        <w:t>í</w:t>
      </w:r>
      <w:r w:rsidR="00224580" w:rsidRPr="00785CCC">
        <w:rPr>
          <w:rFonts w:ascii="Arial Unicode MS" w:eastAsia="Arial Unicode MS" w:hAnsi="Arial Unicode MS" w:cs="Arial Unicode MS"/>
          <w:sz w:val="21"/>
          <w:szCs w:val="21"/>
        </w:rPr>
        <w:t>jemcem na základě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 xml:space="preserve"> jednotlivých</w:t>
      </w:r>
      <w:r w:rsidR="00224580" w:rsidRPr="00B514E3">
        <w:rPr>
          <w:rFonts w:ascii="Arial Unicode MS" w:eastAsia="Arial Unicode MS" w:hAnsi="Arial Unicode MS" w:cs="Arial Unicode MS"/>
          <w:sz w:val="21"/>
          <w:szCs w:val="21"/>
        </w:rPr>
        <w:t xml:space="preserve"> objednáv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>ek.</w:t>
      </w:r>
    </w:p>
    <w:p w14:paraId="4A9DC363" w14:textId="163A1520" w:rsidR="000F055F" w:rsidRDefault="00A810C1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 o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t>prav</w:t>
      </w:r>
      <w:r>
        <w:rPr>
          <w:rFonts w:ascii="Arial Unicode MS" w:eastAsia="Arial Unicode MS" w:hAnsi="Arial Unicode MS" w:cs="Arial Unicode MS"/>
          <w:sz w:val="21"/>
          <w:szCs w:val="21"/>
        </w:rPr>
        <w:t>ách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t xml:space="preserve"> vozidel provozovaných Příjemcem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hrazených Poskytovatelem a</w:t>
      </w:r>
    </w:p>
    <w:p w14:paraId="324929A0" w14:textId="2E13C27D" w:rsidR="000F055F" w:rsidRPr="00B514E3" w:rsidRDefault="00A810C1" w:rsidP="002760F6">
      <w:pPr>
        <w:pStyle w:val="Odstavecseseznamem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poplatcích 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t>ze servisních smluv za vozidla provozovaná Příjemcem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hrazených Poskytovatelem</w:t>
      </w:r>
    </w:p>
    <w:p w14:paraId="33896F38" w14:textId="77777777" w:rsidR="003948CF" w:rsidRPr="002760F6" w:rsidRDefault="003948CF" w:rsidP="002760F6">
      <w:pPr>
        <w:pStyle w:val="Odstavecseseznamem"/>
        <w:spacing w:after="0" w:line="240" w:lineRule="auto"/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A7C741C" w14:textId="77777777" w:rsidR="003948CF" w:rsidRPr="002760F6" w:rsidRDefault="003948CF" w:rsidP="002760F6">
      <w:pPr>
        <w:pStyle w:val="Odstavecseseznamem"/>
        <w:numPr>
          <w:ilvl w:val="0"/>
          <w:numId w:val="1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Smluvní strany činí nesporným, že </w:t>
      </w:r>
      <w:r w:rsidR="00F1424A" w:rsidRPr="002760F6">
        <w:rPr>
          <w:rFonts w:ascii="Arial Unicode MS" w:eastAsia="Arial Unicode MS" w:hAnsi="Arial Unicode MS" w:cs="Arial Unicode MS"/>
          <w:sz w:val="21"/>
          <w:szCs w:val="21"/>
        </w:rPr>
        <w:t>Příjemce v Rozhodné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F1424A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>období</w:t>
      </w:r>
      <w:r w:rsidR="00F1424A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užíval:</w:t>
      </w:r>
    </w:p>
    <w:p w14:paraId="537F3BEC" w14:textId="77777777" w:rsidR="00F1424A" w:rsidRPr="002760F6" w:rsidRDefault="00F1424A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2AC033" w14:textId="69C1EFE2" w:rsidR="00F1424A" w:rsidRPr="002760F6" w:rsidRDefault="00F1424A" w:rsidP="002760F6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pozemky p. č. 8134/2 o výměře 209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p. č. 8134/4 o výměře 6 821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p. č. 8134/6 o výměře 1 237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p. č. 8134/8 o výměře 9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p. č. 8134/11 o výměře 260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p. č. 8134/12 o výměře 74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p. č. 8134/18 o výměře 84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, to vše pro k. 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ú.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Plzeň a p. č. 859/4 o výměře 198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a p. č. 859/5 o výměře 1 519 m</w:t>
      </w:r>
      <w:r w:rsidRPr="002760F6">
        <w:rPr>
          <w:rFonts w:ascii="Arial Unicode MS" w:eastAsia="Arial Unicode MS" w:hAnsi="Arial Unicode MS" w:cs="Arial Unicode MS"/>
          <w:sz w:val="21"/>
          <w:szCs w:val="21"/>
          <w:vertAlign w:val="superscript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 a to v rozsahu specifikovaném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v grafickém zákresu, který je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přílo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hou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č. 1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E1EB4" w:rsidRPr="002760F6">
        <w:rPr>
          <w:rFonts w:ascii="Arial Unicode MS" w:eastAsia="Arial Unicode MS" w:hAnsi="Arial Unicode MS" w:cs="Arial Unicode MS"/>
          <w:b/>
          <w:sz w:val="21"/>
          <w:szCs w:val="21"/>
        </w:rPr>
        <w:t>Pozemky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A1C3AD9" w14:textId="77777777" w:rsidR="00EE1EB4" w:rsidRPr="002760F6" w:rsidRDefault="00F1424A" w:rsidP="002760F6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prostory sloužící podnikání nacházející se ve stavbě č. p. 430 (stavba pro administrativu), která je součástí pozemku p. č. 8143/3 (zastavěná plocha a nádvoří), to vše pro k. 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ú.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Plzeň, kdy se jedná o 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(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i) kancelář č. 107 s celkovou výměrou cca 17,40 m², kter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j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situován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v I. nadzemním podlaží, (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ii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) kancelář č. 215 s celkovou výměrou cca 19,09 m², 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která je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situován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v II. nadzemním podlaží</w:t>
      </w:r>
      <w:r w:rsidR="00EE1EB4" w:rsidRPr="002760F6">
        <w:rPr>
          <w:rFonts w:ascii="Arial Unicode MS" w:eastAsia="Arial Unicode MS" w:hAnsi="Arial Unicode MS" w:cs="Arial Unicode MS"/>
          <w:bCs/>
          <w:sz w:val="21"/>
          <w:szCs w:val="21"/>
        </w:rPr>
        <w:t>,</w:t>
      </w:r>
      <w:r w:rsidRPr="002760F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(</w:t>
      </w:r>
      <w:proofErr w:type="spellStart"/>
      <w:r w:rsidRPr="002760F6">
        <w:rPr>
          <w:rFonts w:ascii="Arial Unicode MS" w:eastAsia="Arial Unicode MS" w:hAnsi="Arial Unicode MS" w:cs="Arial Unicode MS"/>
          <w:bCs/>
          <w:sz w:val="21"/>
          <w:szCs w:val="21"/>
        </w:rPr>
        <w:t>iii</w:t>
      </w:r>
      <w:proofErr w:type="spellEnd"/>
      <w:r w:rsidRPr="002760F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kancelář č. 316 s celkovou výměrou cca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28,71 m² a (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iv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>) kancelář č. 318 s celkovou výměrou cca 18,89 m², ob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ě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situovány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v III. nadzemním podlaží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, které jsou znázorněny v grafickém zákresu, který je přílohou č. 2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E1EB4" w:rsidRPr="002760F6">
        <w:rPr>
          <w:rFonts w:ascii="Arial Unicode MS" w:eastAsia="Arial Unicode MS" w:hAnsi="Arial Unicode MS" w:cs="Arial Unicode MS"/>
          <w:b/>
          <w:sz w:val="21"/>
          <w:szCs w:val="21"/>
        </w:rPr>
        <w:t>Kanceláře</w:t>
      </w:r>
      <w:r w:rsidR="00EE1EB4" w:rsidRPr="002760F6">
        <w:rPr>
          <w:rFonts w:ascii="Arial Unicode MS" w:eastAsia="Arial Unicode MS" w:hAnsi="Arial Unicode MS" w:cs="Arial Unicode MS"/>
          <w:sz w:val="21"/>
          <w:szCs w:val="21"/>
        </w:rPr>
        <w:t>“) a</w:t>
      </w:r>
    </w:p>
    <w:p w14:paraId="180A53E7" w14:textId="20DC9DB9" w:rsidR="00EE1EB4" w:rsidRPr="002760F6" w:rsidRDefault="00EE1EB4" w:rsidP="002760F6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movité věci, jejichž výčet je přílohou č. 3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Movité věci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F4179D1" w14:textId="77777777" w:rsidR="00865D45" w:rsidRPr="002760F6" w:rsidRDefault="00865D45" w:rsidP="002760F6">
      <w:pPr>
        <w:pStyle w:val="Odstavecseseznamem"/>
        <w:spacing w:after="0" w:line="240" w:lineRule="auto"/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EB29E7" w14:textId="77777777" w:rsidR="00865D45" w:rsidRPr="002760F6" w:rsidRDefault="00865D45" w:rsidP="002760F6">
      <w:pPr>
        <w:pStyle w:val="Odstavecseseznamem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B38118" w14:textId="77777777" w:rsidR="00865D45" w:rsidRPr="002760F6" w:rsidRDefault="00865D45" w:rsidP="002760F6">
      <w:pPr>
        <w:pStyle w:val="Odstavecseseznamem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14:paraId="0E6C716E" w14:textId="77777777" w:rsidR="00865D45" w:rsidRPr="002760F6" w:rsidRDefault="00865D45" w:rsidP="002760F6">
      <w:pPr>
        <w:pStyle w:val="Odstavecseseznamem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Peněžitá náhrada</w:t>
      </w:r>
    </w:p>
    <w:p w14:paraId="7148383D" w14:textId="77777777" w:rsidR="00B50A86" w:rsidRPr="002760F6" w:rsidRDefault="00B50A86" w:rsidP="002760F6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A26D99" w14:textId="70A9BCCF" w:rsidR="001E667A" w:rsidRPr="002760F6" w:rsidRDefault="00865D45" w:rsidP="002760F6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Poskytovatel nechal vypracovat znalecké kanceláři společnosti AP </w:t>
      </w:r>
      <w:proofErr w:type="spellStart"/>
      <w:r w:rsidRPr="002760F6">
        <w:rPr>
          <w:rFonts w:ascii="Arial Unicode MS" w:eastAsia="Arial Unicode MS" w:hAnsi="Arial Unicode MS" w:cs="Arial Unicode MS"/>
          <w:sz w:val="21"/>
          <w:szCs w:val="21"/>
        </w:rPr>
        <w:t>Appraisal</w:t>
      </w:r>
      <w:proofErr w:type="spellEnd"/>
      <w:r w:rsidRPr="002760F6">
        <w:rPr>
          <w:rFonts w:ascii="Arial Unicode MS" w:eastAsia="Arial Unicode MS" w:hAnsi="Arial Unicode MS" w:cs="Arial Unicode MS"/>
          <w:sz w:val="21"/>
          <w:szCs w:val="21"/>
        </w:rPr>
        <w:t>, s.r.o.,               IČO: 250 94 076, se sídlem Říčany, Na Vyhlídce 1891/1, PSČ 251 01 odborné stanovisko č. 2355-055/2023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ze dne 1</w:t>
      </w:r>
      <w:r w:rsidR="001156CE">
        <w:rPr>
          <w:rFonts w:ascii="Arial Unicode MS" w:eastAsia="Arial Unicode MS" w:hAnsi="Arial Unicode MS" w:cs="Arial Unicode MS"/>
          <w:sz w:val="21"/>
          <w:szCs w:val="21"/>
        </w:rPr>
        <w:t>9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. 10. 2023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 xml:space="preserve">ve znění dodatku k odbornému stanovisku č. 2355-055/2023 ze dne </w:t>
      </w:r>
      <w:r w:rsidR="001156CE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>9. 1</w:t>
      </w:r>
      <w:r w:rsidR="001156CE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 xml:space="preserve">. 2023,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na jehož základě byly stanoveny ceny obvyklé za </w:t>
      </w:r>
      <w:r w:rsidR="004174DC">
        <w:rPr>
          <w:rFonts w:ascii="Arial Unicode MS" w:eastAsia="Arial Unicode MS" w:hAnsi="Arial Unicode MS" w:cs="Arial Unicode MS"/>
          <w:sz w:val="21"/>
          <w:szCs w:val="21"/>
        </w:rPr>
        <w:t xml:space="preserve">některé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poskytované služby a užívání věcí</w:t>
      </w:r>
      <w:r w:rsidR="00361682">
        <w:rPr>
          <w:rFonts w:ascii="Arial Unicode MS" w:eastAsia="Arial Unicode MS" w:hAnsi="Arial Unicode MS" w:cs="Arial Unicode MS"/>
          <w:sz w:val="21"/>
          <w:szCs w:val="21"/>
        </w:rPr>
        <w:t xml:space="preserve"> v rozsahu, který vyplývá z plnění podle čl. I odst. 1 této 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Odborné stanovisko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1E667A" w:rsidRPr="002760F6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4174DC">
        <w:rPr>
          <w:rFonts w:ascii="Arial Unicode MS" w:eastAsia="Arial Unicode MS" w:hAnsi="Arial Unicode MS" w:cs="Arial Unicode MS"/>
          <w:sz w:val="21"/>
          <w:szCs w:val="21"/>
        </w:rPr>
        <w:t xml:space="preserve"> Ty ceny, které nejsou obsaženy v Odborném stanovisku jsou považovány za obchodní tajemství.</w:t>
      </w:r>
    </w:p>
    <w:p w14:paraId="44538716" w14:textId="77777777" w:rsidR="001E667A" w:rsidRPr="002760F6" w:rsidRDefault="001E667A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721E40" w14:textId="77777777" w:rsidR="001E667A" w:rsidRPr="002760F6" w:rsidRDefault="001E667A" w:rsidP="002760F6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Podle Odborného stanoviska činí obvyklá cena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(bez daně z přidané hodnoty)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5BFF4D1F" w14:textId="77777777" w:rsidR="001E667A" w:rsidRPr="002760F6" w:rsidRDefault="001E667A" w:rsidP="002760F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6C3E903A" w14:textId="23CECA6D" w:rsidR="00044DC2" w:rsidRPr="002760F6" w:rsidRDefault="001E667A" w:rsidP="002760F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služeb zákaznického centra 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podle čl. II odst. 1 písm. a)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              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64 858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měsíčně, tj. 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v úhrnu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129 716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(slovy: 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>j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edno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B514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dvacet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devět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sedm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š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estnáct korun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českých) za Rozhodné období,</w:t>
      </w:r>
    </w:p>
    <w:p w14:paraId="372FE57A" w14:textId="77777777" w:rsidR="00044DC2" w:rsidRPr="002760F6" w:rsidRDefault="00044DC2" w:rsidP="002760F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služeb asistentky podle čl. II odst. 1 písm. b)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                 30 743,50 Kč měsíčně, tj. v úhrnu 61 487 Kč (slovy: šedesát jedna tisíc čtyři sta osmdesát sedm korun českých) za Rozhodné období,</w:t>
      </w:r>
    </w:p>
    <w:p w14:paraId="43833C15" w14:textId="50024619" w:rsidR="00044DC2" w:rsidRPr="002760F6" w:rsidRDefault="00044DC2" w:rsidP="002760F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služeb v oblasti bezpečnosti a ochrany zdraví při práci podle čl. II odst. 1 písm. c)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527 Kč za jednu (1) hodinu, tj. v úhrnu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96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177,50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(slovy: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evadesát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šest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sedmdesát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sedm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korun českých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>padesát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 xml:space="preserve"> haléřů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) za Rozhodné období,</w:t>
      </w:r>
    </w:p>
    <w:p w14:paraId="1CA4C567" w14:textId="3BF374B2" w:rsidR="00044DC2" w:rsidRPr="002760F6" w:rsidRDefault="00044DC2" w:rsidP="002760F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služeb personalistiky a mzdové účetní podle čl. II odst. 1 písm. d) a e)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93 064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měsíčně, tj. v úhrnu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186 128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(slovy: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jedno sto osmdesát šest tisíc jedno sto dvacet osm</w:t>
      </w:r>
      <w:r w:rsidR="00AC31D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korun českých) za Rozhodné období,</w:t>
      </w:r>
    </w:p>
    <w:p w14:paraId="7835B6BD" w14:textId="2C5D6467" w:rsidR="00044DC2" w:rsidRPr="002760F6" w:rsidRDefault="002B076A" w:rsidP="002760F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lastRenderedPageBreak/>
        <w:t>účetních služeb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podle čl. II odst. 1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písm. </w:t>
      </w:r>
      <w:r w:rsidR="00AC31D2">
        <w:rPr>
          <w:rFonts w:ascii="Arial Unicode MS" w:eastAsia="Arial Unicode MS" w:hAnsi="Arial Unicode MS" w:cs="Arial Unicode MS"/>
          <w:sz w:val="21"/>
          <w:szCs w:val="21"/>
        </w:rPr>
        <w:t>f)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156 79</w:t>
      </w:r>
      <w:r w:rsidR="006D3AC7">
        <w:rPr>
          <w:rFonts w:ascii="Arial Unicode MS" w:eastAsia="Arial Unicode MS" w:hAnsi="Arial Unicode MS" w:cs="Arial Unicode MS"/>
          <w:sz w:val="21"/>
          <w:szCs w:val="21"/>
        </w:rPr>
        <w:t>8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měsíčně, tj. v úhrnu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313 596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(slovy: tři sta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třináct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tisíc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pět set devadesát šest</w:t>
      </w:r>
      <w:r w:rsidR="00044DC2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korun českých) za Rozhodné období</w:t>
      </w:r>
      <w:r w:rsidR="00575DCC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</w:p>
    <w:p w14:paraId="6D1D9484" w14:textId="36C621EE" w:rsidR="00865D45" w:rsidRDefault="00044DC2" w:rsidP="002760F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služeb </w:t>
      </w:r>
      <w:r w:rsidR="002B076A" w:rsidRPr="002760F6">
        <w:rPr>
          <w:rFonts w:ascii="Arial Unicode MS" w:eastAsia="Arial Unicode MS" w:hAnsi="Arial Unicode MS" w:cs="Arial Unicode MS"/>
          <w:sz w:val="21"/>
          <w:szCs w:val="21"/>
        </w:rPr>
        <w:t>evidence nakládání s odpad</w:t>
      </w:r>
      <w:r w:rsidR="00AC31D2">
        <w:rPr>
          <w:rFonts w:ascii="Arial Unicode MS" w:eastAsia="Arial Unicode MS" w:hAnsi="Arial Unicode MS" w:cs="Arial Unicode MS"/>
          <w:sz w:val="21"/>
          <w:szCs w:val="21"/>
        </w:rPr>
        <w:t>em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podle čl. II odst. 1</w:t>
      </w:r>
      <w:r w:rsidR="002B076A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písm. </w:t>
      </w:r>
      <w:r w:rsidR="00AC31D2">
        <w:rPr>
          <w:rFonts w:ascii="Arial Unicode MS" w:eastAsia="Arial Unicode MS" w:hAnsi="Arial Unicode MS" w:cs="Arial Unicode MS"/>
          <w:sz w:val="21"/>
          <w:szCs w:val="21"/>
        </w:rPr>
        <w:t>h</w:t>
      </w:r>
      <w:r w:rsidR="002B076A" w:rsidRPr="002760F6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</w:t>
      </w:r>
      <w:r w:rsidR="002B076A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58 781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měsíčně, tj. v úhrnu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117 562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(slovy: 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>j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edno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sedmnáct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pět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šedesát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66E8">
        <w:rPr>
          <w:rFonts w:ascii="Arial Unicode MS" w:eastAsia="Arial Unicode MS" w:hAnsi="Arial Unicode MS" w:cs="Arial Unicode MS"/>
          <w:sz w:val="21"/>
          <w:szCs w:val="21"/>
        </w:rPr>
        <w:t>dv</w:t>
      </w:r>
      <w:r w:rsidR="00342C92">
        <w:rPr>
          <w:rFonts w:ascii="Arial Unicode MS" w:eastAsia="Arial Unicode MS" w:hAnsi="Arial Unicode MS" w:cs="Arial Unicode MS"/>
          <w:sz w:val="21"/>
          <w:szCs w:val="21"/>
        </w:rPr>
        <w:t>ě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</w:t>
      </w:r>
      <w:r w:rsidR="002B076A" w:rsidRPr="002760F6">
        <w:rPr>
          <w:rFonts w:ascii="Arial Unicode MS" w:eastAsia="Arial Unicode MS" w:hAnsi="Arial Unicode MS" w:cs="Arial Unicode MS"/>
          <w:sz w:val="21"/>
          <w:szCs w:val="21"/>
        </w:rPr>
        <w:t>orun českých) za Rozhodné období</w:t>
      </w:r>
      <w:r w:rsidR="00575D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2D78EC8" w14:textId="77777777" w:rsidR="00865D45" w:rsidRPr="002760F6" w:rsidRDefault="00865D45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8D47D4" w14:textId="77777777" w:rsidR="00A24E9A" w:rsidRPr="002760F6" w:rsidRDefault="00A24E9A" w:rsidP="002760F6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Podle Odborného stanoviska činí obvyklá cena (bez daně z přidané hodnoty):</w:t>
      </w:r>
    </w:p>
    <w:p w14:paraId="41095A32" w14:textId="77777777" w:rsidR="00A24E9A" w:rsidRPr="002760F6" w:rsidRDefault="00A24E9A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D60343" w14:textId="5C434713" w:rsidR="00A24E9A" w:rsidRPr="002760F6" w:rsidRDefault="00A24E9A" w:rsidP="002760F6">
      <w:pPr>
        <w:pStyle w:val="Odstavecseseznamem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za užívání Pozemků podle čl. II odst. 2 písm. a)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 xml:space="preserve"> 308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962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Kč měsíčně, tj. v úhrnu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 xml:space="preserve">617 924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Kč (slovy: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 xml:space="preserve"> šest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sedmnáct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devět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dvacet</w:t>
      </w:r>
      <w:r w:rsid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>čtyři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korun českých) za Rozhodné období,</w:t>
      </w:r>
    </w:p>
    <w:p w14:paraId="1347E5AD" w14:textId="77777777" w:rsidR="00A24E9A" w:rsidRPr="002760F6" w:rsidRDefault="00A24E9A" w:rsidP="002760F6">
      <w:pPr>
        <w:pStyle w:val="Odstavecseseznamem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za užívání Kanceláří podle čl. II odst. 2 písm. b)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60 652,30 Kč měsíčně, tj. v úhrnu 121 304,60 Kč (slovy: jedno sto dvacet jedna tisíc tři sta čtyři korun českých a šedesát haléřů) za Rozhodné období a</w:t>
      </w:r>
    </w:p>
    <w:p w14:paraId="4842EA80" w14:textId="77777777" w:rsidR="00A24E9A" w:rsidRPr="002760F6" w:rsidRDefault="00A24E9A" w:rsidP="002760F6">
      <w:pPr>
        <w:pStyle w:val="Odstavecseseznamem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za užívání Movitých věcí podle čl. II odst. 2 písm. c)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částku ve výši 5 146 Kč měsíčně, tj. v úhrnu 10 292 Kč (slovy: deset tisíc dvě stě devadesát dva korun českých) za Rozhodné období</w:t>
      </w:r>
    </w:p>
    <w:p w14:paraId="4A2B035F" w14:textId="77777777" w:rsidR="00A24E9A" w:rsidRPr="002760F6" w:rsidRDefault="00A24E9A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297D1DB" w14:textId="3EAC4029" w:rsidR="00A810C1" w:rsidRDefault="00575DCC" w:rsidP="002760F6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Rozhodném období byly dále konzumovány služby specifikované v čl. II odst. 1 písm. i) až o) této Dohody, a to:</w:t>
      </w:r>
    </w:p>
    <w:p w14:paraId="1FC21BDE" w14:textId="74B3E8D7" w:rsidR="00575DCC" w:rsidRDefault="00575DCC" w:rsidP="00575DCC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F84890C" w14:textId="77777777" w:rsidR="00575DCC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42C92">
        <w:rPr>
          <w:rFonts w:ascii="Arial Unicode MS" w:eastAsia="Arial Unicode MS" w:hAnsi="Arial Unicode MS" w:cs="Arial Unicode MS"/>
          <w:sz w:val="21"/>
          <w:szCs w:val="21"/>
        </w:rPr>
        <w:t>čerpání pohonných hmot (PHM)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tankovacími kartami Poskytovatele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 xml:space="preserve"> podle čl. II odst. 1 písm. 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>) této Dohody s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 tím, že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(i)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dne 1.9.2023 byla předána vozidla s PHM s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 xml:space="preserve"> hodnotou ve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výši 112 987,23 Kč, (</w:t>
      </w:r>
      <w:proofErr w:type="spellStart"/>
      <w:r w:rsidRPr="00AC31D2">
        <w:rPr>
          <w:rFonts w:ascii="Arial Unicode MS" w:eastAsia="Arial Unicode MS" w:hAnsi="Arial Unicode MS" w:cs="Arial Unicode MS"/>
          <w:sz w:val="21"/>
          <w:szCs w:val="21"/>
        </w:rPr>
        <w:t>ii</w:t>
      </w:r>
      <w:proofErr w:type="spellEnd"/>
      <w:r w:rsidRPr="00AC31D2">
        <w:rPr>
          <w:rFonts w:ascii="Arial Unicode MS" w:eastAsia="Arial Unicode MS" w:hAnsi="Arial Unicode MS" w:cs="Arial Unicode MS"/>
          <w:sz w:val="21"/>
          <w:szCs w:val="21"/>
        </w:rPr>
        <w:t>) PHM uhrazené tankovacími kartami Poskytovatele za měsíc září 2023 ve výši 141 737,21 Kč a (</w:t>
      </w:r>
      <w:proofErr w:type="spellStart"/>
      <w:r w:rsidRPr="00AC31D2">
        <w:rPr>
          <w:rFonts w:ascii="Arial Unicode MS" w:eastAsia="Arial Unicode MS" w:hAnsi="Arial Unicode MS" w:cs="Arial Unicode MS"/>
          <w:sz w:val="21"/>
          <w:szCs w:val="21"/>
        </w:rPr>
        <w:t>iii</w:t>
      </w:r>
      <w:proofErr w:type="spellEnd"/>
      <w:r w:rsidRPr="00AC31D2">
        <w:rPr>
          <w:rFonts w:ascii="Arial Unicode MS" w:eastAsia="Arial Unicode MS" w:hAnsi="Arial Unicode MS" w:cs="Arial Unicode MS"/>
          <w:sz w:val="21"/>
          <w:szCs w:val="21"/>
        </w:rPr>
        <w:t>) PHM uhrazené tankovacími kartami Poskytovatele za měsíc říjen 2023 ve výši</w:t>
      </w:r>
      <w:r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52 070 ,87 Kč. Hodnota PHM v úhrnu 306 795,31 Kč (slovy: tři sta šest tisíc sedm set devadesát pět korun českých třicet jedna haléřů) za Rozhodné období,</w:t>
      </w:r>
    </w:p>
    <w:p w14:paraId="5A8A5D7C" w14:textId="77777777" w:rsidR="00575DCC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ýtné uhrazené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oskytovatelem za jízdy uskutečněné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říjemcem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podle čl. II odst. 1 písm. j) této Dohody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 xml:space="preserve">za období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měsíce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září 2023 </w:t>
      </w:r>
      <w:r>
        <w:rPr>
          <w:rFonts w:ascii="Arial Unicode MS" w:eastAsia="Arial Unicode MS" w:hAnsi="Arial Unicode MS" w:cs="Arial Unicode MS"/>
          <w:sz w:val="21"/>
          <w:szCs w:val="21"/>
        </w:rPr>
        <w:t>v částce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4 610,64 Kč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za období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měsíce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říjen 2023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v částce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5 668,32 Kč, tj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: v úhrnu 10 278,96 Kč (slovy: deset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tisíc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dvě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stě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sedmdesát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osm korun českých </w:t>
      </w:r>
      <w:r>
        <w:rPr>
          <w:rFonts w:ascii="Arial Unicode MS" w:eastAsia="Arial Unicode MS" w:hAnsi="Arial Unicode MS" w:cs="Arial Unicode MS"/>
          <w:sz w:val="21"/>
          <w:szCs w:val="21"/>
        </w:rPr>
        <w:t>devadesát šest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haléřů) za Rozhodné období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09314CDF" w14:textId="77777777" w:rsidR="00575DCC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46C91"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ájemné za pronajatá vozidla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Poskytova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 xml:space="preserve">tele podle čl. II odst. 1 písm. </w:t>
      </w:r>
      <w:r>
        <w:rPr>
          <w:rFonts w:ascii="Arial Unicode MS" w:eastAsia="Arial Unicode MS" w:hAnsi="Arial Unicode MS" w:cs="Arial Unicode MS"/>
          <w:sz w:val="21"/>
          <w:szCs w:val="21"/>
        </w:rPr>
        <w:t>k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>) této Dohody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, v souladu s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 xml:space="preserve"> odborn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ým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stanovisk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em, dle kterého</w:t>
      </w:r>
      <w:r w:rsidRPr="00A55B2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činí obvyklá cena pronájmu vozidla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(i)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SPZ 8P0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4303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nájemné ve výši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54 330 Kč měsíčně,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proofErr w:type="spellStart"/>
      <w:r w:rsidRPr="00646C91">
        <w:rPr>
          <w:rFonts w:ascii="Arial Unicode MS" w:eastAsia="Arial Unicode MS" w:hAnsi="Arial Unicode MS" w:cs="Arial Unicode MS"/>
          <w:sz w:val="21"/>
          <w:szCs w:val="21"/>
        </w:rPr>
        <w:t>ii</w:t>
      </w:r>
      <w:proofErr w:type="spellEnd"/>
      <w:r w:rsidRPr="00646C91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SPZ 5P6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4365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nájemné ve výši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42 254 Kč měsíčně,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proofErr w:type="spellStart"/>
      <w:r w:rsidRPr="00646C91">
        <w:rPr>
          <w:rFonts w:ascii="Arial Unicode MS" w:eastAsia="Arial Unicode MS" w:hAnsi="Arial Unicode MS" w:cs="Arial Unicode MS"/>
          <w:sz w:val="21"/>
          <w:szCs w:val="21"/>
        </w:rPr>
        <w:t>iii</w:t>
      </w:r>
      <w:proofErr w:type="spellEnd"/>
      <w:r w:rsidRPr="00646C91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SPZ 6P0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1952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nájemné ve výši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15 711 Kč měsíčně,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proofErr w:type="spellStart"/>
      <w:r w:rsidRPr="00646C91">
        <w:rPr>
          <w:rFonts w:ascii="Arial Unicode MS" w:eastAsia="Arial Unicode MS" w:hAnsi="Arial Unicode MS" w:cs="Arial Unicode MS"/>
          <w:sz w:val="21"/>
          <w:szCs w:val="21"/>
        </w:rPr>
        <w:t>iv</w:t>
      </w:r>
      <w:proofErr w:type="spellEnd"/>
      <w:r w:rsidRPr="00646C91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SPZ 7P5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6584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nájemné ve výši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37 077 Kč měsíčně,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(v)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SPZ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lastRenderedPageBreak/>
        <w:t>8P0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6305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nájemné ve výši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82 476 Kč měsíčně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a (</w:t>
      </w:r>
      <w:proofErr w:type="spellStart"/>
      <w:r w:rsidRPr="00646C91">
        <w:rPr>
          <w:rFonts w:ascii="Arial Unicode MS" w:eastAsia="Arial Unicode MS" w:hAnsi="Arial Unicode MS" w:cs="Arial Unicode MS"/>
          <w:sz w:val="21"/>
          <w:szCs w:val="21"/>
        </w:rPr>
        <w:t>vi</w:t>
      </w:r>
      <w:proofErr w:type="spellEnd"/>
      <w:r w:rsidRPr="00646C91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SPZ 8P0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8955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nájemné ve výši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25 770 Kč měsíčně, tj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.: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 v úhrnu 515 236 Kč (slovy: pět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patnáct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tisí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c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dvě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stě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třicet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šest korun českých) za Rozhodné období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435EACED" w14:textId="77777777" w:rsidR="00575DCC" w:rsidRPr="00A55B27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služby za provedené činnosti </w:t>
      </w:r>
      <w:r w:rsidRPr="006A09D5">
        <w:rPr>
          <w:rFonts w:ascii="Arial Unicode MS" w:eastAsia="Arial Unicode MS" w:hAnsi="Arial Unicode MS" w:cs="Arial Unicode MS"/>
          <w:sz w:val="21"/>
          <w:szCs w:val="21"/>
        </w:rPr>
        <w:t xml:space="preserve">Poskytovatelem 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 xml:space="preserve">na základě jednotlivých objednávek podle čl. II odst. 1 písm. </w:t>
      </w:r>
      <w:r>
        <w:rPr>
          <w:rFonts w:ascii="Arial Unicode MS" w:eastAsia="Arial Unicode MS" w:hAnsi="Arial Unicode MS" w:cs="Arial Unicode MS"/>
          <w:sz w:val="21"/>
          <w:szCs w:val="21"/>
        </w:rPr>
        <w:t>l</w:t>
      </w:r>
      <w:r w:rsidRPr="00AC31D2">
        <w:rPr>
          <w:rFonts w:ascii="Arial Unicode MS" w:eastAsia="Arial Unicode MS" w:hAnsi="Arial Unicode MS" w:cs="Arial Unicode MS"/>
          <w:sz w:val="21"/>
          <w:szCs w:val="21"/>
        </w:rPr>
        <w:t>) této Dohody za měsíc září 2023 ve výši 335 238,25 Kč a   za měsíc říjen 2023 ve výši 409 150 Kč, tj.: v úhrnu 744 388,25 Kč (slovy: sedm set čtyřicet čtyři tisíc tři sta osmdesát osm korun českých) za Rozhodné období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21CD67E" w14:textId="77777777" w:rsidR="00575DCC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služby za provedené činnosti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říjemcem </w:t>
      </w:r>
      <w:r>
        <w:rPr>
          <w:rFonts w:ascii="Arial Unicode MS" w:eastAsia="Arial Unicode MS" w:hAnsi="Arial Unicode MS" w:cs="Arial Unicode MS"/>
          <w:sz w:val="21"/>
          <w:szCs w:val="21"/>
        </w:rPr>
        <w:t>na základě jednotlivých objednávek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oskytovatele </w:t>
      </w:r>
      <w:r>
        <w:rPr>
          <w:rFonts w:ascii="Arial Unicode MS" w:eastAsia="Arial Unicode MS" w:hAnsi="Arial Unicode MS" w:cs="Arial Unicode MS"/>
          <w:sz w:val="21"/>
          <w:szCs w:val="21"/>
        </w:rPr>
        <w:t>podle čl. II odst. 1 písm. m) této Dohody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za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měsíc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září 2023 </w:t>
      </w:r>
      <w:r>
        <w:rPr>
          <w:rFonts w:ascii="Arial Unicode MS" w:eastAsia="Arial Unicode MS" w:hAnsi="Arial Unicode MS" w:cs="Arial Unicode MS"/>
          <w:sz w:val="21"/>
          <w:szCs w:val="21"/>
        </w:rPr>
        <w:t>ve výši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10 700,50 Kč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z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měsíc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říjen 2023 </w:t>
      </w:r>
      <w:r>
        <w:rPr>
          <w:rFonts w:ascii="Arial Unicode MS" w:eastAsia="Arial Unicode MS" w:hAnsi="Arial Unicode MS" w:cs="Arial Unicode MS"/>
          <w:sz w:val="21"/>
          <w:szCs w:val="21"/>
        </w:rPr>
        <w:t>ve výši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9</w:t>
      </w:r>
      <w:r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288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Kč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tj</w:t>
      </w:r>
      <w:r>
        <w:rPr>
          <w:rFonts w:ascii="Arial Unicode MS" w:eastAsia="Arial Unicode MS" w:hAnsi="Arial Unicode MS" w:cs="Arial Unicode MS"/>
          <w:sz w:val="21"/>
          <w:szCs w:val="21"/>
        </w:rPr>
        <w:t>.: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v úhrnu 19 988,50 Kč (slovy: devatenáct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tisíc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devět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set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>osmdesát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osm korun českých </w:t>
      </w:r>
      <w:r>
        <w:rPr>
          <w:rFonts w:ascii="Arial Unicode MS" w:eastAsia="Arial Unicode MS" w:hAnsi="Arial Unicode MS" w:cs="Arial Unicode MS"/>
          <w:sz w:val="21"/>
          <w:szCs w:val="21"/>
        </w:rPr>
        <w:t>padesát</w:t>
      </w:r>
      <w:r w:rsidRPr="00646C91">
        <w:rPr>
          <w:rFonts w:ascii="Arial Unicode MS" w:eastAsia="Arial Unicode MS" w:hAnsi="Arial Unicode MS" w:cs="Arial Unicode MS"/>
          <w:sz w:val="21"/>
          <w:szCs w:val="21"/>
        </w:rPr>
        <w:t xml:space="preserve"> haléřů) za Rozhodné období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475D63CF" w14:textId="34FAB588" w:rsidR="00575DCC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opravy vozidel provedené na náklady Poskytovatele na vozidlech provozovaných Příjemcem v úhrnu ve výši 114 104,90 Kč (slovy: jedno sto čtrnáct tisíc jedno sto čtyři korun českých devadesát haléřů) bez daně z přidané hodnoty za Rozhodné období a</w:t>
      </w:r>
    </w:p>
    <w:p w14:paraId="64CAD357" w14:textId="5969494A" w:rsidR="00575DCC" w:rsidRPr="00A55B27" w:rsidRDefault="00575DCC" w:rsidP="00575DC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poplatky ze servisních smluv vozidel provozovaných Příjemcem hrazené Poskytovatelem v úhrnu ve výši 53 144,- Kč (slovy: padesát tři tisíc jedno sto čtyřicet čtyři korun českých) bez daně z přidané hodnoty za Rozhodné období.</w:t>
      </w:r>
    </w:p>
    <w:p w14:paraId="34F86E1A" w14:textId="2988699B" w:rsidR="00575DCC" w:rsidRDefault="00575DCC" w:rsidP="00CB2DB8">
      <w:pPr>
        <w:pStyle w:val="Odstavecseseznamem"/>
        <w:spacing w:after="0" w:line="240" w:lineRule="auto"/>
        <w:ind w:left="121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F2D294D" w14:textId="48F72F4D" w:rsidR="00B04793" w:rsidRDefault="007D2B74" w:rsidP="002760F6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Poskytovatel tvrdí, že nárok za konzumované služby a užívání věcí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Příjemcem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specifikovan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ých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v čl. II této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činí za Rozhodné období částku ve výši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>3 398 134,52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</w:t>
      </w:r>
      <w:r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="00805193" w:rsidRPr="00A55B27">
        <w:rPr>
          <w:rFonts w:ascii="Arial Unicode MS" w:eastAsia="Arial Unicode MS" w:hAnsi="Arial Unicode MS" w:cs="Arial Unicode MS"/>
          <w:sz w:val="21"/>
          <w:szCs w:val="21"/>
        </w:rPr>
        <w:t xml:space="preserve">tři miliony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>tři sta devadesát osm tisíc jedno sto třicet čtyři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korun českých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>padesát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dva</w:t>
      </w:r>
      <w:r w:rsidR="00074687">
        <w:rPr>
          <w:rFonts w:ascii="Arial Unicode MS" w:eastAsia="Arial Unicode MS" w:hAnsi="Arial Unicode MS" w:cs="Arial Unicode MS"/>
          <w:sz w:val="21"/>
          <w:szCs w:val="21"/>
        </w:rPr>
        <w:t xml:space="preserve"> haléřů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) bez daně z přidané hodnoty, tj.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>4 111 742,80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Kč (slovy: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>čtyři miliony jedno sto jedenáct tisíc sedm set čtyřicet dva korun českých osmdesát haléřů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včetně daně z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 přidané hodnoty.</w:t>
      </w:r>
    </w:p>
    <w:p w14:paraId="525E69D3" w14:textId="77777777" w:rsidR="00805193" w:rsidRDefault="00805193" w:rsidP="00A55B27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6FC763E" w14:textId="317B6311" w:rsidR="00074687" w:rsidRPr="00662B4C" w:rsidRDefault="00074687" w:rsidP="002760F6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62B4C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E77667">
        <w:rPr>
          <w:rFonts w:ascii="Arial Unicode MS" w:eastAsia="Arial Unicode MS" w:hAnsi="Arial Unicode MS" w:cs="Arial Unicode MS"/>
          <w:sz w:val="21"/>
          <w:szCs w:val="21"/>
        </w:rPr>
        <w:t xml:space="preserve"> tvrdí, že nárok za konzumované služby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Poskytovatelem </w:t>
      </w:r>
      <w:r w:rsidRPr="00662B4C">
        <w:rPr>
          <w:rFonts w:ascii="Arial Unicode MS" w:eastAsia="Arial Unicode MS" w:hAnsi="Arial Unicode MS" w:cs="Arial Unicode MS"/>
          <w:sz w:val="21"/>
          <w:szCs w:val="21"/>
        </w:rPr>
        <w:t>činí za Rozhodné období částku ve výši 19 988,50 Kč</w:t>
      </w:r>
      <w:r w:rsidRPr="00E77667">
        <w:rPr>
          <w:rFonts w:ascii="Arial Unicode MS" w:eastAsia="Arial Unicode MS" w:hAnsi="Arial Unicode MS" w:cs="Arial Unicode MS"/>
          <w:sz w:val="21"/>
          <w:szCs w:val="21"/>
        </w:rPr>
        <w:t xml:space="preserve"> (slovy: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d</w:t>
      </w:r>
      <w:r w:rsidRPr="00662B4C">
        <w:rPr>
          <w:rFonts w:ascii="Arial Unicode MS" w:eastAsia="Arial Unicode MS" w:hAnsi="Arial Unicode MS" w:cs="Arial Unicode MS"/>
          <w:sz w:val="21"/>
          <w:szCs w:val="21"/>
        </w:rPr>
        <w:t>evaten</w:t>
      </w:r>
      <w:r w:rsidRPr="00E77667">
        <w:rPr>
          <w:rFonts w:ascii="Arial Unicode MS" w:eastAsia="Arial Unicode MS" w:hAnsi="Arial Unicode MS" w:cs="Arial Unicode MS"/>
          <w:sz w:val="21"/>
          <w:szCs w:val="21"/>
        </w:rPr>
        <w:t>áct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2B4C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devět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osm korun českých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padesát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 haléřů) bez daně z přidané hodnoty, tj: 24 186,10 Kč (slovy: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vacet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čtyři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šest korun českých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deset</w:t>
      </w:r>
      <w:r w:rsidR="000E4088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 haléřů) 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včetně daně</w:t>
      </w:r>
      <w:r w:rsidR="000E4088" w:rsidRPr="00E77667">
        <w:rPr>
          <w:rFonts w:ascii="Arial Unicode MS" w:eastAsia="Arial Unicode MS" w:hAnsi="Arial Unicode MS" w:cs="Arial Unicode MS"/>
          <w:sz w:val="21"/>
          <w:szCs w:val="21"/>
        </w:rPr>
        <w:t xml:space="preserve"> z přidané hodnoty</w:t>
      </w:r>
      <w:r w:rsidR="0080519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966E5A" w14:textId="77777777" w:rsidR="007D2B74" w:rsidRPr="002760F6" w:rsidRDefault="007D2B74" w:rsidP="002760F6">
      <w:pPr>
        <w:pStyle w:val="Odstavecseseznamem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144471" w14:textId="77777777" w:rsidR="007D2B74" w:rsidRPr="002760F6" w:rsidRDefault="007D2B74" w:rsidP="002760F6">
      <w:pPr>
        <w:pStyle w:val="Odstavecseseznamem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928369" w14:textId="77777777" w:rsidR="007D2B74" w:rsidRPr="002760F6" w:rsidRDefault="007D2B74" w:rsidP="002760F6">
      <w:pPr>
        <w:pStyle w:val="Odstavecseseznamem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IV.</w:t>
      </w:r>
    </w:p>
    <w:p w14:paraId="73C81D3F" w14:textId="1B4FE70A" w:rsidR="007D2B74" w:rsidRPr="002760F6" w:rsidRDefault="00662B4C" w:rsidP="002760F6">
      <w:pPr>
        <w:pStyle w:val="Odstavecseseznamem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Narovnání</w:t>
      </w:r>
    </w:p>
    <w:p w14:paraId="5F16EC60" w14:textId="77777777" w:rsidR="007D2B74" w:rsidRPr="002760F6" w:rsidRDefault="007D2B74" w:rsidP="002760F6">
      <w:pPr>
        <w:pStyle w:val="Odstavecseseznamem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742FC2A" w14:textId="55828C47" w:rsidR="00662B4C" w:rsidRPr="00A55B27" w:rsidRDefault="007D2B74" w:rsidP="002760F6">
      <w:pPr>
        <w:pStyle w:val="Odstavecseseznamem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Smluvní strany se za účelem narovnání dohodly, že pohledávka Poskytovatele za Příjemcem činí částku ve výši 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t>3 398 134,52 Kč (slovy: tři miliony tři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t xml:space="preserve">sta devadesát osm 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lastRenderedPageBreak/>
        <w:t>tisíc jedno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F055F">
        <w:rPr>
          <w:rFonts w:ascii="Arial Unicode MS" w:eastAsia="Arial Unicode MS" w:hAnsi="Arial Unicode MS" w:cs="Arial Unicode MS"/>
          <w:sz w:val="21"/>
          <w:szCs w:val="21"/>
        </w:rPr>
        <w:t xml:space="preserve">sto třicet čtyři korun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českých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padesát dva haléřů</w:t>
      </w:r>
      <w:r w:rsidR="00A30976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bez daně z přidané hodnoty, tj.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4 111 742,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80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Kč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>(slovy: č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tyři miliony jedno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sto jedenáct tisíc sedm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set čtyřicet dva korun </w:t>
      </w:r>
      <w:r w:rsidR="00A6296D">
        <w:rPr>
          <w:rFonts w:ascii="Arial Unicode MS" w:eastAsia="Arial Unicode MS" w:hAnsi="Arial Unicode MS" w:cs="Arial Unicode MS"/>
          <w:sz w:val="21"/>
          <w:szCs w:val="21"/>
        </w:rPr>
        <w:t xml:space="preserve">českých 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haléřů</w:t>
      </w:r>
      <w:r w:rsidR="00A30976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včetně daně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z přidané hodnoty (dále jen „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Pohledávka</w:t>
      </w:r>
      <w:r w:rsidR="00662B4C">
        <w:rPr>
          <w:rFonts w:ascii="Arial Unicode MS" w:eastAsia="Arial Unicode MS" w:hAnsi="Arial Unicode MS" w:cs="Arial Unicode MS"/>
          <w:b/>
          <w:sz w:val="21"/>
          <w:szCs w:val="21"/>
        </w:rPr>
        <w:t xml:space="preserve"> Poskytovatele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3A422196" w14:textId="77777777" w:rsidR="00662B4C" w:rsidRPr="00A55B27" w:rsidRDefault="00662B4C" w:rsidP="00A55B27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87880CD" w14:textId="6B86B128" w:rsidR="000E4088" w:rsidRPr="00CB2DB8" w:rsidRDefault="000E4088" w:rsidP="00E77667">
      <w:pPr>
        <w:pStyle w:val="Odstavecseseznamem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77667">
        <w:rPr>
          <w:rFonts w:ascii="Arial Unicode MS" w:eastAsia="Arial Unicode MS" w:hAnsi="Arial Unicode MS" w:cs="Arial Unicode MS"/>
          <w:sz w:val="21"/>
          <w:szCs w:val="21"/>
        </w:rPr>
        <w:t xml:space="preserve">Smluvní strany se za účelem narovnání dohodly, celková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pohledávka Příjemce za Poskytovatelem</w:t>
      </w:r>
      <w:r w:rsidRPr="00E77667">
        <w:rPr>
          <w:rFonts w:ascii="Arial Unicode MS" w:eastAsia="Arial Unicode MS" w:hAnsi="Arial Unicode MS" w:cs="Arial Unicode MS"/>
          <w:sz w:val="21"/>
          <w:szCs w:val="21"/>
        </w:rPr>
        <w:t xml:space="preserve"> činí částku ve výši 19 988,50 Kč (slovy: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evaten</w:t>
      </w:r>
      <w:r w:rsidR="00662B4C" w:rsidRPr="0096137A">
        <w:rPr>
          <w:rFonts w:ascii="Arial Unicode MS" w:eastAsia="Arial Unicode MS" w:hAnsi="Arial Unicode MS" w:cs="Arial Unicode MS"/>
          <w:sz w:val="21"/>
          <w:szCs w:val="21"/>
        </w:rPr>
        <w:t>áct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devět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set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osm korun českých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padesát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 haléřů</w:t>
      </w:r>
      <w:r w:rsidR="008E36AC" w:rsidRPr="0071487B">
        <w:rPr>
          <w:rFonts w:ascii="Arial Unicode MS" w:eastAsia="Arial Unicode MS" w:hAnsi="Arial Unicode MS" w:cs="Arial Unicode MS"/>
          <w:sz w:val="21"/>
          <w:szCs w:val="21"/>
        </w:rPr>
        <w:t xml:space="preserve">) bez daně z přidané hodnoty, tj: 24 186,10 Kč (slovy: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vacet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čtyři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šest korun českých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deset</w:t>
      </w:r>
      <w:r w:rsidR="00662B4C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 haléřů) 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včetně daně</w:t>
      </w:r>
      <w:r w:rsidR="00662B4C" w:rsidRPr="0096137A">
        <w:rPr>
          <w:rFonts w:ascii="Arial Unicode MS" w:eastAsia="Arial Unicode MS" w:hAnsi="Arial Unicode MS" w:cs="Arial Unicode MS"/>
          <w:sz w:val="21"/>
          <w:szCs w:val="21"/>
        </w:rPr>
        <w:t xml:space="preserve"> z přidané hodnoty</w:t>
      </w:r>
      <w:r w:rsidR="008E36AC" w:rsidRPr="0071487B">
        <w:rPr>
          <w:rFonts w:ascii="Arial Unicode MS" w:eastAsia="Arial Unicode MS" w:hAnsi="Arial Unicode MS" w:cs="Arial Unicode MS"/>
          <w:sz w:val="21"/>
          <w:szCs w:val="21"/>
        </w:rPr>
        <w:t xml:space="preserve"> (dále je „</w:t>
      </w:r>
      <w:r w:rsidR="00662B4C" w:rsidRPr="00A55B27">
        <w:rPr>
          <w:rFonts w:ascii="Arial Unicode MS" w:eastAsia="Arial Unicode MS" w:hAnsi="Arial Unicode MS" w:cs="Arial Unicode MS"/>
          <w:b/>
          <w:sz w:val="21"/>
          <w:szCs w:val="21"/>
        </w:rPr>
        <w:t>Pohledávka Příjemce</w:t>
      </w:r>
      <w:r w:rsidR="008E36AC" w:rsidRPr="00E77667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662B4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9473F13" w14:textId="77777777" w:rsidR="00B2093D" w:rsidRPr="00CB2DB8" w:rsidRDefault="00B2093D" w:rsidP="00CB2DB8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A7D99EE" w14:textId="6501B151" w:rsidR="00662B4C" w:rsidRDefault="00662B4C" w:rsidP="002760F6">
      <w:pPr>
        <w:pStyle w:val="Odstavecseseznamem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tímto dohodly, že touto Dohodou započítávají Pohledávku Příjemce za Poskytovatelem dle odstavce 2 tohoto článku Dohody představující jím poskytnuté služby pro Poskytovatele dle čl. II odst. 1 písm. 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m) a čl. III odst. 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písm. 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>) této Dohody ve výši 24 186,10 Kč (</w:t>
      </w:r>
      <w:r w:rsidR="0050105D" w:rsidRPr="0096137A">
        <w:rPr>
          <w:rFonts w:ascii="Arial Unicode MS" w:eastAsia="Arial Unicode MS" w:hAnsi="Arial Unicode MS" w:cs="Arial Unicode MS"/>
          <w:sz w:val="21"/>
          <w:szCs w:val="21"/>
        </w:rPr>
        <w:t xml:space="preserve">slovy: 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>vacet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>čtyři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šest korun českých 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>deset</w:t>
      </w:r>
      <w:r w:rsidR="0050105D" w:rsidRPr="00662B4C">
        <w:rPr>
          <w:rFonts w:ascii="Arial Unicode MS" w:eastAsia="Arial Unicode MS" w:hAnsi="Arial Unicode MS" w:cs="Arial Unicode MS"/>
          <w:sz w:val="21"/>
          <w:szCs w:val="21"/>
        </w:rPr>
        <w:t xml:space="preserve"> haléřů) 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>včetně daně</w:t>
      </w:r>
      <w:r w:rsidR="0050105D" w:rsidRPr="0096137A">
        <w:rPr>
          <w:rFonts w:ascii="Arial Unicode MS" w:eastAsia="Arial Unicode MS" w:hAnsi="Arial Unicode MS" w:cs="Arial Unicode MS"/>
          <w:sz w:val="21"/>
          <w:szCs w:val="21"/>
        </w:rPr>
        <w:t xml:space="preserve"> z přidané hodnoty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na Pohledávku Poskytovatele za Příjemcem dle </w:t>
      </w:r>
      <w:r w:rsidR="0050105D" w:rsidRPr="009E024E">
        <w:rPr>
          <w:rFonts w:ascii="Arial Unicode MS" w:eastAsia="Arial Unicode MS" w:hAnsi="Arial Unicode MS" w:cs="Arial Unicode MS"/>
          <w:sz w:val="21"/>
          <w:szCs w:val="21"/>
        </w:rPr>
        <w:t xml:space="preserve">čl. II odst. 1 písm. a) až 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50105D" w:rsidRPr="009E024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 xml:space="preserve"> a n) a o) a odst. 2,</w:t>
      </w:r>
      <w:r w:rsidR="0050105D" w:rsidRPr="009E024E">
        <w:rPr>
          <w:rFonts w:ascii="Arial Unicode MS" w:eastAsia="Arial Unicode MS" w:hAnsi="Arial Unicode MS" w:cs="Arial Unicode MS"/>
          <w:sz w:val="21"/>
          <w:szCs w:val="21"/>
        </w:rPr>
        <w:t xml:space="preserve"> čl. III odst. 2 písm. a) až 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>f</w:t>
      </w:r>
      <w:r w:rsidR="0050105D" w:rsidRPr="009E024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>, odst. 3 a</w:t>
      </w:r>
      <w:r w:rsidR="0050105D" w:rsidRPr="009E024E">
        <w:rPr>
          <w:rFonts w:ascii="Arial Unicode MS" w:eastAsia="Arial Unicode MS" w:hAnsi="Arial Unicode MS" w:cs="Arial Unicode MS"/>
          <w:sz w:val="21"/>
          <w:szCs w:val="21"/>
        </w:rPr>
        <w:t xml:space="preserve"> odst. </w:t>
      </w:r>
      <w:r w:rsidR="009E024E">
        <w:rPr>
          <w:rFonts w:ascii="Arial Unicode MS" w:eastAsia="Arial Unicode MS" w:hAnsi="Arial Unicode MS" w:cs="Arial Unicode MS"/>
          <w:sz w:val="21"/>
          <w:szCs w:val="21"/>
        </w:rPr>
        <w:t>4 písm. a) až d) a f) a g)</w:t>
      </w:r>
      <w:r w:rsidR="0050105D" w:rsidRPr="009E024E">
        <w:rPr>
          <w:rFonts w:ascii="Arial Unicode MS" w:eastAsia="Arial Unicode MS" w:hAnsi="Arial Unicode MS" w:cs="Arial Unicode MS"/>
          <w:sz w:val="21"/>
          <w:szCs w:val="21"/>
        </w:rPr>
        <w:t xml:space="preserve"> této Dohody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 xml:space="preserve"> ve výši</w:t>
      </w:r>
      <w:r w:rsidR="00010D11" w:rsidRPr="00010D1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4 111 742,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>80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Kč </w:t>
      </w:r>
      <w:r w:rsidR="00A30976">
        <w:rPr>
          <w:rFonts w:ascii="Arial Unicode MS" w:eastAsia="Arial Unicode MS" w:hAnsi="Arial Unicode MS" w:cs="Arial Unicode MS"/>
          <w:sz w:val="21"/>
          <w:szCs w:val="21"/>
        </w:rPr>
        <w:t>(slovy: č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tyři miliony jedno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sto jedenáct tisíc sedm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set čtyřicet dva korun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 českých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>osmdesát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haléřů</w:t>
      </w:r>
      <w:r w:rsidR="00A30976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50105D">
        <w:rPr>
          <w:rFonts w:ascii="Arial Unicode MS" w:eastAsia="Arial Unicode MS" w:hAnsi="Arial Unicode MS" w:cs="Arial Unicode MS"/>
          <w:sz w:val="21"/>
          <w:szCs w:val="21"/>
        </w:rPr>
        <w:t>, a to do výše, ve které se vzájemně kryjí.</w:t>
      </w:r>
    </w:p>
    <w:p w14:paraId="7F86707A" w14:textId="77777777" w:rsidR="0050105D" w:rsidRDefault="0050105D" w:rsidP="00A55B27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8C7B82F" w14:textId="7E4F4E24" w:rsidR="0050105D" w:rsidRPr="00A55B27" w:rsidRDefault="0050105D" w:rsidP="00E77667">
      <w:pPr>
        <w:pStyle w:val="Odstavecseseznamem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proto tímto dohodly, že celková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pohledávka Poskytovatele za Příjemcem činí částku ve výši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 3 378 146,02 Kč (slovy: tři miliony tři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sta sedmdesát osm tisíc jedno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 xml:space="preserve">sto čtyřicet šest korun 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českých </w:t>
      </w:r>
      <w:r w:rsidR="00010D11">
        <w:rPr>
          <w:rFonts w:ascii="Arial Unicode MS" w:eastAsia="Arial Unicode MS" w:hAnsi="Arial Unicode MS" w:cs="Arial Unicode MS"/>
          <w:sz w:val="21"/>
          <w:szCs w:val="21"/>
        </w:rPr>
        <w:t>dva haléře</w:t>
      </w:r>
      <w:r w:rsidR="00B2093D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bez daně z přidané hodnoty, tj.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b/>
          <w:sz w:val="21"/>
          <w:szCs w:val="21"/>
        </w:rPr>
        <w:t xml:space="preserve"> 4 087 556,</w:t>
      </w:r>
      <w:r w:rsidR="00B2093D">
        <w:rPr>
          <w:rFonts w:ascii="Arial Unicode MS" w:eastAsia="Arial Unicode MS" w:hAnsi="Arial Unicode MS" w:cs="Arial Unicode MS"/>
          <w:b/>
          <w:sz w:val="21"/>
          <w:szCs w:val="21"/>
        </w:rPr>
        <w:t>70</w:t>
      </w:r>
      <w:r w:rsidR="00010D11">
        <w:rPr>
          <w:rFonts w:ascii="Arial Unicode MS" w:eastAsia="Arial Unicode MS" w:hAnsi="Arial Unicode MS" w:cs="Arial Unicode MS"/>
          <w:b/>
          <w:sz w:val="21"/>
          <w:szCs w:val="21"/>
        </w:rPr>
        <w:t xml:space="preserve"> Kč (slovy: </w:t>
      </w:r>
      <w:r w:rsidR="00A30976">
        <w:rPr>
          <w:rFonts w:ascii="Arial Unicode MS" w:eastAsia="Arial Unicode MS" w:hAnsi="Arial Unicode MS" w:cs="Arial Unicode MS"/>
          <w:b/>
          <w:sz w:val="21"/>
          <w:szCs w:val="21"/>
        </w:rPr>
        <w:t>č</w:t>
      </w:r>
      <w:r w:rsidR="00010D11">
        <w:rPr>
          <w:rFonts w:ascii="Arial Unicode MS" w:eastAsia="Arial Unicode MS" w:hAnsi="Arial Unicode MS" w:cs="Arial Unicode MS"/>
          <w:b/>
          <w:sz w:val="21"/>
          <w:szCs w:val="21"/>
        </w:rPr>
        <w:t>tyři miliony osmdesát sedm tisíc pět</w:t>
      </w:r>
      <w:r w:rsidR="00B2093D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010D11">
        <w:rPr>
          <w:rFonts w:ascii="Arial Unicode MS" w:eastAsia="Arial Unicode MS" w:hAnsi="Arial Unicode MS" w:cs="Arial Unicode MS"/>
          <w:b/>
          <w:sz w:val="21"/>
          <w:szCs w:val="21"/>
        </w:rPr>
        <w:t>set padesát šest korun</w:t>
      </w:r>
      <w:r w:rsidR="00B2093D">
        <w:rPr>
          <w:rFonts w:ascii="Arial Unicode MS" w:eastAsia="Arial Unicode MS" w:hAnsi="Arial Unicode MS" w:cs="Arial Unicode MS"/>
          <w:b/>
          <w:sz w:val="21"/>
          <w:szCs w:val="21"/>
        </w:rPr>
        <w:t xml:space="preserve"> českých</w:t>
      </w:r>
      <w:r w:rsidR="00010D1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B2093D">
        <w:rPr>
          <w:rFonts w:ascii="Arial Unicode MS" w:eastAsia="Arial Unicode MS" w:hAnsi="Arial Unicode MS" w:cs="Arial Unicode MS"/>
          <w:b/>
          <w:sz w:val="21"/>
          <w:szCs w:val="21"/>
        </w:rPr>
        <w:t>sedmdesát</w:t>
      </w:r>
      <w:r w:rsidR="00010D11">
        <w:rPr>
          <w:rFonts w:ascii="Arial Unicode MS" w:eastAsia="Arial Unicode MS" w:hAnsi="Arial Unicode MS" w:cs="Arial Unicode MS"/>
          <w:b/>
          <w:sz w:val="21"/>
          <w:szCs w:val="21"/>
        </w:rPr>
        <w:t xml:space="preserve"> haléřů)</w:t>
      </w:r>
      <w:r w:rsidR="00B2093D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A55B27">
        <w:rPr>
          <w:rFonts w:ascii="Arial Unicode MS" w:eastAsia="Arial Unicode MS" w:hAnsi="Arial Unicode MS" w:cs="Arial Unicode MS"/>
          <w:b/>
          <w:sz w:val="21"/>
          <w:szCs w:val="21"/>
        </w:rPr>
        <w:t>včetně daně z přidané hodnoty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Celková p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ohledávka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Poskytovatele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7F872163" w14:textId="77777777" w:rsidR="00662B4C" w:rsidRPr="00A55B27" w:rsidRDefault="00662B4C" w:rsidP="00A55B2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E69C0F1" w14:textId="3AA5A598" w:rsidR="007D2B74" w:rsidRPr="002760F6" w:rsidRDefault="007D2B74" w:rsidP="002760F6">
      <w:pPr>
        <w:pStyle w:val="Odstavecseseznamem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Poskytovatel je oprávněn uplatnit nárok na zaplacení </w:t>
      </w:r>
      <w:r w:rsidR="00E77667">
        <w:rPr>
          <w:rFonts w:ascii="Arial Unicode MS" w:eastAsia="Arial Unicode MS" w:hAnsi="Arial Unicode MS" w:cs="Arial Unicode MS"/>
          <w:sz w:val="21"/>
          <w:szCs w:val="21"/>
        </w:rPr>
        <w:t>Celkové p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ohledávky</w:t>
      </w:r>
      <w:r w:rsidR="008E36A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podle odstavce </w:t>
      </w:r>
      <w:r w:rsidR="00E77667">
        <w:rPr>
          <w:rFonts w:ascii="Arial Unicode MS" w:eastAsia="Arial Unicode MS" w:hAnsi="Arial Unicode MS" w:cs="Arial Unicode MS"/>
          <w:sz w:val="21"/>
          <w:szCs w:val="21"/>
        </w:rPr>
        <w:t>4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to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hoto článku Dohody daňovým dokladem (fakturou), který bude vystaven po jejím uzavření a nárok bude splatný do patnácti (15) dní od jeho doručení Příjemci. Faktura musí obsahovat následující náležitosti: číslo faktury, přesné označení Poskytovatele a Příjemce, označení účtu, na který má být fakturovaná částka poukázána, datum vystavení a splatnosti výše uvedené, označení právního důvodu uplatnění nároku, fakturovaná částka, razítko Poskytovatele a podpis oprávněné osoby. Bez těchto náležitostí je Příjemce oprávněn fakturu vrátit a hledí se na ní, jako by jí nebylo.</w:t>
      </w:r>
    </w:p>
    <w:p w14:paraId="3A1BC7F3" w14:textId="77777777" w:rsidR="007D2B74" w:rsidRPr="002760F6" w:rsidRDefault="007D2B74" w:rsidP="002760F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6D28C6B" w14:textId="77777777" w:rsidR="007D2B74" w:rsidRPr="002760F6" w:rsidRDefault="007D2B74" w:rsidP="002760F6">
      <w:pPr>
        <w:pStyle w:val="Odstavecseseznamem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Smluvní strany pro vyloučení jakýchkoli pochybností výslovně prohlašují, že touto Dohodou jsou mezi nimi upravena veškerá vzájemná práva a povinnosti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plynoucí z konzumovaných služeb a užívání věcí tak, jak jsou specifikovány v čl. II této Dohody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661C839" w14:textId="77777777" w:rsidR="007D2B74" w:rsidRPr="002760F6" w:rsidRDefault="007D2B74" w:rsidP="002760F6">
      <w:p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4B2D5D" w14:textId="69F6498E" w:rsidR="007D2B74" w:rsidRPr="002760F6" w:rsidRDefault="002760F6" w:rsidP="002760F6">
      <w:pPr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pak prohlašuje, že zaplacením </w:t>
      </w:r>
      <w:r w:rsidR="00B0274C">
        <w:rPr>
          <w:rFonts w:ascii="Arial Unicode MS" w:eastAsia="Arial Unicode MS" w:hAnsi="Arial Unicode MS" w:cs="Arial Unicode MS"/>
          <w:sz w:val="21"/>
          <w:szCs w:val="21"/>
        </w:rPr>
        <w:t>Celkové p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ohledávky dle odstavce </w:t>
      </w:r>
      <w:r w:rsidR="00B0274C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tohoto článku Dohody již nemá vůči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Poskytovateli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žádných námitek a tyto jsou z jeho strany zcela vypořádány, resp. všech případných námitek vůči nim se tímto vzdává.</w:t>
      </w:r>
    </w:p>
    <w:p w14:paraId="6F182FE2" w14:textId="77777777" w:rsidR="007D2B74" w:rsidRPr="002760F6" w:rsidRDefault="007D2B74" w:rsidP="002760F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DF1EEE9" w14:textId="483255AC" w:rsidR="00B50A86" w:rsidRPr="002760F6" w:rsidRDefault="002760F6" w:rsidP="002760F6">
      <w:pPr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prohlašuje, že zaplacením </w:t>
      </w:r>
      <w:r w:rsidR="00B0274C">
        <w:rPr>
          <w:rFonts w:ascii="Arial Unicode MS" w:eastAsia="Arial Unicode MS" w:hAnsi="Arial Unicode MS" w:cs="Arial Unicode MS"/>
          <w:sz w:val="21"/>
          <w:szCs w:val="21"/>
        </w:rPr>
        <w:t>Celkové p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ohledávky podle odstavce </w:t>
      </w:r>
      <w:r w:rsidR="00B0274C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tohoto článku Dohody bude považovat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veškerá vzájemná práva a povinnosti plynoucí z konzumovaných služeb a užívání věcí tak, jak jsou specifikovány v čl. II této Dohody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za vypořádan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é a že tedy nemá vůči Příjemci</w:t>
      </w:r>
      <w:r w:rsidR="007D2B74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žádné další nároky, resp. všech případných nároků vůči němu se tímto vzdává.</w:t>
      </w:r>
    </w:p>
    <w:p w14:paraId="20F204CC" w14:textId="77777777" w:rsidR="00B2093D" w:rsidRDefault="00B2093D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1345192" w14:textId="77777777" w:rsidR="00B2093D" w:rsidRDefault="00B2093D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0724587" w14:textId="7FAED528" w:rsidR="00B50A86" w:rsidRPr="002760F6" w:rsidRDefault="00B50A86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2AE215C6" w14:textId="77777777" w:rsidR="00B50A86" w:rsidRPr="002760F6" w:rsidRDefault="00B50A86" w:rsidP="002760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Závěrečná ustanovení </w:t>
      </w:r>
    </w:p>
    <w:p w14:paraId="3E6A1C94" w14:textId="77777777" w:rsidR="00B50A86" w:rsidRPr="002760F6" w:rsidRDefault="00B50A86" w:rsidP="002760F6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7D736D5" w14:textId="77777777" w:rsidR="00B50A86" w:rsidRPr="002760F6" w:rsidRDefault="00B50A86" w:rsidP="002760F6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Tato Dohoda nabývá platnosti a účinnosti okamžikem dnem podpisu poslední ze smluvních stran. </w:t>
      </w:r>
    </w:p>
    <w:p w14:paraId="665F2D6B" w14:textId="77777777" w:rsidR="00B50A86" w:rsidRPr="002760F6" w:rsidRDefault="00B50A86" w:rsidP="002760F6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C5E49DF" w14:textId="77777777" w:rsidR="00B50A86" w:rsidRPr="002760F6" w:rsidRDefault="00B50A86" w:rsidP="002760F6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Tato Dohoda se řídí českým právním řádem, zejména pak ustanoveními občanského zákoníku. </w:t>
      </w:r>
    </w:p>
    <w:p w14:paraId="7844CE58" w14:textId="77777777" w:rsidR="00B50A86" w:rsidRPr="002760F6" w:rsidRDefault="00B50A86" w:rsidP="002760F6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2ACFA30" w14:textId="77777777" w:rsidR="00B50A86" w:rsidRPr="002760F6" w:rsidRDefault="00B50A86" w:rsidP="002760F6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Tato Dohoda může být měněna pouze na základě písemných a po sobě v řadě číslovaných dodatků nebo soudním rozhodnutím. K jiné formě právního jednání se nepřihlíží.  </w:t>
      </w:r>
    </w:p>
    <w:p w14:paraId="4106AC6C" w14:textId="77777777" w:rsidR="00B50A86" w:rsidRPr="002760F6" w:rsidRDefault="00B50A86" w:rsidP="002760F6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81192CA" w14:textId="77777777" w:rsidR="002760F6" w:rsidRPr="002760F6" w:rsidRDefault="00B50A86" w:rsidP="002760F6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Smluvní strany výslovně potvrzují, že podmínky této Dohody jsou výsledkem jejich vzájemných jednání a každá ze smluvních stran měla příležitost ovlivnit obsah podmínek této Dohody.</w:t>
      </w:r>
    </w:p>
    <w:p w14:paraId="15391AEA" w14:textId="77777777" w:rsidR="002760F6" w:rsidRPr="002760F6" w:rsidRDefault="002760F6" w:rsidP="002760F6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CA3A14" w14:textId="77777777" w:rsidR="002760F6" w:rsidRPr="002760F6" w:rsidRDefault="002760F6" w:rsidP="002760F6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Přílohou této Smlouvy je:</w:t>
      </w:r>
    </w:p>
    <w:p w14:paraId="4B22FE83" w14:textId="77777777" w:rsidR="002760F6" w:rsidRPr="002760F6" w:rsidRDefault="002760F6" w:rsidP="002760F6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8ABAFD" w14:textId="77777777" w:rsidR="002760F6" w:rsidRPr="002760F6" w:rsidRDefault="002760F6" w:rsidP="002760F6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Příloha č. 1 – grafický zákres rozsahu užívání Pozemků</w:t>
      </w:r>
    </w:p>
    <w:p w14:paraId="1D3435C2" w14:textId="77777777" w:rsidR="002760F6" w:rsidRPr="002760F6" w:rsidRDefault="002760F6" w:rsidP="002760F6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Příloha č. 2 – grafický zákres rozsahu užívání Kanceláří</w:t>
      </w:r>
    </w:p>
    <w:p w14:paraId="76FF0FA4" w14:textId="77777777" w:rsidR="002760F6" w:rsidRPr="002760F6" w:rsidRDefault="002760F6" w:rsidP="002760F6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Příloha č. 3 – výčet Movitých věcí</w:t>
      </w:r>
    </w:p>
    <w:p w14:paraId="32080150" w14:textId="719CFE1C" w:rsidR="00B50A86" w:rsidRDefault="002760F6" w:rsidP="002760F6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>Příloha č. 4 – Odborné stanovisko č. 2355-055/2023 ze dne 19. 10. 2023</w:t>
      </w:r>
      <w:r w:rsidR="00B50A86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8AA5F11" w14:textId="46CCC239" w:rsidR="00E77667" w:rsidRDefault="00E77667" w:rsidP="00E77667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Příloha č. </w:t>
      </w:r>
      <w:r>
        <w:rPr>
          <w:rFonts w:ascii="Arial Unicode MS" w:eastAsia="Arial Unicode MS" w:hAnsi="Arial Unicode MS" w:cs="Arial Unicode MS"/>
          <w:sz w:val="21"/>
          <w:szCs w:val="21"/>
        </w:rPr>
        <w:t>5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– </w:t>
      </w:r>
      <w:r>
        <w:rPr>
          <w:rFonts w:ascii="Arial Unicode MS" w:eastAsia="Arial Unicode MS" w:hAnsi="Arial Unicode MS" w:cs="Arial Unicode MS"/>
          <w:sz w:val="21"/>
          <w:szCs w:val="21"/>
        </w:rPr>
        <w:t>Dodatek k o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dborné</w:t>
      </w:r>
      <w:r>
        <w:rPr>
          <w:rFonts w:ascii="Arial Unicode MS" w:eastAsia="Arial Unicode MS" w:hAnsi="Arial Unicode MS" w:cs="Arial Unicode MS"/>
          <w:sz w:val="21"/>
          <w:szCs w:val="21"/>
        </w:rPr>
        <w:t>mu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stanovisk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č. 2355-055/2023 ze dne 19. 10. 2023 </w:t>
      </w:r>
    </w:p>
    <w:p w14:paraId="782721EA" w14:textId="77777777" w:rsidR="00B50A86" w:rsidRPr="002760F6" w:rsidRDefault="00B50A8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04D15A2" w14:textId="77777777" w:rsidR="00B50A86" w:rsidRPr="002760F6" w:rsidRDefault="00B50A86" w:rsidP="002760F6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Tato Dohoda je vyhotovena ve 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dvou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2760F6" w:rsidRPr="002760F6">
        <w:rPr>
          <w:rFonts w:ascii="Arial Unicode MS" w:eastAsia="Arial Unicode MS" w:hAnsi="Arial Unicode MS" w:cs="Arial Unicode MS"/>
          <w:sz w:val="21"/>
          <w:szCs w:val="21"/>
        </w:rPr>
        <w:t>2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) stejnopisech, kdy každá ze stran této Dohody obdrží po jednom (1) stejnopisu. </w:t>
      </w:r>
    </w:p>
    <w:p w14:paraId="784392A2" w14:textId="77777777" w:rsidR="00B50A86" w:rsidRPr="002760F6" w:rsidRDefault="00B50A86" w:rsidP="002760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5D4630" w14:textId="77777777" w:rsidR="00911A33" w:rsidRPr="002760F6" w:rsidRDefault="00B50A86" w:rsidP="002760F6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Strany této Dohody výslovně prohlašují, že tato Dohoda obsahuje jejich pravou a svobodnou vůli a na důkaz toho k ní připojují své podpisy. </w:t>
      </w:r>
      <w:r w:rsidR="00911A33"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C5A8AA9" w14:textId="77777777" w:rsidR="00E04E94" w:rsidRDefault="00E04E94" w:rsidP="002760F6">
      <w:pPr>
        <w:tabs>
          <w:tab w:val="left" w:pos="5103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8864C75" w14:textId="77777777" w:rsidR="002760F6" w:rsidRDefault="002760F6" w:rsidP="002760F6">
      <w:pPr>
        <w:tabs>
          <w:tab w:val="left" w:pos="5103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302741" w14:textId="77777777" w:rsidR="002760F6" w:rsidRPr="002760F6" w:rsidRDefault="002760F6" w:rsidP="002760F6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> Plzni</w:t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 … </w:t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</w:t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 Plzni </w:t>
      </w:r>
      <w:r w:rsidRPr="002760F6">
        <w:rPr>
          <w:rFonts w:ascii="Arial Unicode MS" w:eastAsia="Arial Unicode MS" w:hAnsi="Arial Unicode MS" w:cs="Arial Unicode MS" w:hint="eastAsia"/>
          <w:sz w:val="21"/>
          <w:szCs w:val="21"/>
        </w:rPr>
        <w:t>dne …</w:t>
      </w:r>
    </w:p>
    <w:p w14:paraId="795EC11A" w14:textId="77777777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4322F024" w14:textId="77777777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2760F6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>Poskytovatel:</w:t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i/>
          <w:sz w:val="21"/>
          <w:szCs w:val="21"/>
        </w:rPr>
        <w:tab/>
        <w:t>Příjemce:</w:t>
      </w:r>
    </w:p>
    <w:p w14:paraId="2E636BEC" w14:textId="77777777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300438" w14:textId="77777777" w:rsidR="002760F6" w:rsidRPr="002760F6" w:rsidRDefault="002760F6" w:rsidP="002760F6">
      <w:pPr>
        <w:spacing w:after="0" w:line="240" w:lineRule="auto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481E96C2" w14:textId="77777777" w:rsidR="002760F6" w:rsidRPr="00361682" w:rsidRDefault="00361682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</w:p>
    <w:p w14:paraId="588A7614" w14:textId="0A0CDA43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</w:t>
      </w:r>
      <w:r w:rsidR="00361682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Čistá Plzeň</w:t>
      </w:r>
      <w:r w:rsidR="0013527B">
        <w:rPr>
          <w:rFonts w:ascii="Arial Unicode MS" w:eastAsia="Arial Unicode MS" w:hAnsi="Arial Unicode MS" w:cs="Arial Unicode MS"/>
          <w:b/>
          <w:sz w:val="21"/>
          <w:szCs w:val="21"/>
        </w:rPr>
        <w:t>,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 s.r.o.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</w:t>
      </w:r>
      <w:r w:rsidR="00361682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 Čistá Plzeň servis s.r.o.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52E0C2CB" w14:textId="77777777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 w:rsidR="00361682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                          </w:t>
      </w:r>
      <w:r w:rsidR="0036168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Jiří Vlasák, jednatel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139DC44F" w14:textId="77777777" w:rsidR="002760F6" w:rsidRPr="002760F6" w:rsidRDefault="002760F6" w:rsidP="002760F6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680C705" w14:textId="77777777" w:rsidR="00361682" w:rsidRDefault="00361682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55FC6C3" w14:textId="77777777" w:rsidR="00361682" w:rsidRPr="00361682" w:rsidRDefault="00361682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658E64E" w14:textId="77777777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</w:t>
      </w:r>
      <w:r w:rsidR="00361682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Čistá Plzeň servis s.r.o.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B881269" w14:textId="77777777" w:rsidR="002760F6" w:rsidRPr="002760F6" w:rsidRDefault="002760F6" w:rsidP="002760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ab/>
      </w:r>
      <w:r w:rsidR="00361682">
        <w:rPr>
          <w:rFonts w:ascii="Arial Unicode MS" w:eastAsia="Arial Unicode MS" w:hAnsi="Arial Unicode MS" w:cs="Arial Unicode MS"/>
          <w:sz w:val="21"/>
          <w:szCs w:val="21"/>
        </w:rPr>
        <w:t xml:space="preserve">    </w:t>
      </w: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>Mgr. Pavel Thurnwald, jednatel</w:t>
      </w:r>
      <w:r w:rsidRPr="002760F6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7E36F1F9" w14:textId="77777777" w:rsidR="00A04B82" w:rsidRPr="002760F6" w:rsidRDefault="00A04B82" w:rsidP="002760F6">
      <w:pPr>
        <w:tabs>
          <w:tab w:val="left" w:pos="5103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760F6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sectPr w:rsidR="00A04B82" w:rsidRPr="002760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DCCC" w14:textId="77777777" w:rsidR="00662B4C" w:rsidRDefault="00662B4C" w:rsidP="00B87765">
      <w:pPr>
        <w:spacing w:after="0" w:line="240" w:lineRule="auto"/>
      </w:pPr>
      <w:r>
        <w:separator/>
      </w:r>
    </w:p>
  </w:endnote>
  <w:endnote w:type="continuationSeparator" w:id="0">
    <w:p w14:paraId="12C108C8" w14:textId="77777777" w:rsidR="00662B4C" w:rsidRDefault="00662B4C" w:rsidP="00B8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Unicode MS" w:eastAsia="Arial Unicode MS" w:hAnsi="Arial Unicode MS" w:cs="Arial Unicode MS"/>
        <w:sz w:val="18"/>
        <w:szCs w:val="18"/>
      </w:rPr>
      <w:id w:val="2641277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DA3BD" w14:textId="77777777" w:rsidR="00662B4C" w:rsidRPr="00B87765" w:rsidRDefault="00662B4C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776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6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B8776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6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F37D0" w14:textId="77777777" w:rsidR="00662B4C" w:rsidRDefault="00662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BCDD" w14:textId="77777777" w:rsidR="00662B4C" w:rsidRDefault="00662B4C" w:rsidP="00B87765">
      <w:pPr>
        <w:spacing w:after="0" w:line="240" w:lineRule="auto"/>
      </w:pPr>
      <w:r>
        <w:separator/>
      </w:r>
    </w:p>
  </w:footnote>
  <w:footnote w:type="continuationSeparator" w:id="0">
    <w:p w14:paraId="10EF4306" w14:textId="77777777" w:rsidR="00662B4C" w:rsidRDefault="00662B4C" w:rsidP="00B8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4DC"/>
    <w:multiLevelType w:val="hybridMultilevel"/>
    <w:tmpl w:val="3AD2F71E"/>
    <w:lvl w:ilvl="0" w:tplc="3F96CF4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05D78"/>
    <w:multiLevelType w:val="hybridMultilevel"/>
    <w:tmpl w:val="0A14E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5B34"/>
    <w:multiLevelType w:val="hybridMultilevel"/>
    <w:tmpl w:val="9C3AE0E8"/>
    <w:lvl w:ilvl="0" w:tplc="08D66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86DD6"/>
    <w:multiLevelType w:val="hybridMultilevel"/>
    <w:tmpl w:val="F68E5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4EC"/>
    <w:multiLevelType w:val="hybridMultilevel"/>
    <w:tmpl w:val="F370B662"/>
    <w:lvl w:ilvl="0" w:tplc="50FC2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4DC"/>
    <w:multiLevelType w:val="hybridMultilevel"/>
    <w:tmpl w:val="C1A43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7436"/>
    <w:multiLevelType w:val="hybridMultilevel"/>
    <w:tmpl w:val="0E3A4A86"/>
    <w:lvl w:ilvl="0" w:tplc="3974A1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B839CE"/>
    <w:multiLevelType w:val="hybridMultilevel"/>
    <w:tmpl w:val="576888E8"/>
    <w:lvl w:ilvl="0" w:tplc="96FA5A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BA7DC6"/>
    <w:multiLevelType w:val="hybridMultilevel"/>
    <w:tmpl w:val="D876C4FA"/>
    <w:lvl w:ilvl="0" w:tplc="C40A35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9C12B8"/>
    <w:multiLevelType w:val="hybridMultilevel"/>
    <w:tmpl w:val="8F624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DE7"/>
    <w:multiLevelType w:val="hybridMultilevel"/>
    <w:tmpl w:val="08A4FEC2"/>
    <w:lvl w:ilvl="0" w:tplc="115650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F1813"/>
    <w:multiLevelType w:val="hybridMultilevel"/>
    <w:tmpl w:val="D1B821C0"/>
    <w:lvl w:ilvl="0" w:tplc="4BF0AD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9C0771"/>
    <w:multiLevelType w:val="hybridMultilevel"/>
    <w:tmpl w:val="5FE66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A174C"/>
    <w:multiLevelType w:val="hybridMultilevel"/>
    <w:tmpl w:val="2078EDCE"/>
    <w:lvl w:ilvl="0" w:tplc="E188C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F453080"/>
    <w:multiLevelType w:val="hybridMultilevel"/>
    <w:tmpl w:val="B68238B2"/>
    <w:lvl w:ilvl="0" w:tplc="FBDCC6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6F47D48"/>
    <w:multiLevelType w:val="hybridMultilevel"/>
    <w:tmpl w:val="EA708E1E"/>
    <w:lvl w:ilvl="0" w:tplc="2F0AECE0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FD5DAC"/>
    <w:multiLevelType w:val="hybridMultilevel"/>
    <w:tmpl w:val="3320C2BE"/>
    <w:lvl w:ilvl="0" w:tplc="DF1E3E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4776F5"/>
    <w:multiLevelType w:val="hybridMultilevel"/>
    <w:tmpl w:val="BD90E4AC"/>
    <w:lvl w:ilvl="0" w:tplc="34AAAE5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1F3A2B"/>
    <w:multiLevelType w:val="hybridMultilevel"/>
    <w:tmpl w:val="AB38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F73F5"/>
    <w:multiLevelType w:val="hybridMultilevel"/>
    <w:tmpl w:val="08A4FEC2"/>
    <w:lvl w:ilvl="0" w:tplc="115650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876D9A"/>
    <w:multiLevelType w:val="hybridMultilevel"/>
    <w:tmpl w:val="C9F40E6E"/>
    <w:lvl w:ilvl="0" w:tplc="A7642D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BB10359"/>
    <w:multiLevelType w:val="hybridMultilevel"/>
    <w:tmpl w:val="5D98089A"/>
    <w:lvl w:ilvl="0" w:tplc="59080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00B77"/>
    <w:multiLevelType w:val="hybridMultilevel"/>
    <w:tmpl w:val="1BC80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17DFC"/>
    <w:multiLevelType w:val="hybridMultilevel"/>
    <w:tmpl w:val="200CD69A"/>
    <w:lvl w:ilvl="0" w:tplc="3C7CB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8682765">
    <w:abstractNumId w:val="9"/>
  </w:num>
  <w:num w:numId="2" w16cid:durableId="1001469258">
    <w:abstractNumId w:val="4"/>
  </w:num>
  <w:num w:numId="3" w16cid:durableId="275524355">
    <w:abstractNumId w:val="5"/>
  </w:num>
  <w:num w:numId="4" w16cid:durableId="72439003">
    <w:abstractNumId w:val="23"/>
  </w:num>
  <w:num w:numId="5" w16cid:durableId="467210124">
    <w:abstractNumId w:val="12"/>
  </w:num>
  <w:num w:numId="6" w16cid:durableId="389109351">
    <w:abstractNumId w:val="14"/>
  </w:num>
  <w:num w:numId="7" w16cid:durableId="1998458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6329061">
    <w:abstractNumId w:val="21"/>
  </w:num>
  <w:num w:numId="9" w16cid:durableId="1355032551">
    <w:abstractNumId w:val="8"/>
  </w:num>
  <w:num w:numId="10" w16cid:durableId="864488130">
    <w:abstractNumId w:val="2"/>
  </w:num>
  <w:num w:numId="11" w16cid:durableId="1199510417">
    <w:abstractNumId w:val="1"/>
  </w:num>
  <w:num w:numId="12" w16cid:durableId="219440019">
    <w:abstractNumId w:val="3"/>
  </w:num>
  <w:num w:numId="13" w16cid:durableId="1331906946">
    <w:abstractNumId w:val="6"/>
  </w:num>
  <w:num w:numId="14" w16cid:durableId="1050615533">
    <w:abstractNumId w:val="17"/>
  </w:num>
  <w:num w:numId="15" w16cid:durableId="235361816">
    <w:abstractNumId w:val="22"/>
  </w:num>
  <w:num w:numId="16" w16cid:durableId="521473800">
    <w:abstractNumId w:val="10"/>
  </w:num>
  <w:num w:numId="17" w16cid:durableId="1776244799">
    <w:abstractNumId w:val="0"/>
  </w:num>
  <w:num w:numId="18" w16cid:durableId="1320187746">
    <w:abstractNumId w:val="11"/>
  </w:num>
  <w:num w:numId="19" w16cid:durableId="2011987210">
    <w:abstractNumId w:val="13"/>
  </w:num>
  <w:num w:numId="20" w16cid:durableId="731003164">
    <w:abstractNumId w:val="24"/>
  </w:num>
  <w:num w:numId="21" w16cid:durableId="95757959">
    <w:abstractNumId w:val="7"/>
  </w:num>
  <w:num w:numId="22" w16cid:durableId="2081170578">
    <w:abstractNumId w:val="20"/>
  </w:num>
  <w:num w:numId="23" w16cid:durableId="434447752">
    <w:abstractNumId w:val="19"/>
  </w:num>
  <w:num w:numId="24" w16cid:durableId="338041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9507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33"/>
    <w:rsid w:val="00010D11"/>
    <w:rsid w:val="00044DC2"/>
    <w:rsid w:val="0004509D"/>
    <w:rsid w:val="00045324"/>
    <w:rsid w:val="00074687"/>
    <w:rsid w:val="0007746C"/>
    <w:rsid w:val="000974F2"/>
    <w:rsid w:val="000C2236"/>
    <w:rsid w:val="000C6FB2"/>
    <w:rsid w:val="000C74AC"/>
    <w:rsid w:val="000D3A25"/>
    <w:rsid w:val="000E4088"/>
    <w:rsid w:val="000F055F"/>
    <w:rsid w:val="001156CE"/>
    <w:rsid w:val="0013527B"/>
    <w:rsid w:val="00140189"/>
    <w:rsid w:val="00141FA7"/>
    <w:rsid w:val="00142CFF"/>
    <w:rsid w:val="001460B3"/>
    <w:rsid w:val="001A064B"/>
    <w:rsid w:val="001A3510"/>
    <w:rsid w:val="001C1654"/>
    <w:rsid w:val="001D2032"/>
    <w:rsid w:val="001E667A"/>
    <w:rsid w:val="00200341"/>
    <w:rsid w:val="00224580"/>
    <w:rsid w:val="00226BD5"/>
    <w:rsid w:val="00234A6C"/>
    <w:rsid w:val="002760F6"/>
    <w:rsid w:val="00284065"/>
    <w:rsid w:val="002A243D"/>
    <w:rsid w:val="002A7074"/>
    <w:rsid w:val="002B076A"/>
    <w:rsid w:val="002B7BFC"/>
    <w:rsid w:val="002D2A32"/>
    <w:rsid w:val="002E2C6D"/>
    <w:rsid w:val="002F6B68"/>
    <w:rsid w:val="002F715B"/>
    <w:rsid w:val="002F7C0F"/>
    <w:rsid w:val="00322AD8"/>
    <w:rsid w:val="0032430D"/>
    <w:rsid w:val="00342C92"/>
    <w:rsid w:val="003551A2"/>
    <w:rsid w:val="00361682"/>
    <w:rsid w:val="003942B7"/>
    <w:rsid w:val="003948CF"/>
    <w:rsid w:val="003E0D42"/>
    <w:rsid w:val="003E7276"/>
    <w:rsid w:val="003F65D4"/>
    <w:rsid w:val="00407276"/>
    <w:rsid w:val="00412FEB"/>
    <w:rsid w:val="00413959"/>
    <w:rsid w:val="004174DC"/>
    <w:rsid w:val="00430A3C"/>
    <w:rsid w:val="0047556D"/>
    <w:rsid w:val="00475C33"/>
    <w:rsid w:val="004946F7"/>
    <w:rsid w:val="004A66E8"/>
    <w:rsid w:val="004D1F4B"/>
    <w:rsid w:val="004D6621"/>
    <w:rsid w:val="004D6CF5"/>
    <w:rsid w:val="0050105D"/>
    <w:rsid w:val="00526EDD"/>
    <w:rsid w:val="00541E8B"/>
    <w:rsid w:val="005453D7"/>
    <w:rsid w:val="00546F44"/>
    <w:rsid w:val="0057116E"/>
    <w:rsid w:val="00575DCC"/>
    <w:rsid w:val="005830D4"/>
    <w:rsid w:val="00587981"/>
    <w:rsid w:val="00592C2F"/>
    <w:rsid w:val="0059709C"/>
    <w:rsid w:val="00597B90"/>
    <w:rsid w:val="005B572D"/>
    <w:rsid w:val="005D0156"/>
    <w:rsid w:val="005E18A1"/>
    <w:rsid w:val="005E2AC5"/>
    <w:rsid w:val="00601E6E"/>
    <w:rsid w:val="00613948"/>
    <w:rsid w:val="00613CB3"/>
    <w:rsid w:val="00642A32"/>
    <w:rsid w:val="00646C91"/>
    <w:rsid w:val="00655BFC"/>
    <w:rsid w:val="00662B4C"/>
    <w:rsid w:val="006A09D5"/>
    <w:rsid w:val="006C3F95"/>
    <w:rsid w:val="006D3AC7"/>
    <w:rsid w:val="006E1153"/>
    <w:rsid w:val="0071487B"/>
    <w:rsid w:val="00714B1D"/>
    <w:rsid w:val="00756137"/>
    <w:rsid w:val="00785CCC"/>
    <w:rsid w:val="007D2B74"/>
    <w:rsid w:val="00800B4A"/>
    <w:rsid w:val="00805193"/>
    <w:rsid w:val="008107A9"/>
    <w:rsid w:val="00811CB4"/>
    <w:rsid w:val="00865D45"/>
    <w:rsid w:val="008A1318"/>
    <w:rsid w:val="008A3C90"/>
    <w:rsid w:val="008A45F7"/>
    <w:rsid w:val="008E36AC"/>
    <w:rsid w:val="009011FA"/>
    <w:rsid w:val="00904C45"/>
    <w:rsid w:val="00911A33"/>
    <w:rsid w:val="00913F73"/>
    <w:rsid w:val="00930DBC"/>
    <w:rsid w:val="009418B3"/>
    <w:rsid w:val="00943C83"/>
    <w:rsid w:val="0095191A"/>
    <w:rsid w:val="00951BAB"/>
    <w:rsid w:val="00970120"/>
    <w:rsid w:val="009742CD"/>
    <w:rsid w:val="00986417"/>
    <w:rsid w:val="009C17FF"/>
    <w:rsid w:val="009D70BC"/>
    <w:rsid w:val="009E024E"/>
    <w:rsid w:val="00A04B82"/>
    <w:rsid w:val="00A12511"/>
    <w:rsid w:val="00A14C6D"/>
    <w:rsid w:val="00A24E9A"/>
    <w:rsid w:val="00A30976"/>
    <w:rsid w:val="00A44081"/>
    <w:rsid w:val="00A45DA9"/>
    <w:rsid w:val="00A55B27"/>
    <w:rsid w:val="00A6296D"/>
    <w:rsid w:val="00A810C1"/>
    <w:rsid w:val="00AA541E"/>
    <w:rsid w:val="00AC31D2"/>
    <w:rsid w:val="00AE7066"/>
    <w:rsid w:val="00B0274C"/>
    <w:rsid w:val="00B04793"/>
    <w:rsid w:val="00B13288"/>
    <w:rsid w:val="00B13C2F"/>
    <w:rsid w:val="00B2093D"/>
    <w:rsid w:val="00B24E76"/>
    <w:rsid w:val="00B25695"/>
    <w:rsid w:val="00B33BBA"/>
    <w:rsid w:val="00B44904"/>
    <w:rsid w:val="00B46FAF"/>
    <w:rsid w:val="00B50A86"/>
    <w:rsid w:val="00B514E3"/>
    <w:rsid w:val="00B84B19"/>
    <w:rsid w:val="00B87765"/>
    <w:rsid w:val="00BA4F91"/>
    <w:rsid w:val="00BE0E14"/>
    <w:rsid w:val="00BE61BC"/>
    <w:rsid w:val="00BF3F36"/>
    <w:rsid w:val="00C042F6"/>
    <w:rsid w:val="00C55250"/>
    <w:rsid w:val="00C85C71"/>
    <w:rsid w:val="00C87297"/>
    <w:rsid w:val="00CA74E9"/>
    <w:rsid w:val="00CB2DB8"/>
    <w:rsid w:val="00CB75F4"/>
    <w:rsid w:val="00CC6341"/>
    <w:rsid w:val="00CD6A43"/>
    <w:rsid w:val="00D00F5A"/>
    <w:rsid w:val="00D42F0C"/>
    <w:rsid w:val="00D50604"/>
    <w:rsid w:val="00D54126"/>
    <w:rsid w:val="00D57996"/>
    <w:rsid w:val="00D67A0C"/>
    <w:rsid w:val="00D9142C"/>
    <w:rsid w:val="00DA722A"/>
    <w:rsid w:val="00DB755E"/>
    <w:rsid w:val="00DC52C0"/>
    <w:rsid w:val="00DD3C19"/>
    <w:rsid w:val="00DF79CB"/>
    <w:rsid w:val="00E00A1F"/>
    <w:rsid w:val="00E04E94"/>
    <w:rsid w:val="00E12FCB"/>
    <w:rsid w:val="00E1639C"/>
    <w:rsid w:val="00E2198D"/>
    <w:rsid w:val="00E67A9B"/>
    <w:rsid w:val="00E77667"/>
    <w:rsid w:val="00E90674"/>
    <w:rsid w:val="00EC3101"/>
    <w:rsid w:val="00EC64A0"/>
    <w:rsid w:val="00EE1EB4"/>
    <w:rsid w:val="00EF3261"/>
    <w:rsid w:val="00F00B4A"/>
    <w:rsid w:val="00F1424A"/>
    <w:rsid w:val="00F24F56"/>
    <w:rsid w:val="00F71C8B"/>
    <w:rsid w:val="00F760C6"/>
    <w:rsid w:val="00FC04F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9212"/>
  <w15:chartTrackingRefBased/>
  <w15:docId w15:val="{473C87D5-0B5D-4EDB-9B35-584B0BD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A33"/>
    <w:pPr>
      <w:spacing w:after="200" w:line="276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2760F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A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7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8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765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F7C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E94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43C83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3C83"/>
    <w:rPr>
      <w:rFonts w:ascii="Times New Roman" w:eastAsia="Times New Roman" w:hAnsi="Times New Roman" w:cs="Times New Roman"/>
      <w:snapToGrid w:val="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760F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224580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A6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66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66E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6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FBD7-2656-4B26-8E75-A9F6556D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2207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2023-12-19T08:50:00Z</cp:lastPrinted>
  <dcterms:created xsi:type="dcterms:W3CDTF">2023-12-14T12:03:00Z</dcterms:created>
  <dcterms:modified xsi:type="dcterms:W3CDTF">2023-12-19T08:51:00Z</dcterms:modified>
</cp:coreProperties>
</file>