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8A35" w14:textId="01051650" w:rsidR="004B5DF4" w:rsidRPr="004B5DF4" w:rsidRDefault="004B5DF4" w:rsidP="004B5DF4">
      <w:pPr>
        <w:spacing w:line="240" w:lineRule="auto"/>
        <w:jc w:val="center"/>
        <w:rPr>
          <w:rFonts w:eastAsia="Times New Roman" w:cs="Arial"/>
          <w:b/>
          <w:lang w:eastAsia="cs-CZ"/>
        </w:rPr>
      </w:pPr>
      <w:r w:rsidRPr="004B5DF4">
        <w:rPr>
          <w:rFonts w:eastAsia="Times New Roman" w:cs="Arial"/>
          <w:b/>
          <w:lang w:eastAsia="cs-CZ"/>
        </w:rPr>
        <w:t xml:space="preserve">DÍLČÍ DOHODA Č. </w:t>
      </w:r>
      <w:r w:rsidR="00C93580">
        <w:rPr>
          <w:rFonts w:eastAsia="Times New Roman" w:cs="Arial"/>
          <w:b/>
          <w:lang w:eastAsia="cs-CZ"/>
        </w:rPr>
        <w:t>10</w:t>
      </w:r>
    </w:p>
    <w:p w14:paraId="5434EC7E" w14:textId="77777777" w:rsidR="004B5DF4" w:rsidRPr="004B5DF4" w:rsidRDefault="004B5DF4" w:rsidP="004B5DF4">
      <w:pPr>
        <w:spacing w:line="240" w:lineRule="auto"/>
        <w:jc w:val="center"/>
        <w:rPr>
          <w:rFonts w:eastAsia="Times New Roman" w:cs="Arial"/>
          <w:b/>
          <w:lang w:eastAsia="cs-CZ"/>
        </w:rPr>
      </w:pPr>
      <w:r w:rsidRPr="004B5DF4">
        <w:rPr>
          <w:rFonts w:eastAsia="Times New Roman" w:cs="Arial"/>
          <w:b/>
          <w:lang w:eastAsia="cs-CZ"/>
        </w:rPr>
        <w:t xml:space="preserve">K RÁMCOVÉ DOHODĚ </w:t>
      </w:r>
      <w:r w:rsidRPr="004B5DF4">
        <w:rPr>
          <w:rFonts w:eastAsia="Times New Roman" w:cs="Arial"/>
          <w:b/>
          <w:color w:val="000000"/>
          <w:lang w:eastAsia="cs-CZ"/>
        </w:rPr>
        <w:t>Vybudování Informačního systému pro veřejné služby a služby veřejné správy INSPIRE</w:t>
      </w:r>
    </w:p>
    <w:p w14:paraId="0D61846E" w14:textId="77777777" w:rsidR="004B5DF4" w:rsidRPr="004B5DF4" w:rsidRDefault="004B5DF4" w:rsidP="004B5DF4">
      <w:pPr>
        <w:spacing w:line="240" w:lineRule="auto"/>
        <w:jc w:val="center"/>
        <w:rPr>
          <w:rFonts w:eastAsia="Times New Roman" w:cs="Arial"/>
          <w:b/>
          <w:lang w:eastAsia="cs-CZ"/>
        </w:rPr>
      </w:pPr>
      <w:r w:rsidRPr="004B5DF4">
        <w:rPr>
          <w:rFonts w:eastAsia="Times New Roman" w:cs="Arial"/>
          <w:b/>
          <w:lang w:eastAsia="cs-CZ"/>
        </w:rPr>
        <w:t>V RÁMCI PROJEKTU</w:t>
      </w:r>
      <w:r w:rsidRPr="004B5DF4">
        <w:rPr>
          <w:rFonts w:eastAsia="Times New Roman" w:cs="Arial"/>
          <w:b/>
          <w:lang w:eastAsia="cs-CZ"/>
        </w:rPr>
        <w:br/>
      </w:r>
      <w:r w:rsidRPr="004B5DF4">
        <w:rPr>
          <w:rFonts w:eastAsia="Times New Roman" w:cs="Arial"/>
          <w:b/>
          <w:color w:val="000000"/>
          <w:lang w:eastAsia="cs-CZ"/>
        </w:rPr>
        <w:t>Vybudování Informačního systému pro veřejné služby a služby veřejné správy INSPIRE r. č.: CZ.06.3.05/0.0/0.0/16_034/0006311</w:t>
      </w:r>
    </w:p>
    <w:p w14:paraId="44D61B72" w14:textId="77777777" w:rsidR="004B5DF4" w:rsidRPr="004B5DF4" w:rsidRDefault="004B5DF4" w:rsidP="004B5DF4">
      <w:pPr>
        <w:spacing w:line="240" w:lineRule="auto"/>
        <w:jc w:val="center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 xml:space="preserve">(dále jen </w:t>
      </w:r>
      <w:r w:rsidRPr="004B5DF4">
        <w:rPr>
          <w:rFonts w:eastAsia="Times New Roman" w:cs="Arial"/>
          <w:b/>
          <w:lang w:eastAsia="cs-CZ"/>
        </w:rPr>
        <w:t>„Dílčí dohoda“</w:t>
      </w:r>
      <w:r w:rsidRPr="004B5DF4">
        <w:rPr>
          <w:rFonts w:eastAsia="Times New Roman" w:cs="Arial"/>
          <w:lang w:eastAsia="cs-CZ"/>
        </w:rPr>
        <w:t>)</w:t>
      </w:r>
    </w:p>
    <w:p w14:paraId="0AC97D4C" w14:textId="78DCCD9A" w:rsidR="00F50F00" w:rsidRDefault="004B5DF4" w:rsidP="004B5DF4">
      <w:pPr>
        <w:rPr>
          <w:rFonts w:eastAsia="Times New Roman" w:cs="Arial"/>
        </w:rPr>
      </w:pPr>
      <w:r w:rsidRPr="004B5DF4">
        <w:rPr>
          <w:rFonts w:eastAsia="Times New Roman" w:cs="Arial"/>
        </w:rPr>
        <w:t>evidovaná u Objednatele pod č.:</w:t>
      </w:r>
      <w:r w:rsidR="00A97416">
        <w:rPr>
          <w:rFonts w:eastAsia="Times New Roman" w:cs="Arial"/>
        </w:rPr>
        <w:t xml:space="preserve"> MV-149090-246/OFSP-2016</w:t>
      </w:r>
    </w:p>
    <w:p w14:paraId="781B1057" w14:textId="52A65F60" w:rsidR="0079778C" w:rsidRPr="004B5DF4" w:rsidRDefault="004B5DF4" w:rsidP="004B5DF4">
      <w:pPr>
        <w:rPr>
          <w:rFonts w:eastAsia="Calibri" w:cs="Arial"/>
        </w:rPr>
      </w:pPr>
      <w:r w:rsidRPr="00F96DD8">
        <w:rPr>
          <w:rFonts w:eastAsia="Times New Roman" w:cs="Arial"/>
        </w:rPr>
        <w:t>evidovaná u Zhotovitele pod č.:</w:t>
      </w:r>
      <w:r w:rsidR="0079778C">
        <w:rPr>
          <w:rFonts w:eastAsia="Times New Roman" w:cs="Arial"/>
        </w:rPr>
        <w:t xml:space="preserve"> </w:t>
      </w:r>
      <w:r w:rsidR="0079778C">
        <w:t>2023/239 NAKIT</w:t>
      </w:r>
    </w:p>
    <w:p w14:paraId="3957A3B4" w14:textId="77777777" w:rsidR="00F8202E" w:rsidRDefault="00F8202E" w:rsidP="00A97416">
      <w:pPr>
        <w:rPr>
          <w:rFonts w:eastAsia="Times New Roman" w:cs="Arial"/>
          <w:b/>
          <w:bCs/>
          <w:lang w:eastAsia="ar-SA"/>
        </w:rPr>
      </w:pPr>
    </w:p>
    <w:p w14:paraId="22F4A0FE" w14:textId="29082A9D" w:rsidR="004B5DF4" w:rsidRPr="004B5DF4" w:rsidRDefault="006F1859" w:rsidP="004B5DF4">
      <w:pPr>
        <w:tabs>
          <w:tab w:val="left" w:pos="708"/>
        </w:tabs>
        <w:suppressAutoHyphens/>
        <w:spacing w:line="240" w:lineRule="auto"/>
        <w:ind w:left="567" w:hanging="567"/>
        <w:jc w:val="center"/>
        <w:rPr>
          <w:rFonts w:eastAsia="Times New Roman" w:cs="Arial"/>
          <w:b/>
          <w:bCs/>
          <w:lang w:eastAsia="ar-SA"/>
        </w:rPr>
      </w:pPr>
      <w:r>
        <w:rPr>
          <w:rFonts w:eastAsia="Times New Roman" w:cs="Arial"/>
          <w:b/>
          <w:bCs/>
          <w:lang w:eastAsia="ar-SA"/>
        </w:rPr>
        <w:t>S</w:t>
      </w:r>
      <w:r w:rsidR="004B5DF4" w:rsidRPr="004B5DF4">
        <w:rPr>
          <w:rFonts w:eastAsia="Times New Roman" w:cs="Arial"/>
          <w:b/>
          <w:bCs/>
          <w:lang w:eastAsia="ar-SA"/>
        </w:rPr>
        <w:t>trany</w:t>
      </w:r>
      <w:r>
        <w:rPr>
          <w:rFonts w:eastAsia="Times New Roman" w:cs="Arial"/>
          <w:b/>
          <w:bCs/>
          <w:lang w:eastAsia="ar-SA"/>
        </w:rPr>
        <w:t xml:space="preserve"> dohody</w:t>
      </w:r>
    </w:p>
    <w:p w14:paraId="1DD0F223" w14:textId="77777777" w:rsidR="004B5DF4" w:rsidRPr="004B5DF4" w:rsidRDefault="004B5DF4" w:rsidP="004B5DF4">
      <w:pPr>
        <w:tabs>
          <w:tab w:val="left" w:pos="0"/>
          <w:tab w:val="left" w:pos="284"/>
          <w:tab w:val="left" w:pos="1701"/>
        </w:tabs>
        <w:spacing w:before="240"/>
        <w:ind w:left="567" w:hanging="567"/>
        <w:rPr>
          <w:rFonts w:eastAsia="Times New Roman" w:cs="Arial"/>
          <w:b/>
          <w:bCs/>
        </w:rPr>
      </w:pPr>
      <w:r w:rsidRPr="004B5DF4">
        <w:rPr>
          <w:rFonts w:eastAsia="Times New Roman" w:cs="Arial"/>
          <w:b/>
          <w:bCs/>
        </w:rPr>
        <w:t>Česká republika – Ministerstvo vnitra</w:t>
      </w:r>
    </w:p>
    <w:p w14:paraId="73E5F597" w14:textId="77777777" w:rsidR="004B5DF4" w:rsidRPr="004B5DF4" w:rsidRDefault="004B5DF4" w:rsidP="004B5DF4">
      <w:pPr>
        <w:tabs>
          <w:tab w:val="left" w:pos="2340"/>
        </w:tabs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 xml:space="preserve">Sídlo: 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  <w:t>Nad Štolou 936/3, 170 34 Praha 7</w:t>
      </w:r>
    </w:p>
    <w:p w14:paraId="580B89A1" w14:textId="77777777" w:rsidR="004B5DF4" w:rsidRPr="004B5DF4" w:rsidRDefault="004B5DF4" w:rsidP="004B5DF4">
      <w:pPr>
        <w:tabs>
          <w:tab w:val="left" w:pos="2340"/>
        </w:tabs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Kontaktní adresa: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  <w:t>nám. Hrdinů 1634/3, 140 21 Praha 4</w:t>
      </w:r>
    </w:p>
    <w:p w14:paraId="4DABD55B" w14:textId="77777777" w:rsidR="004B5DF4" w:rsidRPr="004B5DF4" w:rsidRDefault="004B5DF4" w:rsidP="004B5DF4">
      <w:pPr>
        <w:tabs>
          <w:tab w:val="left" w:pos="2340"/>
        </w:tabs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 xml:space="preserve">IČO: 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  <w:t>00007064</w:t>
      </w:r>
    </w:p>
    <w:p w14:paraId="5424E52A" w14:textId="77777777" w:rsidR="004B5DF4" w:rsidRPr="004B5DF4" w:rsidRDefault="004B5DF4" w:rsidP="004B5DF4">
      <w:pPr>
        <w:tabs>
          <w:tab w:val="left" w:pos="2340"/>
        </w:tabs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DIČ: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  <w:t>CZ00007064</w:t>
      </w:r>
    </w:p>
    <w:p w14:paraId="0ECA2BEF" w14:textId="4D4659B0" w:rsidR="00B04228" w:rsidRDefault="004B5DF4" w:rsidP="00B04228">
      <w:pPr>
        <w:tabs>
          <w:tab w:val="left" w:pos="2835"/>
        </w:tabs>
        <w:spacing w:before="0"/>
        <w:ind w:left="2832" w:hanging="2832"/>
        <w:rPr>
          <w:rFonts w:eastAsia="Times New Roman" w:cs="Arial"/>
        </w:rPr>
      </w:pPr>
      <w:r w:rsidRPr="004B5DF4">
        <w:rPr>
          <w:rFonts w:eastAsia="Times New Roman" w:cs="Arial"/>
          <w:lang w:eastAsia="cs-CZ"/>
        </w:rPr>
        <w:t>Zastoupená:</w:t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6A669C56" w14:textId="5796495C" w:rsidR="004B5DF4" w:rsidRPr="004B5DF4" w:rsidRDefault="004B5DF4" w:rsidP="004B5DF4">
      <w:pPr>
        <w:tabs>
          <w:tab w:val="left" w:pos="2835"/>
        </w:tabs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Bankovní spojení:</w:t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7D8884BA" w14:textId="1B60FB68" w:rsidR="004B5DF4" w:rsidRPr="004B5DF4" w:rsidRDefault="004B5DF4" w:rsidP="004B5DF4">
      <w:pPr>
        <w:tabs>
          <w:tab w:val="left" w:pos="2835"/>
        </w:tabs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Číslo účtu:</w:t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7958CC94" w14:textId="0622BC95" w:rsidR="004B5DF4" w:rsidRPr="004B5DF4" w:rsidRDefault="004B5DF4" w:rsidP="004B5DF4">
      <w:pPr>
        <w:autoSpaceDE w:val="0"/>
        <w:autoSpaceDN w:val="0"/>
        <w:adjustRightInd w:val="0"/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Kontaktní osoba: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7F0A927E" w14:textId="62E53F65" w:rsidR="00F91842" w:rsidRDefault="004B5DF4" w:rsidP="004B5DF4">
      <w:pPr>
        <w:autoSpaceDE w:val="0"/>
        <w:autoSpaceDN w:val="0"/>
        <w:adjustRightInd w:val="0"/>
        <w:spacing w:before="0"/>
        <w:ind w:left="567" w:hanging="567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Email: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35412BC7" w14:textId="03F5A1E8" w:rsidR="004B5DF4" w:rsidRPr="004B5DF4" w:rsidRDefault="004B5DF4" w:rsidP="004B5DF4">
      <w:pPr>
        <w:autoSpaceDE w:val="0"/>
        <w:autoSpaceDN w:val="0"/>
        <w:adjustRightInd w:val="0"/>
        <w:spacing w:before="0"/>
        <w:ind w:left="567" w:hanging="567"/>
        <w:rPr>
          <w:rFonts w:eastAsia="Times New Roman" w:cs="Arial"/>
          <w:lang w:eastAsia="cs-CZ"/>
        </w:rPr>
      </w:pPr>
      <w:r w:rsidRPr="00F91842">
        <w:rPr>
          <w:rFonts w:eastAsia="Times New Roman" w:cs="Arial"/>
          <w:lang w:eastAsia="cs-CZ"/>
        </w:rPr>
        <w:t>Telefon:</w:t>
      </w:r>
      <w:r w:rsidRPr="00F91842">
        <w:rPr>
          <w:rFonts w:eastAsia="Times New Roman" w:cs="Arial"/>
          <w:lang w:eastAsia="cs-CZ"/>
        </w:rPr>
        <w:tab/>
      </w:r>
      <w:r w:rsidRPr="00F91842">
        <w:rPr>
          <w:rFonts w:eastAsia="Times New Roman" w:cs="Arial"/>
          <w:lang w:eastAsia="cs-CZ"/>
        </w:rPr>
        <w:tab/>
      </w:r>
      <w:r w:rsidRPr="00F91842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203944C4" w14:textId="77777777" w:rsidR="004B5DF4" w:rsidRPr="004B5DF4" w:rsidRDefault="004B5DF4" w:rsidP="004B5DF4">
      <w:pPr>
        <w:tabs>
          <w:tab w:val="left" w:pos="2340"/>
        </w:tabs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(dále jen „</w:t>
      </w:r>
      <w:r w:rsidRPr="004B5DF4">
        <w:rPr>
          <w:rFonts w:eastAsia="Times New Roman" w:cs="Arial"/>
          <w:b/>
          <w:lang w:eastAsia="cs-CZ"/>
        </w:rPr>
        <w:t>O</w:t>
      </w:r>
      <w:r w:rsidRPr="004B5DF4">
        <w:rPr>
          <w:rFonts w:eastAsia="Times New Roman" w:cs="Arial"/>
          <w:b/>
          <w:bCs/>
          <w:lang w:eastAsia="cs-CZ"/>
        </w:rPr>
        <w:t>bjednatel</w:t>
      </w:r>
      <w:r w:rsidRPr="004B5DF4">
        <w:rPr>
          <w:rFonts w:eastAsia="Times New Roman" w:cs="Arial"/>
          <w:lang w:eastAsia="cs-CZ"/>
        </w:rPr>
        <w:t>“)</w:t>
      </w:r>
    </w:p>
    <w:p w14:paraId="500FD404" w14:textId="77777777" w:rsidR="004B5DF4" w:rsidRPr="004B5DF4" w:rsidRDefault="004B5DF4" w:rsidP="004B5DF4">
      <w:pPr>
        <w:ind w:left="567" w:hanging="567"/>
        <w:rPr>
          <w:rFonts w:eastAsia="Times New Roman" w:cs="Arial"/>
          <w:b/>
          <w:bCs/>
          <w:lang w:eastAsia="cs-CZ"/>
        </w:rPr>
      </w:pPr>
      <w:r w:rsidRPr="004B5DF4">
        <w:rPr>
          <w:rFonts w:eastAsia="Times New Roman" w:cs="Arial"/>
          <w:b/>
          <w:bCs/>
          <w:lang w:eastAsia="cs-CZ"/>
        </w:rPr>
        <w:t>a</w:t>
      </w:r>
    </w:p>
    <w:p w14:paraId="0A457BDE" w14:textId="77777777" w:rsidR="004B5DF4" w:rsidRPr="004B5DF4" w:rsidRDefault="004B5DF4" w:rsidP="004B5DF4">
      <w:pPr>
        <w:tabs>
          <w:tab w:val="left" w:pos="0"/>
          <w:tab w:val="left" w:pos="284"/>
          <w:tab w:val="left" w:pos="1701"/>
        </w:tabs>
        <w:ind w:left="567" w:hanging="567"/>
        <w:rPr>
          <w:rFonts w:eastAsia="Times New Roman" w:cs="Arial"/>
          <w:b/>
          <w:bCs/>
        </w:rPr>
      </w:pPr>
      <w:r w:rsidRPr="004B5DF4">
        <w:rPr>
          <w:rFonts w:eastAsia="Times New Roman" w:cs="Arial"/>
          <w:b/>
          <w:bCs/>
        </w:rPr>
        <w:t>Národní agentura pro komunikační a informační technologie, s. p.</w:t>
      </w:r>
    </w:p>
    <w:p w14:paraId="26ADA208" w14:textId="77777777" w:rsidR="004B5DF4" w:rsidRPr="004B5DF4" w:rsidRDefault="004B5DF4" w:rsidP="004B5DF4">
      <w:pPr>
        <w:spacing w:before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B5DF4">
        <w:rPr>
          <w:rFonts w:eastAsia="Times New Roman" w:cs="Arial"/>
          <w:lang w:eastAsia="cs-CZ"/>
        </w:rPr>
        <w:t>Zapsán v obchodním rejstříku vedeném Městským soudem v Praze oddíl A, vložka 77322</w:t>
      </w:r>
    </w:p>
    <w:p w14:paraId="6E2DD117" w14:textId="77777777" w:rsidR="004B5DF4" w:rsidRPr="004B5DF4" w:rsidRDefault="004B5DF4" w:rsidP="004B5DF4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Sídlo: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  <w:t>Kodaňská 1441/46, Vršovice, 101 00 Praha 10</w:t>
      </w:r>
    </w:p>
    <w:p w14:paraId="6EBB446E" w14:textId="77777777" w:rsidR="004B5DF4" w:rsidRPr="004B5DF4" w:rsidRDefault="004B5DF4" w:rsidP="004B5DF4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IČO: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  <w:t>04767543</w:t>
      </w:r>
    </w:p>
    <w:p w14:paraId="213D3184" w14:textId="77777777" w:rsidR="004B5DF4" w:rsidRPr="004B5DF4" w:rsidRDefault="004B5DF4" w:rsidP="004B5DF4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DIČ: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  <w:t>CZ04767543</w:t>
      </w:r>
    </w:p>
    <w:p w14:paraId="43A14AAD" w14:textId="1B1DB8E4" w:rsidR="004B5DF4" w:rsidRPr="004B5DF4" w:rsidRDefault="004B5DF4" w:rsidP="004B5DF4">
      <w:pPr>
        <w:tabs>
          <w:tab w:val="left" w:pos="2340"/>
        </w:tabs>
        <w:spacing w:before="0"/>
        <w:ind w:left="2832" w:hanging="2832"/>
        <w:contextualSpacing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Zastoupená: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1DBAB1C1" w14:textId="35036AEC" w:rsidR="00D46B76" w:rsidRDefault="004B5DF4" w:rsidP="00D46B76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Bankovní spojení:</w:t>
      </w:r>
      <w:r w:rsidR="00D46B76">
        <w:rPr>
          <w:rFonts w:eastAsia="Times New Roman" w:cs="Arial"/>
          <w:lang w:eastAsia="cs-CZ"/>
        </w:rPr>
        <w:tab/>
      </w:r>
      <w:r w:rsidR="00D46B76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  <w:r w:rsidR="00A97416" w:rsidRPr="004B5DF4">
        <w:rPr>
          <w:rFonts w:eastAsia="Times New Roman" w:cs="Arial"/>
          <w:lang w:eastAsia="cs-CZ"/>
        </w:rPr>
        <w:t xml:space="preserve"> </w:t>
      </w:r>
    </w:p>
    <w:p w14:paraId="1E4209F7" w14:textId="657C3FA9" w:rsidR="004B5DF4" w:rsidRPr="004B5DF4" w:rsidRDefault="00D46B76" w:rsidP="004B5DF4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Číslo účtu:</w:t>
      </w:r>
      <w:r w:rsidR="004B5DF4" w:rsidRPr="004B5DF4">
        <w:rPr>
          <w:rFonts w:eastAsia="Times New Roman" w:cs="Arial"/>
          <w:lang w:eastAsia="cs-CZ"/>
        </w:rPr>
        <w:tab/>
      </w:r>
      <w:r w:rsidR="004B5DF4"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  <w:r w:rsidR="00A97416" w:rsidRPr="00A97416">
        <w:rPr>
          <w:rFonts w:eastAsia="Times New Roman" w:cs="Arial"/>
          <w:highlight w:val="lightGray"/>
          <w:lang w:eastAsia="cs-CZ"/>
        </w:rPr>
        <w:t xml:space="preserve"> </w:t>
      </w:r>
    </w:p>
    <w:p w14:paraId="6684FBD4" w14:textId="0CB85F37" w:rsidR="004B5DF4" w:rsidRPr="004B5DF4" w:rsidRDefault="004B5DF4" w:rsidP="004B5DF4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Kontaktní osoba: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16BDEF93" w14:textId="08180D2E" w:rsidR="004B5DF4" w:rsidRPr="004B5DF4" w:rsidRDefault="004B5DF4" w:rsidP="004B5DF4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 w:rsidRPr="00953E31">
        <w:rPr>
          <w:rFonts w:eastAsia="Times New Roman" w:cs="Arial"/>
          <w:lang w:eastAsia="cs-CZ"/>
        </w:rPr>
        <w:t>Email:</w:t>
      </w:r>
      <w:r w:rsidRPr="00953E31">
        <w:rPr>
          <w:rFonts w:eastAsia="Times New Roman" w:cs="Arial"/>
          <w:lang w:eastAsia="cs-CZ"/>
        </w:rPr>
        <w:tab/>
      </w:r>
      <w:r w:rsidRPr="00953E31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0F9CA209" w14:textId="2BD2925E" w:rsidR="004B5DF4" w:rsidRPr="004B5DF4" w:rsidRDefault="004B5DF4" w:rsidP="004B5DF4">
      <w:pPr>
        <w:tabs>
          <w:tab w:val="left" w:pos="2340"/>
        </w:tabs>
        <w:spacing w:before="0"/>
        <w:ind w:left="567" w:hanging="567"/>
        <w:contextualSpacing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Telefon:</w:t>
      </w:r>
      <w:r w:rsidRPr="004B5DF4">
        <w:rPr>
          <w:rFonts w:eastAsia="Times New Roman" w:cs="Arial"/>
          <w:lang w:eastAsia="cs-CZ"/>
        </w:rPr>
        <w:tab/>
      </w:r>
      <w:r w:rsidRPr="004B5DF4">
        <w:rPr>
          <w:rFonts w:eastAsia="Times New Roman" w:cs="Arial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0700FFA0" w14:textId="3B80608D" w:rsidR="004B5DF4" w:rsidRPr="004B5DF4" w:rsidRDefault="004B5DF4" w:rsidP="004B5DF4">
      <w:pPr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(dále jen „</w:t>
      </w:r>
      <w:r w:rsidRPr="004B5DF4">
        <w:rPr>
          <w:rFonts w:eastAsia="Times New Roman" w:cs="Arial"/>
          <w:b/>
          <w:bCs/>
          <w:lang w:eastAsia="cs-CZ"/>
        </w:rPr>
        <w:t>Zhotovitel</w:t>
      </w:r>
      <w:r w:rsidRPr="004B5DF4">
        <w:rPr>
          <w:rFonts w:eastAsia="Times New Roman" w:cs="Arial"/>
          <w:lang w:eastAsia="cs-CZ"/>
        </w:rPr>
        <w:t>“</w:t>
      </w:r>
      <w:r w:rsidR="00F3400D">
        <w:rPr>
          <w:rFonts w:eastAsia="Times New Roman" w:cs="Arial"/>
          <w:lang w:eastAsia="cs-CZ"/>
        </w:rPr>
        <w:t xml:space="preserve"> nebo „</w:t>
      </w:r>
      <w:r w:rsidR="00F3400D" w:rsidRPr="00463940">
        <w:rPr>
          <w:rFonts w:eastAsia="Times New Roman" w:cs="Arial"/>
          <w:b/>
          <w:bCs/>
          <w:lang w:eastAsia="cs-CZ"/>
        </w:rPr>
        <w:t>NAKIT</w:t>
      </w:r>
      <w:r w:rsidR="00F3400D">
        <w:rPr>
          <w:rFonts w:eastAsia="Times New Roman" w:cs="Arial"/>
          <w:lang w:eastAsia="cs-CZ"/>
        </w:rPr>
        <w:t>“</w:t>
      </w:r>
      <w:r w:rsidRPr="004B5DF4">
        <w:rPr>
          <w:rFonts w:eastAsia="Times New Roman" w:cs="Arial"/>
          <w:lang w:eastAsia="cs-CZ"/>
        </w:rPr>
        <w:t>)</w:t>
      </w:r>
    </w:p>
    <w:p w14:paraId="4C5B541F" w14:textId="5AC829D6" w:rsidR="004B5DF4" w:rsidRPr="004B5DF4" w:rsidRDefault="004B5DF4" w:rsidP="004B5DF4">
      <w:pPr>
        <w:tabs>
          <w:tab w:val="left" w:pos="0"/>
          <w:tab w:val="left" w:pos="284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89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>(dále také jednotlivě jako „</w:t>
      </w:r>
      <w:r w:rsidR="008D54F4">
        <w:rPr>
          <w:rFonts w:eastAsia="Times New Roman" w:cs="Arial"/>
          <w:b/>
          <w:lang w:eastAsia="cs-CZ"/>
        </w:rPr>
        <w:t>Strana dohody</w:t>
      </w:r>
      <w:r w:rsidRPr="004B5DF4">
        <w:rPr>
          <w:rFonts w:eastAsia="Times New Roman" w:cs="Arial"/>
          <w:lang w:eastAsia="cs-CZ"/>
        </w:rPr>
        <w:t>“ nebo společně jako „</w:t>
      </w:r>
      <w:r w:rsidR="008D54F4">
        <w:rPr>
          <w:rFonts w:eastAsia="Times New Roman" w:cs="Arial"/>
          <w:b/>
          <w:lang w:eastAsia="cs-CZ"/>
        </w:rPr>
        <w:t>Strany dohody</w:t>
      </w:r>
      <w:r w:rsidRPr="004B5DF4">
        <w:rPr>
          <w:rFonts w:eastAsia="Times New Roman" w:cs="Arial"/>
          <w:lang w:eastAsia="cs-CZ"/>
        </w:rPr>
        <w:t xml:space="preserve">“) </w:t>
      </w:r>
    </w:p>
    <w:p w14:paraId="66B70F89" w14:textId="00F4DD9C" w:rsidR="004B5DF4" w:rsidRDefault="004B5DF4" w:rsidP="004B5DF4">
      <w:pPr>
        <w:spacing w:before="240"/>
        <w:rPr>
          <w:rFonts w:eastAsia="Times New Roman" w:cs="Arial"/>
          <w:lang w:eastAsia="cs-CZ"/>
        </w:rPr>
      </w:pPr>
      <w:r w:rsidRPr="004B5DF4">
        <w:rPr>
          <w:rFonts w:eastAsia="Times New Roman" w:cs="Arial"/>
          <w:lang w:eastAsia="cs-CZ"/>
        </w:rPr>
        <w:t xml:space="preserve">uzavírají v souladu s ustanovením § 1746 odst. 2 zákona č. 89/2012 Sb., </w:t>
      </w:r>
      <w:r w:rsidR="009247C0">
        <w:rPr>
          <w:rFonts w:eastAsia="Times New Roman" w:cs="Arial"/>
          <w:lang w:eastAsia="cs-CZ"/>
        </w:rPr>
        <w:t>občansk</w:t>
      </w:r>
      <w:r w:rsidR="008C1091">
        <w:rPr>
          <w:rFonts w:eastAsia="Times New Roman" w:cs="Arial"/>
          <w:lang w:eastAsia="cs-CZ"/>
        </w:rPr>
        <w:t>ého</w:t>
      </w:r>
      <w:r w:rsidR="009247C0">
        <w:rPr>
          <w:rFonts w:eastAsia="Times New Roman" w:cs="Arial"/>
          <w:lang w:eastAsia="cs-CZ"/>
        </w:rPr>
        <w:t xml:space="preserve"> zákoník</w:t>
      </w:r>
      <w:r w:rsidR="008C1091">
        <w:rPr>
          <w:rFonts w:eastAsia="Times New Roman" w:cs="Arial"/>
          <w:lang w:eastAsia="cs-CZ"/>
        </w:rPr>
        <w:t>u</w:t>
      </w:r>
      <w:r w:rsidRPr="004B5DF4">
        <w:rPr>
          <w:rFonts w:eastAsia="Times New Roman" w:cs="Arial"/>
          <w:lang w:eastAsia="cs-CZ"/>
        </w:rPr>
        <w:t>, ve znění pozdějších předpisů (dále jen „</w:t>
      </w:r>
      <w:r w:rsidR="008C1091" w:rsidRPr="008C1091">
        <w:rPr>
          <w:rFonts w:eastAsia="Times New Roman" w:cs="Arial"/>
          <w:b/>
          <w:bCs/>
          <w:lang w:eastAsia="cs-CZ"/>
        </w:rPr>
        <w:t>O</w:t>
      </w:r>
      <w:r w:rsidRPr="008C1091">
        <w:rPr>
          <w:rFonts w:eastAsia="Times New Roman" w:cs="Arial"/>
          <w:b/>
          <w:bCs/>
          <w:lang w:eastAsia="cs-CZ"/>
        </w:rPr>
        <w:t>bčanský zákoník</w:t>
      </w:r>
      <w:r w:rsidRPr="004B5DF4">
        <w:rPr>
          <w:rFonts w:eastAsia="Times New Roman" w:cs="Arial"/>
          <w:lang w:eastAsia="cs-CZ"/>
        </w:rPr>
        <w:t>“), tuto Dílčí dohodu</w:t>
      </w:r>
      <w:r w:rsidR="00F67A1E">
        <w:rPr>
          <w:rFonts w:eastAsia="Times New Roman" w:cs="Arial"/>
          <w:lang w:eastAsia="cs-CZ"/>
        </w:rPr>
        <w:t>.</w:t>
      </w:r>
    </w:p>
    <w:p w14:paraId="17DBF8A7" w14:textId="77777777" w:rsidR="00040D96" w:rsidRPr="004B5DF4" w:rsidRDefault="00040D96" w:rsidP="004B5DF4">
      <w:pPr>
        <w:spacing w:before="240"/>
        <w:rPr>
          <w:rFonts w:eastAsia="Times New Roman" w:cs="Arial"/>
          <w:lang w:eastAsia="cs-CZ"/>
        </w:rPr>
      </w:pPr>
    </w:p>
    <w:p w14:paraId="6CDED823" w14:textId="77777777" w:rsidR="004B5DF4" w:rsidRPr="004B5DF4" w:rsidRDefault="004B5DF4" w:rsidP="004B5DF4">
      <w:pPr>
        <w:keepNext/>
        <w:keepLines/>
        <w:spacing w:before="240"/>
        <w:jc w:val="center"/>
        <w:outlineLvl w:val="0"/>
        <w:rPr>
          <w:rFonts w:eastAsia="Times New Roman" w:cs="Times New Roman"/>
          <w:b/>
          <w:szCs w:val="32"/>
        </w:rPr>
      </w:pPr>
      <w:r w:rsidRPr="004B5DF4">
        <w:rPr>
          <w:rFonts w:eastAsia="Times New Roman" w:cs="Times New Roman"/>
          <w:b/>
          <w:szCs w:val="32"/>
        </w:rPr>
        <w:lastRenderedPageBreak/>
        <w:t>Preambule</w:t>
      </w:r>
    </w:p>
    <w:p w14:paraId="3C169CC5" w14:textId="25B9F2AA" w:rsidR="004B5DF4" w:rsidRDefault="004B5DF4" w:rsidP="004B5DF4">
      <w:pPr>
        <w:spacing w:before="240"/>
        <w:ind w:right="-11"/>
        <w:rPr>
          <w:rFonts w:eastAsia="Calibri" w:cs="Arial"/>
        </w:rPr>
      </w:pPr>
      <w:r w:rsidRPr="004B5DF4">
        <w:rPr>
          <w:rFonts w:eastAsia="Calibri" w:cs="Arial"/>
        </w:rPr>
        <w:t>Tato Dílčí dohoda je uzavřena za účelem dodání dílčí části plnění dle Rámcové dohody Vybudování Informačního systému pro veřejné služby a služby veřejné správy INSPIRE</w:t>
      </w:r>
      <w:r w:rsidR="00664CB3">
        <w:rPr>
          <w:rFonts w:eastAsia="Calibri" w:cs="Arial"/>
        </w:rPr>
        <w:t xml:space="preserve"> </w:t>
      </w:r>
      <w:r w:rsidR="00473A8F">
        <w:rPr>
          <w:rFonts w:eastAsia="Calibri" w:cs="Arial"/>
        </w:rPr>
        <w:t xml:space="preserve">ve znění dodatků č. 1 až 7 </w:t>
      </w:r>
      <w:r w:rsidR="00664CB3">
        <w:rPr>
          <w:rFonts w:eastAsia="Calibri" w:cs="Arial"/>
        </w:rPr>
        <w:t>(dále jen „</w:t>
      </w:r>
      <w:r w:rsidR="00F237B8" w:rsidRPr="0039177F">
        <w:rPr>
          <w:rFonts w:eastAsia="Calibri" w:cs="Arial"/>
          <w:b/>
          <w:bCs/>
        </w:rPr>
        <w:t>S</w:t>
      </w:r>
      <w:r w:rsidR="00664CB3" w:rsidRPr="0039177F">
        <w:rPr>
          <w:rFonts w:eastAsia="Calibri" w:cs="Arial"/>
          <w:b/>
          <w:bCs/>
        </w:rPr>
        <w:t>ystém</w:t>
      </w:r>
      <w:r w:rsidR="00664CB3">
        <w:rPr>
          <w:rFonts w:eastAsia="Calibri" w:cs="Arial"/>
        </w:rPr>
        <w:t>“)</w:t>
      </w:r>
      <w:r w:rsidR="0039177F">
        <w:rPr>
          <w:rFonts w:eastAsia="Calibri" w:cs="Arial"/>
        </w:rPr>
        <w:t>.</w:t>
      </w:r>
    </w:p>
    <w:p w14:paraId="4A88F454" w14:textId="77777777" w:rsidR="00664838" w:rsidRPr="00664838" w:rsidRDefault="00664838" w:rsidP="00A00D49">
      <w:pPr>
        <w:pStyle w:val="Nadpis1"/>
        <w:numPr>
          <w:ilvl w:val="0"/>
          <w:numId w:val="1"/>
        </w:numPr>
      </w:pPr>
      <w:r w:rsidRPr="00664838">
        <w:t>Předmět Dílčí dohody</w:t>
      </w:r>
    </w:p>
    <w:p w14:paraId="246F50D9" w14:textId="11A06119" w:rsidR="00AB6FCF" w:rsidRDefault="00AB6FCF" w:rsidP="00A00D49">
      <w:pPr>
        <w:pStyle w:val="Bezmezer"/>
        <w:numPr>
          <w:ilvl w:val="1"/>
          <w:numId w:val="2"/>
        </w:numPr>
      </w:pPr>
      <w:r>
        <w:t xml:space="preserve">Předmětem této Dílčí dohody je zajištění </w:t>
      </w:r>
      <w:r w:rsidR="00F5197F">
        <w:t>ověřovacího</w:t>
      </w:r>
      <w:r>
        <w:t xml:space="preserve"> provozu Systému v produkčním prostředí </w:t>
      </w:r>
      <w:r w:rsidR="00575DD4">
        <w:t>v rozsahu technické specifikace, která tvoří Přílohu č. 1</w:t>
      </w:r>
      <w:r w:rsidR="00F86223">
        <w:t xml:space="preserve"> této</w:t>
      </w:r>
      <w:r w:rsidR="00575DD4">
        <w:t xml:space="preserve"> </w:t>
      </w:r>
      <w:r w:rsidR="0002096D">
        <w:t xml:space="preserve">Dílčí dohody </w:t>
      </w:r>
      <w:r w:rsidR="006F5F18">
        <w:t>(dále jen „</w:t>
      </w:r>
      <w:r w:rsidR="006F5F18" w:rsidRPr="006F5F18">
        <w:rPr>
          <w:b/>
          <w:bCs/>
        </w:rPr>
        <w:t>Předmět plnění</w:t>
      </w:r>
      <w:r w:rsidR="006F5F18">
        <w:t>“)</w:t>
      </w:r>
      <w:r w:rsidR="0002096D">
        <w:t>.</w:t>
      </w:r>
    </w:p>
    <w:p w14:paraId="729921B6" w14:textId="3DAA81D2" w:rsidR="00A158C3" w:rsidRPr="00A158C3" w:rsidRDefault="00A158C3" w:rsidP="00F57862">
      <w:pPr>
        <w:pStyle w:val="Bezmezer"/>
        <w:numPr>
          <w:ilvl w:val="1"/>
          <w:numId w:val="2"/>
        </w:numPr>
      </w:pPr>
      <w:r w:rsidRPr="00A158C3">
        <w:t>Zhotovitel se podpisem této Dílčí dohody zavazuje poskytovat Objednateli Předmět</w:t>
      </w:r>
      <w:r>
        <w:t xml:space="preserve"> </w:t>
      </w:r>
      <w:r w:rsidRPr="00A158C3">
        <w:t>plnění specifikovaný v odst. 1.1 tohoto článku Dílčí dohody za podmínek uvedených</w:t>
      </w:r>
      <w:r>
        <w:t xml:space="preserve"> </w:t>
      </w:r>
      <w:r w:rsidRPr="00A158C3">
        <w:t>v této Dílčí dohodě a Rámcové dohodě.</w:t>
      </w:r>
    </w:p>
    <w:p w14:paraId="054A6FF6" w14:textId="3A6065E9" w:rsidR="00664838" w:rsidRPr="00664838" w:rsidRDefault="00664838" w:rsidP="00A00D49">
      <w:pPr>
        <w:pStyle w:val="Bezmezer"/>
        <w:numPr>
          <w:ilvl w:val="1"/>
          <w:numId w:val="2"/>
        </w:numPr>
      </w:pPr>
      <w:r w:rsidRPr="00664838">
        <w:t xml:space="preserve">Objednatel se zavazuje </w:t>
      </w:r>
      <w:r w:rsidR="007911E2">
        <w:t>řádně poskytnutý Předmět plnění převzít</w:t>
      </w:r>
      <w:r w:rsidRPr="00664838">
        <w:t>.</w:t>
      </w:r>
    </w:p>
    <w:p w14:paraId="13B5DD67" w14:textId="66AF9393" w:rsidR="00664838" w:rsidRPr="00664838" w:rsidRDefault="00664838" w:rsidP="00A00D49">
      <w:pPr>
        <w:pStyle w:val="Nadpis1"/>
        <w:numPr>
          <w:ilvl w:val="0"/>
          <w:numId w:val="2"/>
        </w:numPr>
      </w:pPr>
      <w:r w:rsidRPr="00664838">
        <w:t>Dílčí cena</w:t>
      </w:r>
    </w:p>
    <w:p w14:paraId="42FB7243" w14:textId="77777777" w:rsidR="00A00D49" w:rsidRPr="00A00D49" w:rsidRDefault="00A00D49" w:rsidP="00A00D49">
      <w:pPr>
        <w:pStyle w:val="Odstavecseseznamem"/>
        <w:numPr>
          <w:ilvl w:val="0"/>
          <w:numId w:val="4"/>
        </w:numPr>
        <w:contextualSpacing w:val="0"/>
        <w:rPr>
          <w:vanish/>
        </w:rPr>
      </w:pPr>
    </w:p>
    <w:p w14:paraId="435B56DF" w14:textId="77777777" w:rsidR="00A00D49" w:rsidRPr="00A00D49" w:rsidRDefault="00A00D49" w:rsidP="00A00D49">
      <w:pPr>
        <w:pStyle w:val="Odstavecseseznamem"/>
        <w:numPr>
          <w:ilvl w:val="0"/>
          <w:numId w:val="4"/>
        </w:numPr>
        <w:contextualSpacing w:val="0"/>
        <w:rPr>
          <w:vanish/>
        </w:rPr>
      </w:pPr>
    </w:p>
    <w:p w14:paraId="425FEDEB" w14:textId="3AD1B2A7" w:rsidR="00FA3355" w:rsidRDefault="00FA3355" w:rsidP="00A00D49">
      <w:pPr>
        <w:pStyle w:val="Bezmezer"/>
        <w:numPr>
          <w:ilvl w:val="1"/>
          <w:numId w:val="4"/>
        </w:numPr>
      </w:pPr>
      <w:r>
        <w:t xml:space="preserve">Strany dohody sjednávají, že Zhotovitel poskytne Objednateli Předmět plnění dle této Dílčí </w:t>
      </w:r>
      <w:r w:rsidR="00A3384F">
        <w:t>dohody</w:t>
      </w:r>
      <w:r>
        <w:t xml:space="preserve"> bezúplatně.</w:t>
      </w:r>
    </w:p>
    <w:p w14:paraId="7A901CA7" w14:textId="77777777" w:rsidR="00664838" w:rsidRPr="00BA1365" w:rsidRDefault="00664838" w:rsidP="00A00D49">
      <w:pPr>
        <w:pStyle w:val="Nadpis1"/>
        <w:numPr>
          <w:ilvl w:val="0"/>
          <w:numId w:val="4"/>
        </w:numPr>
      </w:pPr>
      <w:r w:rsidRPr="00BA1365">
        <w:t>Doba, místo a podmínky plnění</w:t>
      </w:r>
    </w:p>
    <w:p w14:paraId="05A82443" w14:textId="77777777" w:rsidR="00A00D49" w:rsidRPr="00BA1365" w:rsidRDefault="00A00D49" w:rsidP="00A00D49">
      <w:pPr>
        <w:pStyle w:val="Odstavecseseznamem"/>
        <w:numPr>
          <w:ilvl w:val="0"/>
          <w:numId w:val="6"/>
        </w:numPr>
        <w:contextualSpacing w:val="0"/>
        <w:rPr>
          <w:vanish/>
        </w:rPr>
      </w:pPr>
    </w:p>
    <w:p w14:paraId="1E83DFE8" w14:textId="77777777" w:rsidR="00A00D49" w:rsidRPr="00BA1365" w:rsidRDefault="00A00D49" w:rsidP="00A00D49">
      <w:pPr>
        <w:pStyle w:val="Odstavecseseznamem"/>
        <w:numPr>
          <w:ilvl w:val="0"/>
          <w:numId w:val="6"/>
        </w:numPr>
        <w:contextualSpacing w:val="0"/>
        <w:rPr>
          <w:vanish/>
        </w:rPr>
      </w:pPr>
    </w:p>
    <w:p w14:paraId="44317849" w14:textId="77777777" w:rsidR="00A00D49" w:rsidRPr="00BA1365" w:rsidRDefault="00A00D49" w:rsidP="00A00D49">
      <w:pPr>
        <w:pStyle w:val="Odstavecseseznamem"/>
        <w:numPr>
          <w:ilvl w:val="0"/>
          <w:numId w:val="6"/>
        </w:numPr>
        <w:contextualSpacing w:val="0"/>
        <w:rPr>
          <w:vanish/>
        </w:rPr>
      </w:pPr>
    </w:p>
    <w:p w14:paraId="13A7D94E" w14:textId="1D498C0D" w:rsidR="00B25374" w:rsidRDefault="00C41DA6" w:rsidP="00BB1A80">
      <w:pPr>
        <w:pStyle w:val="Bezmezer"/>
        <w:numPr>
          <w:ilvl w:val="1"/>
          <w:numId w:val="6"/>
        </w:numPr>
      </w:pPr>
      <w:r>
        <w:t xml:space="preserve">Zhotovitel je povinen začít poskytovat Předmět plnění </w:t>
      </w:r>
      <w:r w:rsidR="00AF52D4">
        <w:t xml:space="preserve">specifikovaný v čl. 1 odst. 1.1 této Dílčí dohody </w:t>
      </w:r>
      <w:r w:rsidR="005F57A2">
        <w:t xml:space="preserve">ode dne její účinnosti. Tato Dílčí dohoda se uzavírá na dobu určitou do 31. </w:t>
      </w:r>
      <w:r w:rsidR="00011472">
        <w:t>1</w:t>
      </w:r>
      <w:r w:rsidR="005F57A2">
        <w:t>. 202</w:t>
      </w:r>
      <w:r w:rsidR="00011472">
        <w:t>4</w:t>
      </w:r>
      <w:r w:rsidR="00D11163">
        <w:t>.</w:t>
      </w:r>
    </w:p>
    <w:p w14:paraId="27FB15E0" w14:textId="15C866BB" w:rsidR="00F914E5" w:rsidRDefault="009F0932" w:rsidP="00420FC2">
      <w:pPr>
        <w:pStyle w:val="Bezmezer"/>
        <w:numPr>
          <w:ilvl w:val="1"/>
          <w:numId w:val="6"/>
        </w:numPr>
      </w:pPr>
      <w:r>
        <w:t>Strany dohody deklarují,</w:t>
      </w:r>
      <w:r w:rsidR="001A3571">
        <w:t xml:space="preserve"> že </w:t>
      </w:r>
      <w:r w:rsidR="00ED5155">
        <w:t>ke dni uzavření této Dílčí dohody</w:t>
      </w:r>
      <w:r w:rsidR="00411594">
        <w:t xml:space="preserve"> probíhají </w:t>
      </w:r>
      <w:r w:rsidR="006147B3">
        <w:t>přípravné práce</w:t>
      </w:r>
      <w:r w:rsidR="00880257">
        <w:t xml:space="preserve">, jejichž </w:t>
      </w:r>
      <w:r w:rsidR="00ED5155">
        <w:t>výsledkem bude</w:t>
      </w:r>
      <w:r w:rsidR="00880257">
        <w:t xml:space="preserve"> přechod </w:t>
      </w:r>
      <w:r w:rsidR="00AB2E44">
        <w:t>správ</w:t>
      </w:r>
      <w:r w:rsidR="00880257">
        <w:t>y</w:t>
      </w:r>
      <w:r w:rsidR="001A3571">
        <w:t xml:space="preserve"> Systému</w:t>
      </w:r>
      <w:r w:rsidR="00AB2E44">
        <w:t xml:space="preserve"> z</w:t>
      </w:r>
      <w:r w:rsidR="00482935">
        <w:t xml:space="preserve"> Objednatele na </w:t>
      </w:r>
      <w:r w:rsidR="00FF51AE">
        <w:t>Českou republiku – Digitální</w:t>
      </w:r>
      <w:r w:rsidR="0098299D">
        <w:t xml:space="preserve"> a informační</w:t>
      </w:r>
      <w:r w:rsidR="00FF51AE">
        <w:t xml:space="preserve"> agenturu</w:t>
      </w:r>
      <w:r w:rsidR="0098299D">
        <w:t xml:space="preserve">, </w:t>
      </w:r>
      <w:r w:rsidR="004C465F">
        <w:t xml:space="preserve">se sídlem: Na Vápence, </w:t>
      </w:r>
      <w:r w:rsidR="009A048C">
        <w:t>915/14</w:t>
      </w:r>
      <w:r w:rsidR="003F31B6">
        <w:t xml:space="preserve">, 130 00 Praha 3, IČO: </w:t>
      </w:r>
      <w:r w:rsidR="00B90993">
        <w:t>1765</w:t>
      </w:r>
      <w:r w:rsidR="004505A6">
        <w:t>1921 (dále jen „</w:t>
      </w:r>
      <w:r w:rsidR="004505A6" w:rsidRPr="008D57C3">
        <w:rPr>
          <w:b/>
          <w:bCs/>
        </w:rPr>
        <w:t>DIA</w:t>
      </w:r>
      <w:r w:rsidR="004505A6">
        <w:t>“)</w:t>
      </w:r>
      <w:r w:rsidR="00ED5155">
        <w:t xml:space="preserve">, a taktéž uzavření smlouvy mezi DIA a Zhotovitelem na provoz Systému. </w:t>
      </w:r>
      <w:r w:rsidR="00D908C4">
        <w:t>V případě, že dojde</w:t>
      </w:r>
      <w:r w:rsidR="00B46F84" w:rsidRPr="00B46F84">
        <w:t xml:space="preserve"> </w:t>
      </w:r>
      <w:r w:rsidR="00B46F84">
        <w:t>k uzavření provozní smlouvy dle předchozí věty</w:t>
      </w:r>
      <w:r w:rsidR="00D908C4">
        <w:t xml:space="preserve"> v průběhu trvání této Dílčí dohody</w:t>
      </w:r>
      <w:r w:rsidR="008B346F">
        <w:t xml:space="preserve">, zavazují se Strany dohody jednat o </w:t>
      </w:r>
      <w:r w:rsidR="0058459D">
        <w:t>předčasném ukončení této Dílčí dohody, tj. o změně termínu dle odst. 3.1 této Dílčí dohody</w:t>
      </w:r>
      <w:r w:rsidR="00E25428">
        <w:t>.</w:t>
      </w:r>
    </w:p>
    <w:p w14:paraId="11DD3A45" w14:textId="51F46608" w:rsidR="00B25374" w:rsidRDefault="00664838" w:rsidP="00F22597">
      <w:pPr>
        <w:pStyle w:val="Bezmezer"/>
        <w:numPr>
          <w:ilvl w:val="1"/>
          <w:numId w:val="6"/>
        </w:numPr>
      </w:pPr>
      <w:r w:rsidRPr="00664838">
        <w:t>Místem plnění je</w:t>
      </w:r>
      <w:r w:rsidR="00975DF0">
        <w:t xml:space="preserve"> celá</w:t>
      </w:r>
      <w:r w:rsidRPr="00664838">
        <w:t xml:space="preserve"> Česká republika</w:t>
      </w:r>
      <w:r w:rsidR="00975DF0">
        <w:t>.</w:t>
      </w:r>
    </w:p>
    <w:p w14:paraId="2BA44911" w14:textId="7B7BBCC2" w:rsidR="00F76F0B" w:rsidRDefault="00F76F0B" w:rsidP="004113B5">
      <w:pPr>
        <w:pStyle w:val="Bezmezer"/>
        <w:numPr>
          <w:ilvl w:val="1"/>
          <w:numId w:val="6"/>
        </w:numPr>
      </w:pPr>
      <w:r w:rsidRPr="00F76F0B">
        <w:t>Akceptaci</w:t>
      </w:r>
      <w:r>
        <w:t xml:space="preserve"> </w:t>
      </w:r>
      <w:r w:rsidRPr="00F76F0B">
        <w:t>Předmětu plnění stvrdí Objednatel podpisem Akceptačního protokolu, jehož přílohou</w:t>
      </w:r>
      <w:r>
        <w:t xml:space="preserve"> </w:t>
      </w:r>
      <w:r w:rsidRPr="00F76F0B">
        <w:t xml:space="preserve">bude Report za sledované období. Akceptační protokol je přílohou č. </w:t>
      </w:r>
      <w:r>
        <w:t>1</w:t>
      </w:r>
      <w:r w:rsidRPr="00F76F0B">
        <w:t xml:space="preserve"> této Dílčí</w:t>
      </w:r>
      <w:r>
        <w:t xml:space="preserve"> </w:t>
      </w:r>
      <w:r w:rsidRPr="00F76F0B">
        <w:t>dohody.</w:t>
      </w:r>
    </w:p>
    <w:p w14:paraId="31FE72B2" w14:textId="77777777" w:rsidR="00664838" w:rsidRPr="00664838" w:rsidRDefault="00664838" w:rsidP="00F76F0B">
      <w:pPr>
        <w:pStyle w:val="Nadpis1"/>
        <w:numPr>
          <w:ilvl w:val="0"/>
          <w:numId w:val="6"/>
        </w:numPr>
      </w:pPr>
      <w:r w:rsidRPr="00664838">
        <w:t>Součinnost a kontaktní osoby</w:t>
      </w:r>
    </w:p>
    <w:p w14:paraId="0982E019" w14:textId="77777777" w:rsidR="00A00D49" w:rsidRPr="00A00D49" w:rsidRDefault="00A00D49" w:rsidP="00A00D49">
      <w:pPr>
        <w:pStyle w:val="Odstavecseseznamem"/>
        <w:numPr>
          <w:ilvl w:val="0"/>
          <w:numId w:val="8"/>
        </w:numPr>
        <w:contextualSpacing w:val="0"/>
        <w:rPr>
          <w:vanish/>
        </w:rPr>
      </w:pPr>
    </w:p>
    <w:p w14:paraId="7CDBD2DB" w14:textId="77777777" w:rsidR="00A00D49" w:rsidRPr="00A00D49" w:rsidRDefault="00A00D49" w:rsidP="00A00D49">
      <w:pPr>
        <w:pStyle w:val="Odstavecseseznamem"/>
        <w:numPr>
          <w:ilvl w:val="0"/>
          <w:numId w:val="8"/>
        </w:numPr>
        <w:contextualSpacing w:val="0"/>
        <w:rPr>
          <w:vanish/>
        </w:rPr>
      </w:pPr>
    </w:p>
    <w:p w14:paraId="1835091B" w14:textId="77777777" w:rsidR="00A00D49" w:rsidRPr="00A00D49" w:rsidRDefault="00A00D49" w:rsidP="00A00D49">
      <w:pPr>
        <w:pStyle w:val="Odstavecseseznamem"/>
        <w:numPr>
          <w:ilvl w:val="0"/>
          <w:numId w:val="8"/>
        </w:numPr>
        <w:contextualSpacing w:val="0"/>
        <w:rPr>
          <w:vanish/>
        </w:rPr>
      </w:pPr>
    </w:p>
    <w:p w14:paraId="45AB19DD" w14:textId="77777777" w:rsidR="00A00D49" w:rsidRPr="00A00D49" w:rsidRDefault="00A00D49" w:rsidP="00A00D49">
      <w:pPr>
        <w:pStyle w:val="Odstavecseseznamem"/>
        <w:numPr>
          <w:ilvl w:val="0"/>
          <w:numId w:val="8"/>
        </w:numPr>
        <w:contextualSpacing w:val="0"/>
        <w:rPr>
          <w:vanish/>
        </w:rPr>
      </w:pPr>
    </w:p>
    <w:p w14:paraId="500C10F2" w14:textId="4BA2892A" w:rsidR="00664838" w:rsidRPr="00664838" w:rsidRDefault="006F1859" w:rsidP="00A00D49">
      <w:pPr>
        <w:pStyle w:val="Bezmezer"/>
        <w:numPr>
          <w:ilvl w:val="1"/>
          <w:numId w:val="8"/>
        </w:numPr>
      </w:pPr>
      <w:r>
        <w:t>S</w:t>
      </w:r>
      <w:r w:rsidRPr="00664838">
        <w:t>trany</w:t>
      </w:r>
      <w:r>
        <w:t xml:space="preserve"> dohody</w:t>
      </w:r>
      <w:r w:rsidRPr="00664838">
        <w:t xml:space="preserve"> </w:t>
      </w:r>
      <w:r w:rsidR="00664838" w:rsidRPr="00664838">
        <w:t>se zavazují vzájemně spolupracovat a poskytovat si součinnost nezbytnou pro řádné plnění této Dílčí dohody.</w:t>
      </w:r>
    </w:p>
    <w:p w14:paraId="79F2EFB3" w14:textId="5BF30FB4" w:rsidR="00664838" w:rsidRPr="00664838" w:rsidRDefault="00664838" w:rsidP="00A00D49">
      <w:pPr>
        <w:pStyle w:val="Bezmezer"/>
        <w:numPr>
          <w:ilvl w:val="1"/>
          <w:numId w:val="8"/>
        </w:numPr>
      </w:pPr>
      <w:r w:rsidRPr="00664838">
        <w:t xml:space="preserve">V případě prokazatelného prodlení povinné </w:t>
      </w:r>
      <w:r w:rsidR="006F1859">
        <w:t>S</w:t>
      </w:r>
      <w:r w:rsidR="006F1859" w:rsidRPr="00664838">
        <w:t>trany</w:t>
      </w:r>
      <w:r w:rsidR="006F1859">
        <w:t xml:space="preserve"> dohody</w:t>
      </w:r>
      <w:r w:rsidR="006F1859" w:rsidRPr="00664838">
        <w:t xml:space="preserve"> </w:t>
      </w:r>
      <w:r w:rsidRPr="00664838">
        <w:t xml:space="preserve">s poskytnutím součinnosti není oprávněná </w:t>
      </w:r>
      <w:r w:rsidR="006F1859">
        <w:t>S</w:t>
      </w:r>
      <w:r w:rsidR="006F1859" w:rsidRPr="00664838">
        <w:t>tran</w:t>
      </w:r>
      <w:r w:rsidR="006F1859">
        <w:t>a dohody</w:t>
      </w:r>
      <w:r w:rsidR="006F1859" w:rsidRPr="00664838">
        <w:t xml:space="preserve"> </w:t>
      </w:r>
      <w:r w:rsidRPr="00664838">
        <w:t xml:space="preserve">v prodlení s plněním svých závazků podle </w:t>
      </w:r>
      <w:r w:rsidR="003A4D21">
        <w:t xml:space="preserve">této </w:t>
      </w:r>
      <w:r w:rsidRPr="00664838">
        <w:t xml:space="preserve">Dílčí dohody a veškeré lhůty se o prokazatelné prodlení povinné </w:t>
      </w:r>
      <w:r w:rsidR="006F1859">
        <w:t>S</w:t>
      </w:r>
      <w:r w:rsidR="006F1859" w:rsidRPr="00664838">
        <w:t>trany</w:t>
      </w:r>
      <w:r w:rsidR="006F1859">
        <w:t xml:space="preserve"> dohody</w:t>
      </w:r>
      <w:r w:rsidR="006F1859" w:rsidRPr="00664838">
        <w:t xml:space="preserve"> </w:t>
      </w:r>
      <w:r w:rsidRPr="00664838">
        <w:t xml:space="preserve">prodlužují; to neplatí v případech, kdy prodlení v poskytnutí součinnosti ze strany povinné </w:t>
      </w:r>
      <w:r w:rsidR="006F1859">
        <w:t>S</w:t>
      </w:r>
      <w:r w:rsidR="006F1859" w:rsidRPr="00664838">
        <w:t>trany</w:t>
      </w:r>
      <w:r w:rsidR="006F1859">
        <w:t xml:space="preserve"> dohody</w:t>
      </w:r>
      <w:r w:rsidR="006F1859" w:rsidRPr="00664838">
        <w:t xml:space="preserve"> </w:t>
      </w:r>
      <w:r w:rsidRPr="00664838">
        <w:t>bylo vyvoláno v přímé příčinné souvislosti s prokazatelným neposkytnutím součinnosti nebo prodlením ze strany oprávněné. Objednatel je</w:t>
      </w:r>
      <w:r w:rsidR="00912536">
        <w:t> </w:t>
      </w:r>
      <w:r w:rsidRPr="00664838">
        <w:t>v</w:t>
      </w:r>
      <w:r w:rsidR="003A4D21">
        <w:t> </w:t>
      </w:r>
      <w:r w:rsidRPr="00664838">
        <w:t xml:space="preserve">prodlení, jestliže v </w:t>
      </w:r>
      <w:r w:rsidRPr="00664838">
        <w:lastRenderedPageBreak/>
        <w:t>rozporu se svými povinnostmi vyplývajícími ze smluvního vztahu, nepřevezme řádně nabídnuté plnění nebo neposkytne součinnost nutnou k</w:t>
      </w:r>
      <w:r w:rsidR="00912536">
        <w:t> </w:t>
      </w:r>
      <w:r w:rsidRPr="00664838">
        <w:t>tomu, aby Zhotovitel mohl splnit svůj závazek. Zhotovitel je v prodlení, jestliže v</w:t>
      </w:r>
      <w:r w:rsidR="00912536">
        <w:t> </w:t>
      </w:r>
      <w:r w:rsidRPr="00664838">
        <w:t>rozporu se svými povinnostmi vyplývajícími ze smluvního vztahu, nepředá řádné a</w:t>
      </w:r>
      <w:r w:rsidR="00912536">
        <w:t> </w:t>
      </w:r>
      <w:r w:rsidRPr="00664838">
        <w:t>bezvadné plnění nebo neposkytne součinnost nutnou k tomu, aby Objednatel mohl splnit svůj závazek.</w:t>
      </w:r>
    </w:p>
    <w:p w14:paraId="6CEE9B9A" w14:textId="4472A268" w:rsidR="00A67482" w:rsidRPr="00664838" w:rsidRDefault="00A67482" w:rsidP="00F504A5">
      <w:pPr>
        <w:pStyle w:val="Bezmezer"/>
        <w:numPr>
          <w:ilvl w:val="1"/>
          <w:numId w:val="8"/>
        </w:numPr>
      </w:pPr>
      <w:r w:rsidRPr="00664838">
        <w:t>Kontaktní osob</w:t>
      </w:r>
      <w:r w:rsidR="00430ECA">
        <w:t>y</w:t>
      </w:r>
      <w:r>
        <w:t xml:space="preserve"> Stran dohody pro účely této Dílčí dohody jsou</w:t>
      </w:r>
      <w:r w:rsidR="001C46FF">
        <w:t xml:space="preserve"> uvedeny </w:t>
      </w:r>
      <w:r w:rsidR="00430ECA">
        <w:t>v záhlaví této Dílčí dohody.</w:t>
      </w:r>
      <w:r w:rsidR="00F504A5">
        <w:t xml:space="preserve"> Kontaktní o</w:t>
      </w:r>
      <w:r>
        <w:t xml:space="preserve">soby </w:t>
      </w:r>
      <w:r w:rsidR="00F504A5">
        <w:t>uvedené v záhlaví této Dílčí dohody</w:t>
      </w:r>
      <w:r>
        <w:t xml:space="preserve"> jsou mj. oprávněny stvrdit </w:t>
      </w:r>
      <w:r w:rsidR="00F504A5">
        <w:t>poskytnutí Předmětu plnění</w:t>
      </w:r>
      <w:r>
        <w:t>, podepisovat akceptační dokumenty a vznášet požadavky k</w:t>
      </w:r>
      <w:r w:rsidR="00F504A5">
        <w:t> poskytování Předmětu plnění</w:t>
      </w:r>
      <w:r>
        <w:t>.</w:t>
      </w:r>
    </w:p>
    <w:p w14:paraId="151ABDD1" w14:textId="43B28D7D" w:rsidR="00664838" w:rsidRPr="00664838" w:rsidRDefault="00664838" w:rsidP="00A5589A">
      <w:pPr>
        <w:pStyle w:val="Nadpis1"/>
        <w:numPr>
          <w:ilvl w:val="0"/>
          <w:numId w:val="8"/>
        </w:numPr>
      </w:pPr>
      <w:r w:rsidRPr="00664838">
        <w:t>Práva duševního vlastnictví</w:t>
      </w:r>
    </w:p>
    <w:p w14:paraId="02525BDA" w14:textId="77777777" w:rsidR="009C4716" w:rsidRPr="009C4716" w:rsidRDefault="009C4716" w:rsidP="009C4716">
      <w:pPr>
        <w:pStyle w:val="Odstavecseseznamem"/>
        <w:numPr>
          <w:ilvl w:val="0"/>
          <w:numId w:val="12"/>
        </w:numPr>
        <w:contextualSpacing w:val="0"/>
        <w:rPr>
          <w:vanish/>
        </w:rPr>
      </w:pPr>
    </w:p>
    <w:p w14:paraId="39FB6D57" w14:textId="77777777" w:rsidR="009C4716" w:rsidRPr="009C4716" w:rsidRDefault="009C4716" w:rsidP="009C4716">
      <w:pPr>
        <w:pStyle w:val="Odstavecseseznamem"/>
        <w:numPr>
          <w:ilvl w:val="0"/>
          <w:numId w:val="12"/>
        </w:numPr>
        <w:contextualSpacing w:val="0"/>
        <w:rPr>
          <w:vanish/>
        </w:rPr>
      </w:pPr>
    </w:p>
    <w:p w14:paraId="41F55BC3" w14:textId="77777777" w:rsidR="009C4716" w:rsidRPr="009C4716" w:rsidRDefault="009C4716" w:rsidP="009C4716">
      <w:pPr>
        <w:pStyle w:val="Odstavecseseznamem"/>
        <w:numPr>
          <w:ilvl w:val="0"/>
          <w:numId w:val="12"/>
        </w:numPr>
        <w:contextualSpacing w:val="0"/>
        <w:rPr>
          <w:vanish/>
        </w:rPr>
      </w:pPr>
    </w:p>
    <w:p w14:paraId="0853FFE4" w14:textId="77777777" w:rsidR="009C4716" w:rsidRPr="009C4716" w:rsidRDefault="009C4716" w:rsidP="009C4716">
      <w:pPr>
        <w:pStyle w:val="Odstavecseseznamem"/>
        <w:numPr>
          <w:ilvl w:val="0"/>
          <w:numId w:val="12"/>
        </w:numPr>
        <w:contextualSpacing w:val="0"/>
        <w:rPr>
          <w:vanish/>
        </w:rPr>
      </w:pPr>
    </w:p>
    <w:p w14:paraId="3DCAE4B3" w14:textId="77777777" w:rsidR="009C4716" w:rsidRPr="009C4716" w:rsidRDefault="009C4716" w:rsidP="009C4716">
      <w:pPr>
        <w:pStyle w:val="Odstavecseseznamem"/>
        <w:numPr>
          <w:ilvl w:val="0"/>
          <w:numId w:val="12"/>
        </w:numPr>
        <w:contextualSpacing w:val="0"/>
        <w:rPr>
          <w:vanish/>
        </w:rPr>
      </w:pPr>
    </w:p>
    <w:p w14:paraId="4551E5FE" w14:textId="198C7E02" w:rsidR="00664838" w:rsidRPr="00664838" w:rsidRDefault="00664838" w:rsidP="009C4716">
      <w:pPr>
        <w:pStyle w:val="Bezmezer"/>
        <w:numPr>
          <w:ilvl w:val="1"/>
          <w:numId w:val="12"/>
        </w:numPr>
      </w:pPr>
      <w:r w:rsidRPr="00664838">
        <w:t>Práva duševního vlastnictví se řídí plně podmínkami sjednanými v Rámcové dohodě.</w:t>
      </w:r>
    </w:p>
    <w:p w14:paraId="5CE33E9F" w14:textId="186F3A84" w:rsidR="00664838" w:rsidRPr="00664838" w:rsidRDefault="00664838" w:rsidP="00011472">
      <w:pPr>
        <w:pStyle w:val="Nadpis1"/>
        <w:numPr>
          <w:ilvl w:val="0"/>
          <w:numId w:val="8"/>
        </w:numPr>
      </w:pPr>
      <w:r w:rsidRPr="00664838">
        <w:t>Odpovědnost za škodu</w:t>
      </w:r>
    </w:p>
    <w:p w14:paraId="39406AC2" w14:textId="77777777" w:rsidR="00011472" w:rsidRPr="00011472" w:rsidRDefault="00011472" w:rsidP="00011472">
      <w:pPr>
        <w:pStyle w:val="Odstavecseseznamem"/>
        <w:numPr>
          <w:ilvl w:val="0"/>
          <w:numId w:val="16"/>
        </w:numPr>
        <w:contextualSpacing w:val="0"/>
        <w:rPr>
          <w:vanish/>
        </w:rPr>
      </w:pPr>
    </w:p>
    <w:p w14:paraId="4B927B31" w14:textId="77777777" w:rsidR="00011472" w:rsidRPr="00011472" w:rsidRDefault="00011472" w:rsidP="00011472">
      <w:pPr>
        <w:pStyle w:val="Odstavecseseznamem"/>
        <w:numPr>
          <w:ilvl w:val="0"/>
          <w:numId w:val="16"/>
        </w:numPr>
        <w:contextualSpacing w:val="0"/>
        <w:rPr>
          <w:vanish/>
        </w:rPr>
      </w:pPr>
    </w:p>
    <w:p w14:paraId="2F4B13FF" w14:textId="77777777" w:rsidR="00011472" w:rsidRPr="00011472" w:rsidRDefault="00011472" w:rsidP="00011472">
      <w:pPr>
        <w:pStyle w:val="Odstavecseseznamem"/>
        <w:numPr>
          <w:ilvl w:val="0"/>
          <w:numId w:val="16"/>
        </w:numPr>
        <w:contextualSpacing w:val="0"/>
        <w:rPr>
          <w:vanish/>
        </w:rPr>
      </w:pPr>
    </w:p>
    <w:p w14:paraId="489E07B0" w14:textId="77777777" w:rsidR="00011472" w:rsidRPr="00011472" w:rsidRDefault="00011472" w:rsidP="00011472">
      <w:pPr>
        <w:pStyle w:val="Odstavecseseznamem"/>
        <w:numPr>
          <w:ilvl w:val="0"/>
          <w:numId w:val="16"/>
        </w:numPr>
        <w:contextualSpacing w:val="0"/>
        <w:rPr>
          <w:vanish/>
        </w:rPr>
      </w:pPr>
    </w:p>
    <w:p w14:paraId="33B4513E" w14:textId="77777777" w:rsidR="00011472" w:rsidRPr="00011472" w:rsidRDefault="00011472" w:rsidP="00011472">
      <w:pPr>
        <w:pStyle w:val="Odstavecseseznamem"/>
        <w:numPr>
          <w:ilvl w:val="0"/>
          <w:numId w:val="16"/>
        </w:numPr>
        <w:contextualSpacing w:val="0"/>
        <w:rPr>
          <w:vanish/>
        </w:rPr>
      </w:pPr>
    </w:p>
    <w:p w14:paraId="5F7495C5" w14:textId="77777777" w:rsidR="00011472" w:rsidRPr="00011472" w:rsidRDefault="00011472" w:rsidP="00011472">
      <w:pPr>
        <w:pStyle w:val="Odstavecseseznamem"/>
        <w:numPr>
          <w:ilvl w:val="0"/>
          <w:numId w:val="16"/>
        </w:numPr>
        <w:contextualSpacing w:val="0"/>
        <w:rPr>
          <w:vanish/>
        </w:rPr>
      </w:pPr>
    </w:p>
    <w:p w14:paraId="4D0A5081" w14:textId="279D7A96" w:rsidR="00664838" w:rsidRPr="00664838" w:rsidRDefault="00664838" w:rsidP="00011472">
      <w:pPr>
        <w:pStyle w:val="Bezmezer"/>
        <w:numPr>
          <w:ilvl w:val="1"/>
          <w:numId w:val="16"/>
        </w:numPr>
      </w:pPr>
      <w:r w:rsidRPr="00664838">
        <w:t>Škody, které prokazatelně vzniknou v příčinné souvislosti s činností Zhotovitele či</w:t>
      </w:r>
      <w:r w:rsidR="00912536">
        <w:t> </w:t>
      </w:r>
      <w:r w:rsidRPr="00664838">
        <w:t xml:space="preserve">Objednatele dle této Dílčí dohody, se </w:t>
      </w:r>
      <w:r w:rsidR="00DC1A3E">
        <w:t>S</w:t>
      </w:r>
      <w:r w:rsidR="00DC1A3E" w:rsidRPr="00664838">
        <w:t>trany</w:t>
      </w:r>
      <w:r w:rsidR="00DC1A3E">
        <w:t xml:space="preserve"> dohody</w:t>
      </w:r>
      <w:r w:rsidR="00DC1A3E" w:rsidRPr="00664838">
        <w:t xml:space="preserve"> </w:t>
      </w:r>
      <w:r w:rsidRPr="00664838">
        <w:t xml:space="preserve">zavazují zaplatit druhé </w:t>
      </w:r>
      <w:r w:rsidR="00DC1A3E">
        <w:t>S</w:t>
      </w:r>
      <w:r w:rsidR="00DC1A3E" w:rsidRPr="00664838">
        <w:t>tran</w:t>
      </w:r>
      <w:r w:rsidR="00DC1A3E">
        <w:t>ě dohody</w:t>
      </w:r>
      <w:r w:rsidRPr="00664838">
        <w:t xml:space="preserve"> na základě samostatné faktury mající náležitosti daňového dokladu. Podmínky pro uplatnění nároku na náhradu škody a vystavení příslušného daňového dokladu se řídí ustanoveními Rámcové dohody.</w:t>
      </w:r>
    </w:p>
    <w:p w14:paraId="1FBF39E9" w14:textId="1C6A7834" w:rsidR="00664838" w:rsidRPr="00664838" w:rsidRDefault="00664838" w:rsidP="00FB2BE8">
      <w:pPr>
        <w:pStyle w:val="Bezmezer"/>
        <w:numPr>
          <w:ilvl w:val="1"/>
          <w:numId w:val="16"/>
        </w:numPr>
      </w:pPr>
      <w:r w:rsidRPr="00664838">
        <w:t xml:space="preserve">Žádná </w:t>
      </w:r>
      <w:r w:rsidR="00DC1A3E">
        <w:t>S</w:t>
      </w:r>
      <w:r w:rsidR="00DC1A3E" w:rsidRPr="00664838">
        <w:t>trany</w:t>
      </w:r>
      <w:r w:rsidR="00DC1A3E">
        <w:t xml:space="preserve"> dohody</w:t>
      </w:r>
      <w:r w:rsidR="00DC1A3E" w:rsidRPr="00664838">
        <w:t xml:space="preserve"> </w:t>
      </w:r>
      <w:r w:rsidRPr="00664838">
        <w:t xml:space="preserve">není povinna k náhradě škody, prokáže-li, že jí ve splnění povinnosti z této Dílčí dohody nebo Rámcové dohody dočasně nebo trvale zabránila mimořádná nepředvídatelná a nepřekonatelná překážka vzniklá nezávisle na její vůli ve smyslu ustanovení § 2913 odst. 2 </w:t>
      </w:r>
      <w:r w:rsidR="008C1091">
        <w:t>O</w:t>
      </w:r>
      <w:r w:rsidRPr="00664838">
        <w:t xml:space="preserve">bčanského zákoníku. </w:t>
      </w:r>
      <w:r w:rsidR="00DC1A3E">
        <w:t>S</w:t>
      </w:r>
      <w:r w:rsidR="00DC1A3E" w:rsidRPr="00664838">
        <w:t>trany</w:t>
      </w:r>
      <w:r w:rsidR="00DC1A3E">
        <w:t xml:space="preserve"> dohody</w:t>
      </w:r>
      <w:r w:rsidR="00DC1A3E" w:rsidRPr="00664838">
        <w:t xml:space="preserve"> </w:t>
      </w:r>
      <w:r w:rsidRPr="00664838">
        <w:t>se</w:t>
      </w:r>
      <w:r w:rsidR="00912536">
        <w:t> </w:t>
      </w:r>
      <w:r w:rsidRPr="00664838">
        <w:t>zavazují k vyvinutí maximálního úsilí k odvrácení a překonání výše uvedených překážek.</w:t>
      </w:r>
    </w:p>
    <w:p w14:paraId="061D5958" w14:textId="4A021C71" w:rsidR="00664838" w:rsidRPr="00664838" w:rsidRDefault="00DC1A3E" w:rsidP="00FB2BE8">
      <w:pPr>
        <w:pStyle w:val="Bezmezer"/>
        <w:numPr>
          <w:ilvl w:val="1"/>
          <w:numId w:val="16"/>
        </w:numPr>
      </w:pPr>
      <w:r>
        <w:t>S</w:t>
      </w:r>
      <w:r w:rsidRPr="00664838">
        <w:t>trany</w:t>
      </w:r>
      <w:r>
        <w:t xml:space="preserve"> dohody</w:t>
      </w:r>
      <w:r w:rsidRPr="00664838">
        <w:t xml:space="preserve"> </w:t>
      </w:r>
      <w:r w:rsidR="00664838" w:rsidRPr="00664838">
        <w:t xml:space="preserve">se zavazují, že vždy před uplatněním nároku na náhradu škody písemně vyzvou povinnou </w:t>
      </w:r>
      <w:r>
        <w:t>S</w:t>
      </w:r>
      <w:r w:rsidRPr="00664838">
        <w:t>tran</w:t>
      </w:r>
      <w:r>
        <w:t>u dohody</w:t>
      </w:r>
      <w:r w:rsidRPr="00664838">
        <w:t xml:space="preserve"> </w:t>
      </w:r>
      <w:r w:rsidR="00664838" w:rsidRPr="00664838">
        <w:t xml:space="preserve">k jednání o způsobu stanovení výše škody, a to bez zbytečného odkladu poté, kdy se oprávněná </w:t>
      </w:r>
      <w:r>
        <w:t>S</w:t>
      </w:r>
      <w:r w:rsidRPr="00664838">
        <w:t>tran</w:t>
      </w:r>
      <w:r>
        <w:t>a dohody</w:t>
      </w:r>
      <w:r w:rsidRPr="00664838">
        <w:t xml:space="preserve"> </w:t>
      </w:r>
      <w:r w:rsidR="00664838" w:rsidRPr="00664838">
        <w:t>prokazatelně dozví o vzniku škodní události.</w:t>
      </w:r>
    </w:p>
    <w:p w14:paraId="2EF93333" w14:textId="77777777" w:rsidR="00664838" w:rsidRPr="00664838" w:rsidRDefault="00664838" w:rsidP="00FB2BE8">
      <w:pPr>
        <w:pStyle w:val="Nadpis1"/>
        <w:numPr>
          <w:ilvl w:val="0"/>
          <w:numId w:val="16"/>
        </w:numPr>
      </w:pPr>
      <w:r w:rsidRPr="00664838">
        <w:t>Závěrečná ustanovení</w:t>
      </w:r>
    </w:p>
    <w:p w14:paraId="15729D9B" w14:textId="77777777" w:rsidR="00011472" w:rsidRPr="00011472" w:rsidRDefault="00011472" w:rsidP="00011472">
      <w:pPr>
        <w:pStyle w:val="Odstavecseseznamem"/>
        <w:numPr>
          <w:ilvl w:val="0"/>
          <w:numId w:val="18"/>
        </w:numPr>
        <w:contextualSpacing w:val="0"/>
        <w:rPr>
          <w:vanish/>
        </w:rPr>
      </w:pPr>
    </w:p>
    <w:p w14:paraId="6512A5C4" w14:textId="77777777" w:rsidR="00011472" w:rsidRPr="00011472" w:rsidRDefault="00011472" w:rsidP="00011472">
      <w:pPr>
        <w:pStyle w:val="Odstavecseseznamem"/>
        <w:numPr>
          <w:ilvl w:val="0"/>
          <w:numId w:val="18"/>
        </w:numPr>
        <w:contextualSpacing w:val="0"/>
        <w:rPr>
          <w:vanish/>
        </w:rPr>
      </w:pPr>
    </w:p>
    <w:p w14:paraId="7B9FB383" w14:textId="77777777" w:rsidR="00011472" w:rsidRPr="00011472" w:rsidRDefault="00011472" w:rsidP="00011472">
      <w:pPr>
        <w:pStyle w:val="Odstavecseseznamem"/>
        <w:numPr>
          <w:ilvl w:val="0"/>
          <w:numId w:val="18"/>
        </w:numPr>
        <w:contextualSpacing w:val="0"/>
        <w:rPr>
          <w:vanish/>
        </w:rPr>
      </w:pPr>
    </w:p>
    <w:p w14:paraId="542E11A1" w14:textId="77777777" w:rsidR="00011472" w:rsidRPr="00011472" w:rsidRDefault="00011472" w:rsidP="00011472">
      <w:pPr>
        <w:pStyle w:val="Odstavecseseznamem"/>
        <w:numPr>
          <w:ilvl w:val="0"/>
          <w:numId w:val="18"/>
        </w:numPr>
        <w:contextualSpacing w:val="0"/>
        <w:rPr>
          <w:vanish/>
        </w:rPr>
      </w:pPr>
    </w:p>
    <w:p w14:paraId="418A0E97" w14:textId="77777777" w:rsidR="00011472" w:rsidRPr="00011472" w:rsidRDefault="00011472" w:rsidP="00011472">
      <w:pPr>
        <w:pStyle w:val="Odstavecseseznamem"/>
        <w:numPr>
          <w:ilvl w:val="0"/>
          <w:numId w:val="18"/>
        </w:numPr>
        <w:contextualSpacing w:val="0"/>
        <w:rPr>
          <w:vanish/>
        </w:rPr>
      </w:pPr>
    </w:p>
    <w:p w14:paraId="0C8349A1" w14:textId="77777777" w:rsidR="00011472" w:rsidRPr="00011472" w:rsidRDefault="00011472" w:rsidP="00011472">
      <w:pPr>
        <w:pStyle w:val="Odstavecseseznamem"/>
        <w:numPr>
          <w:ilvl w:val="0"/>
          <w:numId w:val="18"/>
        </w:numPr>
        <w:contextualSpacing w:val="0"/>
        <w:rPr>
          <w:vanish/>
        </w:rPr>
      </w:pPr>
    </w:p>
    <w:p w14:paraId="23E1044C" w14:textId="77777777" w:rsidR="00011472" w:rsidRPr="00011472" w:rsidRDefault="00011472" w:rsidP="00011472">
      <w:pPr>
        <w:pStyle w:val="Odstavecseseznamem"/>
        <w:numPr>
          <w:ilvl w:val="0"/>
          <w:numId w:val="18"/>
        </w:numPr>
        <w:contextualSpacing w:val="0"/>
        <w:rPr>
          <w:vanish/>
        </w:rPr>
      </w:pPr>
    </w:p>
    <w:p w14:paraId="438153D0" w14:textId="23AC4BB4" w:rsidR="00664838" w:rsidRPr="00664838" w:rsidRDefault="00664838" w:rsidP="00011472">
      <w:pPr>
        <w:pStyle w:val="Bezmezer"/>
        <w:numPr>
          <w:ilvl w:val="1"/>
          <w:numId w:val="18"/>
        </w:numPr>
      </w:pPr>
      <w:r w:rsidRPr="00664838">
        <w:t>Veškerá ujednání této Dílčí dohody navazují na Rámcovou dohodu a Rámcovou dohodou se řídí, tj. práva, povinnosti či skutečnosti neupravené v této Dílčí dohodě se</w:t>
      </w:r>
      <w:r w:rsidR="00912536">
        <w:t> </w:t>
      </w:r>
      <w:r w:rsidRPr="00664838">
        <w:t>řídí ustanoveními Rámcové dohody. V případě, že ujednání obsažené v této Dílčí dohodě se bude odchylovat od ustanovení obsaženého v Rámcové dohodě, má</w:t>
      </w:r>
      <w:r w:rsidR="00912536">
        <w:t> </w:t>
      </w:r>
      <w:r w:rsidRPr="00664838">
        <w:t>ujednání obsažené v této Dílčí dohodě přednost před ustanovením obsaženým v</w:t>
      </w:r>
      <w:r w:rsidR="003A4D21">
        <w:t> </w:t>
      </w:r>
      <w:r w:rsidRPr="00664838">
        <w:t xml:space="preserve">Rámcové dohodě, ovšem pouze ohledně plnění sjednaného v této Dílčí dohodě. </w:t>
      </w:r>
    </w:p>
    <w:p w14:paraId="537929B4" w14:textId="61E85820" w:rsidR="00664838" w:rsidRPr="00664838" w:rsidRDefault="003A4D21" w:rsidP="00B340E7">
      <w:pPr>
        <w:pStyle w:val="Bezmezer"/>
        <w:numPr>
          <w:ilvl w:val="1"/>
          <w:numId w:val="18"/>
        </w:numPr>
      </w:pPr>
      <w:r>
        <w:t xml:space="preserve">Tato </w:t>
      </w:r>
      <w:r w:rsidR="00664838" w:rsidRPr="00664838">
        <w:t>Dílčí dohoda nabývá platnosti</w:t>
      </w:r>
      <w:r w:rsidR="00DF705A">
        <w:t xml:space="preserve"> podpisem Stran </w:t>
      </w:r>
      <w:r w:rsidR="000949D1">
        <w:t>dohody</w:t>
      </w:r>
      <w:r w:rsidR="00664838" w:rsidRPr="00664838">
        <w:t xml:space="preserve"> </w:t>
      </w:r>
      <w:r w:rsidR="00DF705A">
        <w:t>a účinnosti 1.</w:t>
      </w:r>
      <w:r w:rsidR="007C6773">
        <w:t xml:space="preserve"> </w:t>
      </w:r>
      <w:r w:rsidR="00DF705A">
        <w:t>1.</w:t>
      </w:r>
      <w:r w:rsidR="007C6773">
        <w:t xml:space="preserve"> </w:t>
      </w:r>
      <w:r w:rsidR="00DF705A">
        <w:t>2024</w:t>
      </w:r>
      <w:r w:rsidR="00664838" w:rsidRPr="00664838">
        <w:t xml:space="preserve"> po splnění zákonné podmínky vyplývající z § 6 odst. 1 zákona č. 340/2015 Sb., </w:t>
      </w:r>
      <w:r w:rsidR="00B340E7" w:rsidRPr="00B340E7">
        <w:t>o</w:t>
      </w:r>
      <w:r w:rsidR="00912536">
        <w:t> </w:t>
      </w:r>
      <w:r w:rsidR="00B340E7" w:rsidRPr="00B340E7">
        <w:t>zvláštních podmínkách účinnosti některých smluv, uveřejňování těchto smluv a</w:t>
      </w:r>
      <w:r w:rsidR="00912536">
        <w:t> </w:t>
      </w:r>
      <w:r w:rsidR="00B340E7" w:rsidRPr="00B340E7">
        <w:t>o</w:t>
      </w:r>
      <w:r w:rsidR="00912536">
        <w:t> </w:t>
      </w:r>
      <w:r w:rsidR="00B340E7" w:rsidRPr="00B340E7">
        <w:t>registru smluv (zákon o registru smluv)</w:t>
      </w:r>
      <w:r w:rsidR="00664838" w:rsidRPr="00664838">
        <w:t>, ve znění pozdějších předpisů.</w:t>
      </w:r>
    </w:p>
    <w:p w14:paraId="6A41C1BE" w14:textId="77777777" w:rsidR="00664838" w:rsidRDefault="003A4D21" w:rsidP="00FB2BE8">
      <w:pPr>
        <w:pStyle w:val="Bezmezer"/>
        <w:numPr>
          <w:ilvl w:val="1"/>
          <w:numId w:val="18"/>
        </w:numPr>
      </w:pPr>
      <w:r>
        <w:t xml:space="preserve">Tato </w:t>
      </w:r>
      <w:r w:rsidR="00664838" w:rsidRPr="00664838">
        <w:t>Dílčí dohoda je vyhotovena elektronicky.</w:t>
      </w:r>
    </w:p>
    <w:p w14:paraId="042EB601" w14:textId="5C135153" w:rsidR="0027460C" w:rsidRDefault="0027460C" w:rsidP="00FB2BE8">
      <w:pPr>
        <w:pStyle w:val="Bezmezer"/>
        <w:numPr>
          <w:ilvl w:val="1"/>
          <w:numId w:val="18"/>
        </w:numPr>
      </w:pPr>
      <w:r>
        <w:t>Nedílnou součástí této Dílčí dohody jsou následující přílohy:</w:t>
      </w:r>
    </w:p>
    <w:p w14:paraId="016AC721" w14:textId="32F1F87C" w:rsidR="00011472" w:rsidRDefault="00011472" w:rsidP="00011472">
      <w:pPr>
        <w:pStyle w:val="Bezmezer"/>
        <w:numPr>
          <w:ilvl w:val="0"/>
          <w:numId w:val="34"/>
        </w:numPr>
      </w:pPr>
      <w:r>
        <w:t>Příloha č. 1 – Technická specifikace plnění</w:t>
      </w:r>
    </w:p>
    <w:p w14:paraId="2FFFD551" w14:textId="23E77471" w:rsidR="008506CD" w:rsidRPr="00664838" w:rsidRDefault="008506CD" w:rsidP="00011472">
      <w:pPr>
        <w:pStyle w:val="Bezmezer"/>
        <w:numPr>
          <w:ilvl w:val="0"/>
          <w:numId w:val="34"/>
        </w:numPr>
      </w:pPr>
      <w:r>
        <w:lastRenderedPageBreak/>
        <w:t xml:space="preserve">Příloha č. </w:t>
      </w:r>
      <w:r w:rsidR="00011472">
        <w:t>2</w:t>
      </w:r>
      <w:r>
        <w:t xml:space="preserve"> – Vzor Akceptačního protokolu</w:t>
      </w:r>
    </w:p>
    <w:p w14:paraId="77B290AE" w14:textId="0F18C3A7" w:rsidR="00664838" w:rsidRPr="00664838" w:rsidRDefault="00DC1A3E" w:rsidP="00FB2BE8">
      <w:pPr>
        <w:pStyle w:val="Bezmezer"/>
        <w:numPr>
          <w:ilvl w:val="1"/>
          <w:numId w:val="18"/>
        </w:numPr>
      </w:pPr>
      <w:r>
        <w:t>S</w:t>
      </w:r>
      <w:r w:rsidRPr="00664838">
        <w:t>trany</w:t>
      </w:r>
      <w:r>
        <w:t xml:space="preserve"> dohody</w:t>
      </w:r>
      <w:r w:rsidRPr="00664838">
        <w:t xml:space="preserve"> </w:t>
      </w:r>
      <w:r w:rsidR="00664838" w:rsidRPr="00664838">
        <w:t xml:space="preserve">prohlašují, že </w:t>
      </w:r>
      <w:r w:rsidR="003A4D21">
        <w:t xml:space="preserve">tato </w:t>
      </w:r>
      <w:r w:rsidR="00664838" w:rsidRPr="00664838">
        <w:t xml:space="preserve">Dílčí dohoda ve spojení s Rámcovou dohodou vyjadřuje jejich úplné a výlučné vzájemné ujednání týkající se daného předmětu Dílčí dohody. </w:t>
      </w:r>
      <w:r>
        <w:t>S</w:t>
      </w:r>
      <w:r w:rsidRPr="00664838">
        <w:t>trany</w:t>
      </w:r>
      <w:r>
        <w:t xml:space="preserve"> dohody</w:t>
      </w:r>
      <w:r w:rsidRPr="00664838">
        <w:t xml:space="preserve"> </w:t>
      </w:r>
      <w:r w:rsidR="00664838" w:rsidRPr="00664838">
        <w:t xml:space="preserve">po přečtení </w:t>
      </w:r>
      <w:r w:rsidR="003A4D21">
        <w:t xml:space="preserve">této </w:t>
      </w:r>
      <w:r w:rsidR="00664838" w:rsidRPr="00664838">
        <w:t>Dílčí dohody prohlašují, že byla uzavřena po</w:t>
      </w:r>
      <w:r w:rsidR="00912536">
        <w:t> </w:t>
      </w:r>
      <w:r w:rsidR="00664838" w:rsidRPr="00664838">
        <w:t>vzájemném projednání, určitě a srozumitelně, na základě jejich pravé, vážně míněné a svobodné vůle. Na důkaz uvedených skutečností připojují podpisy svých oprávněných osob či zástupců.</w:t>
      </w:r>
    </w:p>
    <w:p w14:paraId="00E0B682" w14:textId="35CA9885" w:rsidR="00FB2BE8" w:rsidRDefault="00FB2BE8" w:rsidP="00FB2BE8"/>
    <w:p w14:paraId="0499F902" w14:textId="77777777" w:rsidR="001E5EA3" w:rsidRDefault="001E5EA3" w:rsidP="00FB2BE8"/>
    <w:p w14:paraId="1207B0E3" w14:textId="77777777" w:rsidR="00FB2BE8" w:rsidRPr="003B27E9" w:rsidRDefault="00FB2BE8" w:rsidP="00FB2BE8">
      <w:pPr>
        <w:spacing w:line="240" w:lineRule="auto"/>
        <w:ind w:left="284"/>
        <w:rPr>
          <w:rFonts w:eastAsia="Times New Roman" w:cs="Arial"/>
          <w:lang w:eastAsia="cs-CZ"/>
        </w:rPr>
      </w:pPr>
      <w:r w:rsidRPr="003B27E9">
        <w:rPr>
          <w:rFonts w:eastAsia="Times New Roman" w:cs="Arial"/>
          <w:lang w:eastAsia="cs-CZ"/>
        </w:rPr>
        <w:t>…………………………………</w:t>
      </w:r>
      <w:r w:rsidRPr="003B27E9">
        <w:rPr>
          <w:rFonts w:eastAsia="Times New Roman" w:cs="Arial"/>
          <w:lang w:eastAsia="cs-CZ"/>
        </w:rPr>
        <w:tab/>
      </w:r>
      <w:r w:rsidRPr="003B27E9">
        <w:rPr>
          <w:rFonts w:eastAsia="Times New Roman" w:cs="Arial"/>
          <w:lang w:eastAsia="cs-CZ"/>
        </w:rPr>
        <w:tab/>
      </w:r>
      <w:r w:rsidRPr="003B27E9">
        <w:rPr>
          <w:rFonts w:eastAsia="Times New Roman" w:cs="Arial"/>
          <w:lang w:eastAsia="cs-CZ"/>
        </w:rPr>
        <w:tab/>
      </w:r>
      <w:r w:rsidRPr="003B27E9">
        <w:rPr>
          <w:rFonts w:eastAsia="Times New Roman" w:cs="Arial"/>
          <w:lang w:eastAsia="cs-CZ"/>
        </w:rPr>
        <w:tab/>
        <w:t>………………………………..</w:t>
      </w:r>
    </w:p>
    <w:p w14:paraId="4C19BB46" w14:textId="77777777" w:rsidR="00FB2BE8" w:rsidRPr="006B7420" w:rsidRDefault="00FB2BE8" w:rsidP="00FB2BE8">
      <w:pPr>
        <w:widowControl w:val="0"/>
        <w:tabs>
          <w:tab w:val="left" w:pos="567"/>
          <w:tab w:val="left" w:pos="595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ab/>
        <w:t>Ministerstvo vnitra</w:t>
      </w:r>
      <w:r>
        <w:rPr>
          <w:rFonts w:eastAsia="Times New Roman" w:cs="Arial"/>
          <w:color w:val="000000"/>
          <w:lang w:eastAsia="cs-CZ"/>
        </w:rPr>
        <w:tab/>
      </w:r>
      <w:r w:rsidRPr="006B7420">
        <w:rPr>
          <w:rFonts w:eastAsia="Times New Roman" w:cs="Arial"/>
          <w:color w:val="000000"/>
          <w:lang w:eastAsia="cs-CZ"/>
        </w:rPr>
        <w:t>NAKIT</w:t>
      </w:r>
    </w:p>
    <w:p w14:paraId="29878B4E" w14:textId="77777777" w:rsidR="00A97416" w:rsidRDefault="00FB2BE8" w:rsidP="00A97416">
      <w:pPr>
        <w:widowControl w:val="0"/>
        <w:tabs>
          <w:tab w:val="left" w:pos="567"/>
          <w:tab w:val="left" w:pos="595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b/>
          <w:color w:val="000000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  <w:r>
        <w:rPr>
          <w:rFonts w:eastAsia="Times New Roman" w:cs="Arial"/>
          <w:b/>
          <w:color w:val="000000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2BBC0DE4" w14:textId="176219E1" w:rsidR="00FB2BE8" w:rsidRDefault="00FB2BE8" w:rsidP="00A97416">
      <w:pPr>
        <w:widowControl w:val="0"/>
        <w:tabs>
          <w:tab w:val="left" w:pos="567"/>
          <w:tab w:val="left" w:pos="595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  <w:r w:rsidRPr="00007BA6">
        <w:rPr>
          <w:rFonts w:eastAsia="Times New Roman" w:cs="Arial"/>
          <w:color w:val="000000"/>
          <w:lang w:eastAsia="cs-CZ"/>
        </w:rPr>
        <w:tab/>
      </w:r>
      <w:proofErr w:type="spellStart"/>
      <w:r w:rsidR="00A97416" w:rsidRPr="00A97416">
        <w:rPr>
          <w:rFonts w:eastAsia="Times New Roman" w:cs="Arial"/>
          <w:highlight w:val="lightGray"/>
          <w:lang w:eastAsia="cs-CZ"/>
        </w:rPr>
        <w:t>xxx</w:t>
      </w:r>
      <w:proofErr w:type="spellEnd"/>
    </w:p>
    <w:p w14:paraId="4DFA28DE" w14:textId="77777777" w:rsidR="00B65477" w:rsidRDefault="00B65477" w:rsidP="00FB2BE8">
      <w:pPr>
        <w:widowControl w:val="0"/>
        <w:tabs>
          <w:tab w:val="left" w:pos="567"/>
          <w:tab w:val="center" w:pos="1985"/>
          <w:tab w:val="left" w:pos="5954"/>
          <w:tab w:val="center" w:pos="680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color w:val="000000"/>
          <w:lang w:eastAsia="cs-CZ"/>
        </w:rPr>
      </w:pPr>
    </w:p>
    <w:p w14:paraId="16B87EE4" w14:textId="3EE8BA2F" w:rsidR="00B65477" w:rsidRDefault="00B65477">
      <w:pPr>
        <w:spacing w:before="0" w:after="160" w:line="259" w:lineRule="auto"/>
        <w:jc w:val="left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br w:type="page"/>
      </w:r>
    </w:p>
    <w:p w14:paraId="4ADD59F8" w14:textId="0E5B8AB4" w:rsidR="007609A7" w:rsidRDefault="007609A7" w:rsidP="007609A7">
      <w:pPr>
        <w:widowControl w:val="0"/>
        <w:tabs>
          <w:tab w:val="left" w:pos="567"/>
          <w:tab w:val="center" w:pos="1985"/>
          <w:tab w:val="left" w:pos="5954"/>
          <w:tab w:val="center" w:pos="680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B65477">
        <w:rPr>
          <w:rFonts w:eastAsia="Times New Roman" w:cs="Arial"/>
          <w:b/>
          <w:bCs/>
          <w:color w:val="000000"/>
          <w:lang w:eastAsia="cs-CZ"/>
        </w:rPr>
        <w:lastRenderedPageBreak/>
        <w:t xml:space="preserve">Příloha č. </w:t>
      </w:r>
      <w:r w:rsidR="00600A65">
        <w:rPr>
          <w:rFonts w:eastAsia="Times New Roman" w:cs="Arial"/>
          <w:b/>
          <w:bCs/>
          <w:color w:val="000000"/>
          <w:lang w:eastAsia="cs-CZ"/>
        </w:rPr>
        <w:t>1</w:t>
      </w:r>
      <w:r>
        <w:rPr>
          <w:rFonts w:eastAsia="Times New Roman" w:cs="Arial"/>
          <w:b/>
          <w:bCs/>
          <w:color w:val="000000"/>
          <w:lang w:eastAsia="cs-CZ"/>
        </w:rPr>
        <w:t xml:space="preserve"> – </w:t>
      </w:r>
      <w:r w:rsidR="00703062">
        <w:rPr>
          <w:rFonts w:eastAsia="Times New Roman" w:cs="Arial"/>
          <w:b/>
          <w:bCs/>
          <w:color w:val="000000"/>
          <w:lang w:eastAsia="cs-CZ"/>
        </w:rPr>
        <w:t>Technická specifikace plnění dle čl. 1. odst. 1.1 této Dílčí dohody</w:t>
      </w:r>
    </w:p>
    <w:p w14:paraId="3C045018" w14:textId="77777777" w:rsidR="00600A65" w:rsidRDefault="00600A65" w:rsidP="007609A7">
      <w:pPr>
        <w:widowControl w:val="0"/>
        <w:tabs>
          <w:tab w:val="left" w:pos="567"/>
          <w:tab w:val="center" w:pos="1985"/>
          <w:tab w:val="left" w:pos="5954"/>
          <w:tab w:val="center" w:pos="680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b/>
          <w:bCs/>
          <w:color w:val="000000"/>
          <w:lang w:eastAsia="cs-CZ"/>
        </w:rPr>
      </w:pPr>
    </w:p>
    <w:p w14:paraId="7FDDFE43" w14:textId="2ED1DD44" w:rsidR="002E608B" w:rsidRDefault="0045793F" w:rsidP="000C531A">
      <w:pPr>
        <w:autoSpaceDE w:val="0"/>
        <w:autoSpaceDN w:val="0"/>
        <w:adjustRightInd w:val="0"/>
        <w:spacing w:before="0" w:after="12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Pln</w:t>
      </w:r>
      <w:r>
        <w:rPr>
          <w:rFonts w:cs="Arial"/>
        </w:rPr>
        <w:t>ě</w:t>
      </w:r>
      <w:r>
        <w:rPr>
          <w:rFonts w:ascii="Helvetica" w:hAnsi="Helvetica" w:cs="Helvetica"/>
        </w:rPr>
        <w:t>ní bude zajiš</w:t>
      </w:r>
      <w:r>
        <w:rPr>
          <w:rFonts w:cs="Arial"/>
        </w:rPr>
        <w:t>ť</w:t>
      </w:r>
      <w:r>
        <w:rPr>
          <w:rFonts w:ascii="Helvetica" w:hAnsi="Helvetica" w:cs="Helvetica"/>
        </w:rPr>
        <w:t>ováno v podob</w:t>
      </w:r>
      <w:r>
        <w:rPr>
          <w:rFonts w:cs="Arial"/>
        </w:rPr>
        <w:t xml:space="preserve">ě </w:t>
      </w:r>
      <w:r w:rsidR="00C72110">
        <w:rPr>
          <w:rFonts w:ascii="Helvetica" w:hAnsi="Helvetica" w:cs="Helvetica"/>
        </w:rPr>
        <w:t>ov</w:t>
      </w:r>
      <w:r w:rsidR="002E608B">
        <w:rPr>
          <w:rFonts w:ascii="Helvetica" w:hAnsi="Helvetica" w:cs="Helvetica"/>
        </w:rPr>
        <w:t>ě</w:t>
      </w:r>
      <w:r w:rsidR="00C72110">
        <w:rPr>
          <w:rFonts w:ascii="Helvetica" w:hAnsi="Helvetica" w:cs="Helvetica"/>
        </w:rPr>
        <w:t>řovacího</w:t>
      </w:r>
      <w:r>
        <w:rPr>
          <w:rFonts w:ascii="Helvetica" w:hAnsi="Helvetica" w:cs="Helvetica"/>
        </w:rPr>
        <w:t xml:space="preserve"> provozu v produk</w:t>
      </w:r>
      <w:r>
        <w:rPr>
          <w:rFonts w:cs="Arial"/>
        </w:rPr>
        <w:t>č</w:t>
      </w:r>
      <w:r>
        <w:rPr>
          <w:rFonts w:ascii="Helvetica" w:hAnsi="Helvetica" w:cs="Helvetica"/>
        </w:rPr>
        <w:t>ním prost</w:t>
      </w:r>
      <w:r>
        <w:rPr>
          <w:rFonts w:cs="Arial"/>
        </w:rPr>
        <w:t>ř</w:t>
      </w:r>
      <w:r>
        <w:rPr>
          <w:rFonts w:ascii="Helvetica" w:hAnsi="Helvetica" w:cs="Helvetica"/>
        </w:rPr>
        <w:t xml:space="preserve">edí. </w:t>
      </w:r>
      <w:r>
        <w:rPr>
          <w:rFonts w:cs="Arial"/>
        </w:rPr>
        <w:t>Ř</w:t>
      </w:r>
      <w:r>
        <w:rPr>
          <w:rFonts w:ascii="Helvetica" w:hAnsi="Helvetica" w:cs="Helvetica"/>
        </w:rPr>
        <w:t>ešení provozních požadavk</w:t>
      </w:r>
      <w:r>
        <w:rPr>
          <w:rFonts w:cs="Arial"/>
        </w:rPr>
        <w:t xml:space="preserve">ů </w:t>
      </w:r>
      <w:r>
        <w:rPr>
          <w:rFonts w:ascii="Helvetica" w:hAnsi="Helvetica" w:cs="Helvetica"/>
        </w:rPr>
        <w:t xml:space="preserve">bude </w:t>
      </w:r>
      <w:r>
        <w:rPr>
          <w:rFonts w:cs="Arial"/>
        </w:rPr>
        <w:t>ř</w:t>
      </w:r>
      <w:r>
        <w:rPr>
          <w:rFonts w:ascii="Helvetica" w:hAnsi="Helvetica" w:cs="Helvetica"/>
        </w:rPr>
        <w:t>ešeno v</w:t>
      </w:r>
      <w:r w:rsidR="00C72110"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>režimu</w:t>
      </w:r>
      <w:r w:rsidR="00C7211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„</w:t>
      </w:r>
      <w:proofErr w:type="spellStart"/>
      <w:r>
        <w:rPr>
          <w:rFonts w:ascii="Helvetica" w:hAnsi="Helvetica" w:cs="Helvetica"/>
        </w:rPr>
        <w:t>best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effort</w:t>
      </w:r>
      <w:proofErr w:type="spellEnd"/>
      <w:r>
        <w:rPr>
          <w:rFonts w:ascii="Helvetica" w:hAnsi="Helvetica" w:cs="Helvetica"/>
        </w:rPr>
        <w:t>“, tj. bez garance doby vy</w:t>
      </w:r>
      <w:r>
        <w:rPr>
          <w:rFonts w:cs="Arial"/>
        </w:rPr>
        <w:t>ř</w:t>
      </w:r>
      <w:r>
        <w:rPr>
          <w:rFonts w:ascii="Helvetica" w:hAnsi="Helvetica" w:cs="Helvetica"/>
        </w:rPr>
        <w:t>ešení nahlášeného požadavku. Veškeré provozní</w:t>
      </w:r>
      <w:r w:rsidR="002E608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požadavky budou hlášeny prost</w:t>
      </w:r>
      <w:r>
        <w:rPr>
          <w:rFonts w:cs="Arial"/>
        </w:rPr>
        <w:t>ř</w:t>
      </w:r>
      <w:r>
        <w:rPr>
          <w:rFonts w:ascii="Helvetica" w:hAnsi="Helvetica" w:cs="Helvetica"/>
        </w:rPr>
        <w:t xml:space="preserve">ednictvím portálu MS Azure </w:t>
      </w:r>
      <w:proofErr w:type="spellStart"/>
      <w:r>
        <w:rPr>
          <w:rFonts w:ascii="Helvetica" w:hAnsi="Helvetica" w:cs="Helvetica"/>
        </w:rPr>
        <w:t>DevOps</w:t>
      </w:r>
      <w:proofErr w:type="spellEnd"/>
      <w:r>
        <w:rPr>
          <w:rFonts w:ascii="Helvetica" w:hAnsi="Helvetica" w:cs="Helvetica"/>
        </w:rPr>
        <w:t>.</w:t>
      </w:r>
    </w:p>
    <w:p w14:paraId="459E3231" w14:textId="0B455A5B" w:rsidR="008B74D3" w:rsidRDefault="0045793F" w:rsidP="00A97416">
      <w:pPr>
        <w:autoSpaceDE w:val="0"/>
        <w:autoSpaceDN w:val="0"/>
        <w:adjustRightInd w:val="0"/>
        <w:spacing w:before="0" w:after="12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Dostupnost služeb bude monitorována prost</w:t>
      </w:r>
      <w:r>
        <w:rPr>
          <w:rFonts w:cs="Arial"/>
        </w:rPr>
        <w:t>ř</w:t>
      </w:r>
      <w:r>
        <w:rPr>
          <w:rFonts w:ascii="Helvetica" w:hAnsi="Helvetica" w:cs="Helvetica"/>
        </w:rPr>
        <w:t xml:space="preserve">ednictvím </w:t>
      </w:r>
      <w:proofErr w:type="spellStart"/>
      <w:r>
        <w:rPr>
          <w:rFonts w:ascii="Helvetica" w:hAnsi="Helvetica" w:cs="Helvetica"/>
        </w:rPr>
        <w:t>Application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Insights</w:t>
      </w:r>
      <w:proofErr w:type="spellEnd"/>
      <w:r>
        <w:rPr>
          <w:rFonts w:ascii="Helvetica" w:hAnsi="Helvetica" w:cs="Helvetica"/>
        </w:rPr>
        <w:t xml:space="preserve"> v prost</w:t>
      </w:r>
      <w:r>
        <w:rPr>
          <w:rFonts w:cs="Arial"/>
        </w:rPr>
        <w:t>ř</w:t>
      </w:r>
      <w:r>
        <w:rPr>
          <w:rFonts w:ascii="Helvetica" w:hAnsi="Helvetica" w:cs="Helvetica"/>
        </w:rPr>
        <w:t>edí MS</w:t>
      </w:r>
      <w:r w:rsidR="002E608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Azure, kde je vyjád</w:t>
      </w:r>
      <w:r>
        <w:rPr>
          <w:rFonts w:cs="Arial"/>
        </w:rPr>
        <w:t>ř</w:t>
      </w:r>
      <w:r>
        <w:rPr>
          <w:rFonts w:ascii="Helvetica" w:hAnsi="Helvetica" w:cs="Helvetica"/>
        </w:rPr>
        <w:t>eno pom</w:t>
      </w:r>
      <w:r>
        <w:rPr>
          <w:rFonts w:cs="Arial"/>
        </w:rPr>
        <w:t>ě</w:t>
      </w:r>
      <w:r>
        <w:rPr>
          <w:rFonts w:ascii="Helvetica" w:hAnsi="Helvetica" w:cs="Helvetica"/>
        </w:rPr>
        <w:t xml:space="preserve">rem </w:t>
      </w:r>
      <w:r>
        <w:rPr>
          <w:rFonts w:cs="Arial"/>
        </w:rPr>
        <w:t>č</w:t>
      </w:r>
      <w:r>
        <w:rPr>
          <w:rFonts w:ascii="Helvetica" w:hAnsi="Helvetica" w:cs="Helvetica"/>
        </w:rPr>
        <w:t>asu, kdy je služba dostupná k celkovému sledovanému</w:t>
      </w:r>
      <w:r w:rsidR="002E608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období v režimu 7 x 24. Tato hodnota je vyjád</w:t>
      </w:r>
      <w:r>
        <w:rPr>
          <w:rFonts w:cs="Arial"/>
        </w:rPr>
        <w:t>ř</w:t>
      </w:r>
      <w:r>
        <w:rPr>
          <w:rFonts w:ascii="Helvetica" w:hAnsi="Helvetica" w:cs="Helvetica"/>
        </w:rPr>
        <w:t>ena v % a bude p</w:t>
      </w:r>
      <w:r>
        <w:rPr>
          <w:rFonts w:cs="Arial"/>
        </w:rPr>
        <w:t>ř</w:t>
      </w:r>
      <w:r>
        <w:rPr>
          <w:rFonts w:ascii="Helvetica" w:hAnsi="Helvetica" w:cs="Helvetica"/>
        </w:rPr>
        <w:t>edávána ve form</w:t>
      </w:r>
      <w:r>
        <w:rPr>
          <w:rFonts w:cs="Arial"/>
        </w:rPr>
        <w:t xml:space="preserve">ě </w:t>
      </w:r>
      <w:r>
        <w:rPr>
          <w:rFonts w:ascii="Helvetica" w:hAnsi="Helvetica" w:cs="Helvetica"/>
        </w:rPr>
        <w:t>m</w:t>
      </w:r>
      <w:r>
        <w:rPr>
          <w:rFonts w:cs="Arial"/>
        </w:rPr>
        <w:t>ě</w:t>
      </w:r>
      <w:r>
        <w:rPr>
          <w:rFonts w:ascii="Helvetica" w:hAnsi="Helvetica" w:cs="Helvetica"/>
        </w:rPr>
        <w:t>sí</w:t>
      </w:r>
      <w:r>
        <w:rPr>
          <w:rFonts w:cs="Arial"/>
        </w:rPr>
        <w:t>č</w:t>
      </w:r>
      <w:r>
        <w:rPr>
          <w:rFonts w:ascii="Helvetica" w:hAnsi="Helvetica" w:cs="Helvetica"/>
        </w:rPr>
        <w:t>ního</w:t>
      </w:r>
      <w:r w:rsidR="000C531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Reportu.</w:t>
      </w:r>
    </w:p>
    <w:p w14:paraId="578E401C" w14:textId="275C592E" w:rsidR="008B74D3" w:rsidRPr="00A97416" w:rsidRDefault="00EF7AFB" w:rsidP="00A97416">
      <w:pPr>
        <w:spacing w:before="0" w:after="120" w:line="276" w:lineRule="auto"/>
        <w:rPr>
          <w:rFonts w:ascii="Helvetica" w:eastAsia="Times New Roman" w:hAnsi="Helvetica" w:cs="Helvetica"/>
        </w:rPr>
      </w:pPr>
      <w:r>
        <w:rPr>
          <w:rStyle w:val="elementtoproof"/>
          <w:rFonts w:ascii="Helvetica" w:eastAsia="Times New Roman" w:hAnsi="Helvetica" w:cs="Helvetica"/>
          <w:color w:val="000000"/>
        </w:rPr>
        <w:t>P</w:t>
      </w:r>
      <w:r w:rsidR="008B74D3" w:rsidRPr="00A97416">
        <w:rPr>
          <w:rStyle w:val="elementtoproof"/>
          <w:rFonts w:ascii="Helvetica" w:eastAsia="Times New Roman" w:hAnsi="Helvetica" w:cs="Helvetica"/>
          <w:color w:val="000000"/>
        </w:rPr>
        <w:t xml:space="preserve">řehled adres produkčního prostředí </w:t>
      </w:r>
      <w:r>
        <w:rPr>
          <w:rStyle w:val="elementtoproof"/>
          <w:rFonts w:ascii="Helvetica" w:eastAsia="Times New Roman" w:hAnsi="Helvetica" w:cs="Helvetica"/>
          <w:color w:val="000000"/>
        </w:rPr>
        <w:t>Systému</w:t>
      </w:r>
      <w:r w:rsidR="008B74D3" w:rsidRPr="00A97416">
        <w:rPr>
          <w:rStyle w:val="elementtoproof"/>
          <w:rFonts w:ascii="Helvetica" w:eastAsia="Times New Roman" w:hAnsi="Helvetica" w:cs="Helvetica"/>
          <w:color w:val="000000"/>
        </w:rPr>
        <w:t xml:space="preserve"> publikovaných do Internetu a do CMS:</w:t>
      </w:r>
    </w:p>
    <w:p w14:paraId="5E56D62A" w14:textId="77777777" w:rsidR="008B74D3" w:rsidRPr="00A97416" w:rsidRDefault="008B74D3" w:rsidP="00A97416">
      <w:pPr>
        <w:pStyle w:val="elementtoproof1"/>
        <w:numPr>
          <w:ilvl w:val="1"/>
          <w:numId w:val="42"/>
        </w:numPr>
        <w:shd w:val="clear" w:color="auto" w:fill="FFFFFF"/>
        <w:spacing w:before="0" w:beforeAutospacing="0" w:after="120" w:afterAutospacing="0" w:line="276" w:lineRule="auto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issi.gov.cz</w:t>
      </w:r>
    </w:p>
    <w:p w14:paraId="4462F41B" w14:textId="77777777" w:rsidR="008B74D3" w:rsidRPr="00A97416" w:rsidRDefault="008B74D3" w:rsidP="00A97416">
      <w:pPr>
        <w:numPr>
          <w:ilvl w:val="1"/>
          <w:numId w:val="42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auth.issi.gov.cz</w:t>
      </w:r>
    </w:p>
    <w:p w14:paraId="233B8A66" w14:textId="77777777" w:rsidR="008B74D3" w:rsidRPr="00A97416" w:rsidRDefault="008B74D3" w:rsidP="00A97416">
      <w:pPr>
        <w:numPr>
          <w:ilvl w:val="1"/>
          <w:numId w:val="42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ckan.issi.gov.cz</w:t>
      </w:r>
    </w:p>
    <w:p w14:paraId="3E3935AF" w14:textId="77777777" w:rsidR="008B74D3" w:rsidRPr="00A97416" w:rsidRDefault="008B74D3" w:rsidP="00A97416">
      <w:pPr>
        <w:numPr>
          <w:ilvl w:val="1"/>
          <w:numId w:val="42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hale.issi.gov.cz</w:t>
      </w:r>
    </w:p>
    <w:p w14:paraId="33CD511E" w14:textId="77777777" w:rsidR="008B74D3" w:rsidRPr="00A97416" w:rsidRDefault="008B74D3" w:rsidP="00A97416">
      <w:pPr>
        <w:pStyle w:val="elementtoproof1"/>
        <w:numPr>
          <w:ilvl w:val="1"/>
          <w:numId w:val="42"/>
        </w:numPr>
        <w:shd w:val="clear" w:color="auto" w:fill="FFFFFF"/>
        <w:spacing w:before="0" w:beforeAutospacing="0" w:after="120" w:afterAutospacing="0" w:line="276" w:lineRule="auto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map.issi.gov.cz</w:t>
      </w:r>
    </w:p>
    <w:p w14:paraId="66ADBDDE" w14:textId="77777777" w:rsidR="008B74D3" w:rsidRPr="00A97416" w:rsidRDefault="008B74D3" w:rsidP="00A97416">
      <w:pPr>
        <w:pStyle w:val="elementtoproof1"/>
        <w:numPr>
          <w:ilvl w:val="1"/>
          <w:numId w:val="42"/>
        </w:numPr>
        <w:shd w:val="clear" w:color="auto" w:fill="FFFFFF"/>
        <w:spacing w:before="0" w:beforeAutospacing="0" w:after="120" w:afterAutospacing="0" w:line="276" w:lineRule="auto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issi.cms2.cz</w:t>
      </w:r>
    </w:p>
    <w:p w14:paraId="3259E2EA" w14:textId="77777777" w:rsidR="008B74D3" w:rsidRPr="00A97416" w:rsidRDefault="008B74D3" w:rsidP="00A97416">
      <w:pPr>
        <w:numPr>
          <w:ilvl w:val="1"/>
          <w:numId w:val="42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auth.issi.cms2.cz</w:t>
      </w:r>
    </w:p>
    <w:p w14:paraId="3D62E8C0" w14:textId="77777777" w:rsidR="008B74D3" w:rsidRPr="00A97416" w:rsidRDefault="008B74D3" w:rsidP="00A97416">
      <w:pPr>
        <w:pStyle w:val="elementtoproof1"/>
        <w:numPr>
          <w:ilvl w:val="1"/>
          <w:numId w:val="42"/>
        </w:numPr>
        <w:shd w:val="clear" w:color="auto" w:fill="FFFFFF"/>
        <w:spacing w:before="0" w:beforeAutospacing="0" w:after="120" w:afterAutospacing="0" w:line="276" w:lineRule="auto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ckan.issi.cms2.cz</w:t>
      </w:r>
    </w:p>
    <w:p w14:paraId="1687DB01" w14:textId="77777777" w:rsidR="008B74D3" w:rsidRPr="00A97416" w:rsidRDefault="008B74D3" w:rsidP="00A97416">
      <w:pPr>
        <w:numPr>
          <w:ilvl w:val="1"/>
          <w:numId w:val="42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hale.issi.cms2.cz</w:t>
      </w:r>
    </w:p>
    <w:p w14:paraId="74E97340" w14:textId="77777777" w:rsidR="008B74D3" w:rsidRPr="00A97416" w:rsidRDefault="008B74D3" w:rsidP="00A97416">
      <w:pPr>
        <w:numPr>
          <w:ilvl w:val="1"/>
          <w:numId w:val="42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map.issi.cms2.cz</w:t>
      </w:r>
    </w:p>
    <w:p w14:paraId="404BABDB" w14:textId="5A960C9B" w:rsidR="008B74D3" w:rsidRPr="00A97416" w:rsidRDefault="008B74D3" w:rsidP="00A97416">
      <w:pPr>
        <w:pStyle w:val="elementtoproof2"/>
        <w:shd w:val="clear" w:color="auto" w:fill="FFFFFF"/>
        <w:spacing w:after="120" w:line="276" w:lineRule="auto"/>
        <w:rPr>
          <w:rFonts w:ascii="Helvetica" w:hAnsi="Helvetica" w:cs="Helvetica"/>
        </w:rPr>
      </w:pPr>
      <w:r w:rsidRPr="00A97416">
        <w:rPr>
          <w:rFonts w:ascii="Helvetica" w:hAnsi="Helvetica" w:cs="Helvetica"/>
          <w:color w:val="000000"/>
        </w:rPr>
        <w:t> </w:t>
      </w:r>
      <w:proofErr w:type="spellStart"/>
      <w:r w:rsidR="005C07F7">
        <w:rPr>
          <w:rFonts w:ascii="Helvetica" w:hAnsi="Helvetica" w:cs="Helvetica"/>
          <w:color w:val="000000"/>
        </w:rPr>
        <w:t>S</w:t>
      </w:r>
      <w:r w:rsidRPr="00A97416">
        <w:rPr>
          <w:rFonts w:ascii="Helvetica" w:hAnsi="Helvetica" w:cs="Helvetica"/>
          <w:color w:val="000000"/>
        </w:rPr>
        <w:t>tage</w:t>
      </w:r>
      <w:proofErr w:type="spellEnd"/>
      <w:r w:rsidRPr="00A97416">
        <w:rPr>
          <w:rFonts w:ascii="Helvetica" w:hAnsi="Helvetica" w:cs="Helvetica"/>
          <w:color w:val="000000"/>
        </w:rPr>
        <w:t xml:space="preserve"> a </w:t>
      </w:r>
      <w:proofErr w:type="spellStart"/>
      <w:r w:rsidRPr="00A97416">
        <w:rPr>
          <w:rFonts w:ascii="Helvetica" w:hAnsi="Helvetica" w:cs="Helvetica"/>
          <w:color w:val="000000"/>
        </w:rPr>
        <w:t>dev</w:t>
      </w:r>
      <w:proofErr w:type="spellEnd"/>
      <w:r w:rsidRPr="00A97416">
        <w:rPr>
          <w:rFonts w:ascii="Helvetica" w:hAnsi="Helvetica" w:cs="Helvetica"/>
          <w:color w:val="000000"/>
        </w:rPr>
        <w:t xml:space="preserve"> prostředí </w:t>
      </w:r>
      <w:r w:rsidR="00D00A05">
        <w:rPr>
          <w:rFonts w:ascii="Helvetica" w:hAnsi="Helvetica" w:cs="Helvetica"/>
          <w:color w:val="000000"/>
        </w:rPr>
        <w:t xml:space="preserve">dostupné </w:t>
      </w:r>
      <w:r w:rsidRPr="00A97416">
        <w:rPr>
          <w:rFonts w:ascii="Helvetica" w:hAnsi="Helvetica" w:cs="Helvetica"/>
          <w:color w:val="000000"/>
        </w:rPr>
        <w:t>na následujících adresách:</w:t>
      </w:r>
    </w:p>
    <w:p w14:paraId="320CC168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dev.issi.gov.cz</w:t>
      </w:r>
    </w:p>
    <w:p w14:paraId="2E648C3F" w14:textId="77777777" w:rsidR="008B74D3" w:rsidRPr="00A97416" w:rsidRDefault="008B74D3" w:rsidP="00A97416">
      <w:pPr>
        <w:pStyle w:val="elementtoproof1"/>
        <w:numPr>
          <w:ilvl w:val="1"/>
          <w:numId w:val="43"/>
        </w:numPr>
        <w:shd w:val="clear" w:color="auto" w:fill="FFFFFF"/>
        <w:spacing w:before="0" w:beforeAutospacing="0" w:after="120" w:afterAutospacing="0" w:line="276" w:lineRule="auto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dev-ckan.issi.gov.cz</w:t>
      </w:r>
    </w:p>
    <w:p w14:paraId="62652214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dev-map.issi.gov.cz</w:t>
      </w:r>
    </w:p>
    <w:p w14:paraId="5CD94742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dev-hale.issi.gov.cz</w:t>
      </w:r>
    </w:p>
    <w:p w14:paraId="168FA1B2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dev-auth.issi.gov.cz</w:t>
      </w:r>
    </w:p>
    <w:p w14:paraId="1F3AE0AA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dev2.issi.gov.cz</w:t>
      </w:r>
    </w:p>
    <w:p w14:paraId="30C999AC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dev-ckan2.issi.gov.cz</w:t>
      </w:r>
    </w:p>
    <w:p w14:paraId="41193300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dev-map2.issi.gov.cz</w:t>
      </w:r>
    </w:p>
    <w:p w14:paraId="7EC666D4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dev-hale2.issi.gov.cz</w:t>
      </w:r>
    </w:p>
    <w:p w14:paraId="1C63DF6F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dev-auth2.issi.gov.cz</w:t>
      </w:r>
    </w:p>
    <w:p w14:paraId="3E7F6816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test2.issi.gov.cz</w:t>
      </w:r>
    </w:p>
    <w:p w14:paraId="38C8E7C3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test-ckan2.issi.gov.cz</w:t>
      </w:r>
    </w:p>
    <w:p w14:paraId="0E700088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test-map2.issi.gov.cz</w:t>
      </w:r>
    </w:p>
    <w:p w14:paraId="79D108F7" w14:textId="77777777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t>test-hale2.issi.gov.cz</w:t>
      </w:r>
    </w:p>
    <w:p w14:paraId="625D36FC" w14:textId="2B0629E6" w:rsidR="008B74D3" w:rsidRPr="00A97416" w:rsidRDefault="008B74D3" w:rsidP="00A97416">
      <w:pPr>
        <w:numPr>
          <w:ilvl w:val="1"/>
          <w:numId w:val="43"/>
        </w:numPr>
        <w:shd w:val="clear" w:color="auto" w:fill="FFFFFF"/>
        <w:spacing w:before="0" w:after="120" w:line="276" w:lineRule="auto"/>
        <w:jc w:val="left"/>
        <w:rPr>
          <w:rFonts w:ascii="Helvetica" w:eastAsia="Times New Roman" w:hAnsi="Helvetica" w:cs="Helvetica"/>
          <w:color w:val="000000"/>
        </w:rPr>
      </w:pPr>
      <w:r w:rsidRPr="00A97416">
        <w:rPr>
          <w:rFonts w:ascii="Helvetica" w:eastAsia="Times New Roman" w:hAnsi="Helvetica" w:cs="Helvetica"/>
          <w:color w:val="000000"/>
        </w:rPr>
        <w:lastRenderedPageBreak/>
        <w:t>test-auth2.issi.gov.cz</w:t>
      </w:r>
    </w:p>
    <w:p w14:paraId="0D00098B" w14:textId="2B0AE8CE" w:rsidR="0045793F" w:rsidRDefault="0045793F" w:rsidP="000C531A">
      <w:pPr>
        <w:autoSpaceDE w:val="0"/>
        <w:autoSpaceDN w:val="0"/>
        <w:adjustRightInd w:val="0"/>
        <w:spacing w:before="0" w:after="12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Sjednaná mezní hodnota dostupnosti sledovaných služeb je </w:t>
      </w:r>
      <w:r>
        <w:rPr>
          <w:rFonts w:ascii="Helvetica-Bold" w:hAnsi="Helvetica-Bold" w:cs="Helvetica-Bold"/>
          <w:b/>
          <w:bCs/>
        </w:rPr>
        <w:t>9</w:t>
      </w:r>
      <w:r w:rsidR="00485F55">
        <w:rPr>
          <w:rFonts w:ascii="Helvetica-Bold" w:hAnsi="Helvetica-Bold" w:cs="Helvetica-Bold"/>
          <w:b/>
          <w:bCs/>
        </w:rPr>
        <w:t>9</w:t>
      </w:r>
      <w:r>
        <w:rPr>
          <w:rFonts w:ascii="Helvetica-Bold" w:hAnsi="Helvetica-Bold" w:cs="Helvetica-Bold"/>
          <w:b/>
          <w:bCs/>
        </w:rPr>
        <w:t xml:space="preserve"> %</w:t>
      </w:r>
      <w:r>
        <w:rPr>
          <w:rFonts w:ascii="Helvetica" w:hAnsi="Helvetica" w:cs="Helvetica"/>
        </w:rPr>
        <w:t>.</w:t>
      </w:r>
    </w:p>
    <w:p w14:paraId="5B556775" w14:textId="697857CC" w:rsidR="0045793F" w:rsidRDefault="0045793F" w:rsidP="000C531A">
      <w:pPr>
        <w:autoSpaceDE w:val="0"/>
        <w:autoSpaceDN w:val="0"/>
        <w:adjustRightInd w:val="0"/>
        <w:spacing w:before="0" w:after="12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Zhotovitel je oprávn</w:t>
      </w:r>
      <w:r>
        <w:rPr>
          <w:rFonts w:cs="Arial"/>
        </w:rPr>
        <w:t>ě</w:t>
      </w:r>
      <w:r>
        <w:rPr>
          <w:rFonts w:ascii="Helvetica" w:hAnsi="Helvetica" w:cs="Helvetica"/>
        </w:rPr>
        <w:t>n dle pot</w:t>
      </w:r>
      <w:r>
        <w:rPr>
          <w:rFonts w:cs="Arial"/>
        </w:rPr>
        <w:t>ř</w:t>
      </w:r>
      <w:r>
        <w:rPr>
          <w:rFonts w:ascii="Helvetica" w:hAnsi="Helvetica" w:cs="Helvetica"/>
        </w:rPr>
        <w:t>eby provád</w:t>
      </w:r>
      <w:r>
        <w:rPr>
          <w:rFonts w:cs="Arial"/>
        </w:rPr>
        <w:t>ě</w:t>
      </w:r>
      <w:r>
        <w:rPr>
          <w:rFonts w:ascii="Helvetica" w:hAnsi="Helvetica" w:cs="Helvetica"/>
        </w:rPr>
        <w:t>t servisní zásahy v rámci sledovaných služeb</w:t>
      </w:r>
      <w:r w:rsidR="0028512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Objednatele, které m</w:t>
      </w:r>
      <w:r>
        <w:rPr>
          <w:rFonts w:cs="Arial"/>
        </w:rPr>
        <w:t>ů</w:t>
      </w:r>
      <w:r>
        <w:rPr>
          <w:rFonts w:ascii="Helvetica" w:hAnsi="Helvetica" w:cs="Helvetica"/>
        </w:rPr>
        <w:t>žou zahrnovat plánované p</w:t>
      </w:r>
      <w:r>
        <w:rPr>
          <w:rFonts w:cs="Arial"/>
        </w:rPr>
        <w:t>ř</w:t>
      </w:r>
      <w:r>
        <w:rPr>
          <w:rFonts w:ascii="Helvetica" w:hAnsi="Helvetica" w:cs="Helvetica"/>
        </w:rPr>
        <w:t>erušení poskytovaných služeb (dále jen</w:t>
      </w:r>
      <w:r w:rsidR="0028512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„</w:t>
      </w:r>
      <w:r>
        <w:rPr>
          <w:rFonts w:ascii="Helvetica-Bold" w:hAnsi="Helvetica-Bold" w:cs="Helvetica-Bold"/>
          <w:b/>
          <w:bCs/>
        </w:rPr>
        <w:t>Odstávka</w:t>
      </w:r>
      <w:r>
        <w:rPr>
          <w:rFonts w:ascii="Helvetica" w:hAnsi="Helvetica" w:cs="Helvetica"/>
        </w:rPr>
        <w:t>“).</w:t>
      </w:r>
    </w:p>
    <w:p w14:paraId="766EEA90" w14:textId="77777777" w:rsidR="0045793F" w:rsidRDefault="0045793F" w:rsidP="000C531A">
      <w:pPr>
        <w:autoSpaceDE w:val="0"/>
        <w:autoSpaceDN w:val="0"/>
        <w:adjustRightInd w:val="0"/>
        <w:spacing w:before="0" w:after="12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Zhotovitel m</w:t>
      </w:r>
      <w:r>
        <w:rPr>
          <w:rFonts w:cs="Arial"/>
        </w:rPr>
        <w:t>ů</w:t>
      </w:r>
      <w:r>
        <w:rPr>
          <w:rFonts w:ascii="Helvetica" w:hAnsi="Helvetica" w:cs="Helvetica"/>
        </w:rPr>
        <w:t>že Odstávku provést:</w:t>
      </w:r>
    </w:p>
    <w:p w14:paraId="1C8E2D66" w14:textId="75EC2464" w:rsidR="0045793F" w:rsidRDefault="0045793F" w:rsidP="000C531A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hAnsi="Helvetica" w:cs="Helvetica"/>
        </w:rPr>
      </w:pPr>
      <w:r>
        <w:rPr>
          <w:rFonts w:ascii="Symbol" w:hAnsi="Symbol" w:cs="Symbol"/>
        </w:rPr>
        <w:t xml:space="preserve">· </w:t>
      </w:r>
      <w:r>
        <w:rPr>
          <w:rFonts w:ascii="Helvetica" w:hAnsi="Helvetica" w:cs="Helvetica"/>
        </w:rPr>
        <w:t>na základ</w:t>
      </w:r>
      <w:r>
        <w:rPr>
          <w:rFonts w:cs="Arial"/>
        </w:rPr>
        <w:t xml:space="preserve">ě </w:t>
      </w:r>
      <w:r>
        <w:rPr>
          <w:rFonts w:ascii="Helvetica" w:hAnsi="Helvetica" w:cs="Helvetica"/>
        </w:rPr>
        <w:t>dohody s Objednatelem v p</w:t>
      </w:r>
      <w:r>
        <w:rPr>
          <w:rFonts w:cs="Arial"/>
        </w:rPr>
        <w:t>ř</w:t>
      </w:r>
      <w:r>
        <w:rPr>
          <w:rFonts w:ascii="Helvetica" w:hAnsi="Helvetica" w:cs="Helvetica"/>
        </w:rPr>
        <w:t>edem stanovených termínech a rozsahu, kdy</w:t>
      </w:r>
      <w:r w:rsidR="0028512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</w:t>
      </w:r>
      <w:r>
        <w:rPr>
          <w:rFonts w:cs="Arial"/>
        </w:rPr>
        <w:t>ř</w:t>
      </w:r>
      <w:r>
        <w:rPr>
          <w:rFonts w:ascii="Helvetica" w:hAnsi="Helvetica" w:cs="Helvetica"/>
        </w:rPr>
        <w:t>edem stanoveným termínem se rozumí termín sjednaný alespo</w:t>
      </w:r>
      <w:r>
        <w:rPr>
          <w:rFonts w:cs="Arial"/>
        </w:rPr>
        <w:t xml:space="preserve">ň </w:t>
      </w:r>
      <w:r>
        <w:rPr>
          <w:rFonts w:ascii="Helvetica" w:hAnsi="Helvetica" w:cs="Helvetica"/>
        </w:rPr>
        <w:t>p</w:t>
      </w:r>
      <w:r>
        <w:rPr>
          <w:rFonts w:cs="Arial"/>
        </w:rPr>
        <w:t>ě</w:t>
      </w:r>
      <w:r>
        <w:rPr>
          <w:rFonts w:ascii="Helvetica" w:hAnsi="Helvetica" w:cs="Helvetica"/>
        </w:rPr>
        <w:t>t (5) pracovních</w:t>
      </w:r>
      <w:r w:rsidR="0028512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dn</w:t>
      </w:r>
      <w:r>
        <w:rPr>
          <w:rFonts w:cs="Arial"/>
        </w:rPr>
        <w:t xml:space="preserve">ů </w:t>
      </w:r>
      <w:r>
        <w:rPr>
          <w:rFonts w:ascii="Helvetica" w:hAnsi="Helvetica" w:cs="Helvetica"/>
        </w:rPr>
        <w:t>p</w:t>
      </w:r>
      <w:r>
        <w:rPr>
          <w:rFonts w:cs="Arial"/>
        </w:rPr>
        <w:t>ř</w:t>
      </w:r>
      <w:r>
        <w:rPr>
          <w:rFonts w:ascii="Helvetica" w:hAnsi="Helvetica" w:cs="Helvetica"/>
        </w:rPr>
        <w:t>edem;</w:t>
      </w:r>
    </w:p>
    <w:p w14:paraId="13D15215" w14:textId="46A275B7" w:rsidR="0045793F" w:rsidRDefault="0045793F" w:rsidP="000C531A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hAnsi="Helvetica" w:cs="Helvetica"/>
        </w:rPr>
      </w:pPr>
      <w:r>
        <w:rPr>
          <w:rFonts w:ascii="Symbol" w:hAnsi="Symbol" w:cs="Symbol"/>
        </w:rPr>
        <w:t xml:space="preserve">· </w:t>
      </w:r>
      <w:r>
        <w:rPr>
          <w:rFonts w:ascii="Helvetica" w:hAnsi="Helvetica" w:cs="Helvetica"/>
        </w:rPr>
        <w:t>ze závažných d</w:t>
      </w:r>
      <w:r>
        <w:rPr>
          <w:rFonts w:cs="Arial"/>
        </w:rPr>
        <w:t>ů</w:t>
      </w:r>
      <w:r>
        <w:rPr>
          <w:rFonts w:ascii="Helvetica" w:hAnsi="Helvetica" w:cs="Helvetica"/>
        </w:rPr>
        <w:t>vod</w:t>
      </w:r>
      <w:r>
        <w:rPr>
          <w:rFonts w:cs="Arial"/>
        </w:rPr>
        <w:t xml:space="preserve">ů </w:t>
      </w:r>
      <w:r>
        <w:rPr>
          <w:rFonts w:ascii="Helvetica" w:hAnsi="Helvetica" w:cs="Helvetica"/>
        </w:rPr>
        <w:t>mimo p</w:t>
      </w:r>
      <w:r>
        <w:rPr>
          <w:rFonts w:cs="Arial"/>
        </w:rPr>
        <w:t>ř</w:t>
      </w:r>
      <w:r>
        <w:rPr>
          <w:rFonts w:ascii="Helvetica" w:hAnsi="Helvetica" w:cs="Helvetica"/>
        </w:rPr>
        <w:t>edem stanovené termíny, pokud o svém úmyslu</w:t>
      </w:r>
      <w:r w:rsidR="0028512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vyrozumí Objednatele v</w:t>
      </w:r>
      <w:r>
        <w:rPr>
          <w:rFonts w:cs="Arial"/>
        </w:rPr>
        <w:t>č</w:t>
      </w:r>
      <w:r>
        <w:rPr>
          <w:rFonts w:ascii="Helvetica" w:hAnsi="Helvetica" w:cs="Helvetica"/>
        </w:rPr>
        <w:t>as, tj. nejpozd</w:t>
      </w:r>
      <w:r>
        <w:rPr>
          <w:rFonts w:cs="Arial"/>
        </w:rPr>
        <w:t>ě</w:t>
      </w:r>
      <w:r>
        <w:rPr>
          <w:rFonts w:ascii="Helvetica" w:hAnsi="Helvetica" w:cs="Helvetica"/>
        </w:rPr>
        <w:t xml:space="preserve">ji dvacet </w:t>
      </w:r>
      <w:r>
        <w:rPr>
          <w:rFonts w:cs="Arial"/>
        </w:rPr>
        <w:t>č</w:t>
      </w:r>
      <w:r>
        <w:rPr>
          <w:rFonts w:ascii="Helvetica" w:hAnsi="Helvetica" w:cs="Helvetica"/>
        </w:rPr>
        <w:t>ty</w:t>
      </w:r>
      <w:r>
        <w:rPr>
          <w:rFonts w:cs="Arial"/>
        </w:rPr>
        <w:t>ř</w:t>
      </w:r>
      <w:r>
        <w:rPr>
          <w:rFonts w:ascii="Helvetica" w:hAnsi="Helvetica" w:cs="Helvetica"/>
        </w:rPr>
        <w:t>i (24) hod. p</w:t>
      </w:r>
      <w:r>
        <w:rPr>
          <w:rFonts w:cs="Arial"/>
        </w:rPr>
        <w:t>ř</w:t>
      </w:r>
      <w:r>
        <w:rPr>
          <w:rFonts w:ascii="Helvetica" w:hAnsi="Helvetica" w:cs="Helvetica"/>
        </w:rPr>
        <w:t>ed plánovaným</w:t>
      </w:r>
      <w:r w:rsidR="0028512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zahájením Odstávky a Objednatel bude s Odstávkou souhlasit.</w:t>
      </w:r>
    </w:p>
    <w:p w14:paraId="60469DA2" w14:textId="77777777" w:rsidR="0045793F" w:rsidRDefault="0045793F" w:rsidP="000C531A">
      <w:pPr>
        <w:autoSpaceDE w:val="0"/>
        <w:autoSpaceDN w:val="0"/>
        <w:adjustRightInd w:val="0"/>
        <w:spacing w:before="0" w:after="12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Za dobu trvání Odstávky se dostupnost služby nezapo</w:t>
      </w:r>
      <w:r>
        <w:rPr>
          <w:rFonts w:cs="Arial"/>
        </w:rPr>
        <w:t>č</w:t>
      </w:r>
      <w:r>
        <w:rPr>
          <w:rFonts w:ascii="Helvetica" w:hAnsi="Helvetica" w:cs="Helvetica"/>
        </w:rPr>
        <w:t>ítává do sledovaného období.</w:t>
      </w:r>
    </w:p>
    <w:p w14:paraId="2979A454" w14:textId="1022C361" w:rsidR="0045793F" w:rsidRDefault="0045793F" w:rsidP="000C531A">
      <w:pPr>
        <w:autoSpaceDE w:val="0"/>
        <w:autoSpaceDN w:val="0"/>
        <w:adjustRightInd w:val="0"/>
        <w:spacing w:before="0" w:after="12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 rámci </w:t>
      </w:r>
      <w:r w:rsidR="002E608B">
        <w:rPr>
          <w:rFonts w:ascii="Helvetica" w:hAnsi="Helvetica" w:cs="Helvetica"/>
        </w:rPr>
        <w:t>ověřovacího</w:t>
      </w:r>
      <w:r>
        <w:rPr>
          <w:rFonts w:ascii="Helvetica" w:hAnsi="Helvetica" w:cs="Helvetica"/>
        </w:rPr>
        <w:t xml:space="preserve"> provozu Systému je nezbytné zajišt</w:t>
      </w:r>
      <w:r>
        <w:rPr>
          <w:rFonts w:cs="Arial"/>
        </w:rPr>
        <w:t>ě</w:t>
      </w:r>
      <w:r>
        <w:rPr>
          <w:rFonts w:ascii="Helvetica" w:hAnsi="Helvetica" w:cs="Helvetica"/>
        </w:rPr>
        <w:t>ní níže uvedených aktivit souvisejících</w:t>
      </w:r>
      <w:r w:rsidR="00251E7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se systémy MS Azure </w:t>
      </w:r>
      <w:proofErr w:type="spellStart"/>
      <w:r>
        <w:rPr>
          <w:rFonts w:ascii="Helvetica" w:hAnsi="Helvetica" w:cs="Helvetica"/>
        </w:rPr>
        <w:t>Stack</w:t>
      </w:r>
      <w:proofErr w:type="spellEnd"/>
      <w:r>
        <w:rPr>
          <w:rFonts w:ascii="Helvetica" w:hAnsi="Helvetica" w:cs="Helvetica"/>
        </w:rPr>
        <w:t xml:space="preserve"> umíst</w:t>
      </w:r>
      <w:r>
        <w:rPr>
          <w:rFonts w:cs="Arial"/>
        </w:rPr>
        <w:t>ě</w:t>
      </w:r>
      <w:r>
        <w:rPr>
          <w:rFonts w:ascii="Helvetica" w:hAnsi="Helvetica" w:cs="Helvetica"/>
        </w:rPr>
        <w:t>ními v DC Vápenka a DC Zelene</w:t>
      </w:r>
      <w:r>
        <w:rPr>
          <w:rFonts w:cs="Arial"/>
        </w:rPr>
        <w:t xml:space="preserve">č </w:t>
      </w:r>
      <w:r>
        <w:rPr>
          <w:rFonts w:ascii="Helvetica" w:hAnsi="Helvetica" w:cs="Helvetica"/>
        </w:rPr>
        <w:t>(správa MS Azure</w:t>
      </w:r>
      <w:r w:rsidR="00251E7E"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Stack</w:t>
      </w:r>
      <w:proofErr w:type="spellEnd"/>
      <w:r>
        <w:rPr>
          <w:rFonts w:ascii="Helvetica" w:hAnsi="Helvetica" w:cs="Helvetica"/>
        </w:rPr>
        <w:t>, sí</w:t>
      </w:r>
      <w:r>
        <w:rPr>
          <w:rFonts w:cs="Arial"/>
        </w:rPr>
        <w:t>ť</w:t>
      </w:r>
      <w:r>
        <w:rPr>
          <w:rFonts w:ascii="Helvetica" w:hAnsi="Helvetica" w:cs="Helvetica"/>
        </w:rPr>
        <w:t>ová infrastruktura a sí</w:t>
      </w:r>
      <w:r>
        <w:rPr>
          <w:rFonts w:cs="Arial"/>
        </w:rPr>
        <w:t>ť</w:t>
      </w:r>
      <w:r>
        <w:rPr>
          <w:rFonts w:ascii="Helvetica" w:hAnsi="Helvetica" w:cs="Helvetica"/>
        </w:rPr>
        <w:t>ové propojení systém</w:t>
      </w:r>
      <w:r>
        <w:rPr>
          <w:rFonts w:cs="Arial"/>
        </w:rPr>
        <w:t>ů</w:t>
      </w:r>
      <w:r>
        <w:rPr>
          <w:rFonts w:ascii="Helvetica" w:hAnsi="Helvetica" w:cs="Helvetica"/>
        </w:rPr>
        <w:t>):</w:t>
      </w:r>
    </w:p>
    <w:p w14:paraId="06F720BA" w14:textId="30644442" w:rsidR="00600A65" w:rsidRDefault="0045793F" w:rsidP="00251E7E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hAnsi="Helvetica" w:cs="Helvetica"/>
        </w:rPr>
      </w:pPr>
      <w:r>
        <w:rPr>
          <w:rFonts w:ascii="CalibriLight" w:eastAsia="CalibriLight" w:hAnsi="Helvetica" w:cs="CalibriLight" w:hint="eastAsia"/>
        </w:rPr>
        <w:t>‒</w:t>
      </w:r>
      <w:r>
        <w:rPr>
          <w:rFonts w:ascii="CalibriLight" w:eastAsia="CalibriLight" w:hAnsi="Helvetica" w:cs="CalibriLight"/>
        </w:rPr>
        <w:t xml:space="preserve"> </w:t>
      </w:r>
      <w:r>
        <w:rPr>
          <w:rFonts w:ascii="Helvetica" w:hAnsi="Helvetica" w:cs="Helvetica"/>
        </w:rPr>
        <w:t>Zajišt</w:t>
      </w:r>
      <w:r>
        <w:rPr>
          <w:rFonts w:cs="Arial"/>
        </w:rPr>
        <w:t>ě</w:t>
      </w:r>
      <w:r>
        <w:rPr>
          <w:rFonts w:ascii="Helvetica" w:hAnsi="Helvetica" w:cs="Helvetica"/>
        </w:rPr>
        <w:t xml:space="preserve">ní </w:t>
      </w:r>
      <w:proofErr w:type="spellStart"/>
      <w:r>
        <w:rPr>
          <w:rFonts w:ascii="Helvetica" w:hAnsi="Helvetica" w:cs="Helvetica"/>
        </w:rPr>
        <w:t>housingu</w:t>
      </w:r>
      <w:proofErr w:type="spellEnd"/>
      <w:r>
        <w:rPr>
          <w:rFonts w:ascii="Helvetica" w:hAnsi="Helvetica" w:cs="Helvetica"/>
        </w:rPr>
        <w:t xml:space="preserve"> pro MS Azure </w:t>
      </w:r>
      <w:proofErr w:type="spellStart"/>
      <w:r>
        <w:rPr>
          <w:rFonts w:ascii="Helvetica" w:hAnsi="Helvetica" w:cs="Helvetica"/>
        </w:rPr>
        <w:t>Stack</w:t>
      </w:r>
      <w:proofErr w:type="spellEnd"/>
      <w:r>
        <w:rPr>
          <w:rFonts w:ascii="Helvetica" w:hAnsi="Helvetica" w:cs="Helvetica"/>
        </w:rPr>
        <w:t xml:space="preserve"> (1x </w:t>
      </w:r>
      <w:proofErr w:type="spellStart"/>
      <w:r>
        <w:rPr>
          <w:rFonts w:ascii="Helvetica" w:hAnsi="Helvetica" w:cs="Helvetica"/>
        </w:rPr>
        <w:t>rack</w:t>
      </w:r>
      <w:proofErr w:type="spellEnd"/>
      <w:r>
        <w:rPr>
          <w:rFonts w:ascii="Helvetica" w:hAnsi="Helvetica" w:cs="Helvetica"/>
        </w:rPr>
        <w:t xml:space="preserve"> v DC Zelene</w:t>
      </w:r>
      <w:r>
        <w:rPr>
          <w:rFonts w:cs="Arial"/>
        </w:rPr>
        <w:t>č</w:t>
      </w:r>
      <w:r>
        <w:rPr>
          <w:rFonts w:ascii="Helvetica" w:hAnsi="Helvetica" w:cs="Helvetica"/>
        </w:rPr>
        <w:t xml:space="preserve">, 1x </w:t>
      </w:r>
      <w:proofErr w:type="spellStart"/>
      <w:r>
        <w:rPr>
          <w:rFonts w:ascii="Helvetica" w:hAnsi="Helvetica" w:cs="Helvetica"/>
        </w:rPr>
        <w:t>rack</w:t>
      </w:r>
      <w:proofErr w:type="spellEnd"/>
      <w:r>
        <w:rPr>
          <w:rFonts w:ascii="Helvetica" w:hAnsi="Helvetica" w:cs="Helvetica"/>
        </w:rPr>
        <w:t xml:space="preserve"> v DC Vápenka</w:t>
      </w:r>
      <w:r w:rsidR="00DA1A6F">
        <w:rPr>
          <w:rFonts w:ascii="Helvetica" w:hAnsi="Helvetica" w:cs="Helvetica"/>
        </w:rPr>
        <w:t xml:space="preserve">) </w:t>
      </w:r>
      <w:r>
        <w:rPr>
          <w:rFonts w:ascii="Helvetica" w:hAnsi="Helvetica" w:cs="Helvetica"/>
        </w:rPr>
        <w:t>v</w:t>
      </w:r>
      <w:r>
        <w:rPr>
          <w:rFonts w:cs="Arial"/>
        </w:rPr>
        <w:t>č</w:t>
      </w:r>
      <w:r>
        <w:rPr>
          <w:rFonts w:ascii="Helvetica" w:hAnsi="Helvetica" w:cs="Helvetica"/>
        </w:rPr>
        <w:t>etn</w:t>
      </w:r>
      <w:r>
        <w:rPr>
          <w:rFonts w:cs="Arial"/>
        </w:rPr>
        <w:t xml:space="preserve">ě </w:t>
      </w:r>
      <w:r>
        <w:rPr>
          <w:rFonts w:ascii="Helvetica" w:hAnsi="Helvetica" w:cs="Helvetica"/>
        </w:rPr>
        <w:t>elektrického napájení.</w:t>
      </w:r>
    </w:p>
    <w:p w14:paraId="70A22307" w14:textId="548B4272" w:rsidR="00AB1BC3" w:rsidRDefault="00AB1BC3" w:rsidP="00251E7E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>
        <w:rPr>
          <w:rFonts w:ascii="Helvetica" w:eastAsia="CalibriLight" w:hAnsi="Helvetica" w:cs="Helvetica"/>
        </w:rPr>
        <w:t>Zajišt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ní a správa systém</w:t>
      </w:r>
      <w:r>
        <w:rPr>
          <w:rFonts w:eastAsia="CalibriLight" w:cs="Arial"/>
        </w:rPr>
        <w:t xml:space="preserve">ů </w:t>
      </w:r>
      <w:r>
        <w:rPr>
          <w:rFonts w:ascii="Helvetica" w:eastAsia="CalibriLight" w:hAnsi="Helvetica" w:cs="Helvetica"/>
        </w:rPr>
        <w:t xml:space="preserve">MS Azure </w:t>
      </w:r>
      <w:proofErr w:type="spellStart"/>
      <w:r>
        <w:rPr>
          <w:rFonts w:ascii="Helvetica" w:eastAsia="CalibriLight" w:hAnsi="Helvetica" w:cs="Helvetica"/>
        </w:rPr>
        <w:t>Stack</w:t>
      </w:r>
      <w:proofErr w:type="spellEnd"/>
      <w:r>
        <w:rPr>
          <w:rFonts w:ascii="Helvetica" w:eastAsia="CalibriLight" w:hAnsi="Helvetica" w:cs="Helvetica"/>
        </w:rPr>
        <w:t xml:space="preserve"> v DC Vápenka a v DC Zelene</w:t>
      </w:r>
      <w:r>
        <w:rPr>
          <w:rFonts w:eastAsia="CalibriLight" w:cs="Arial"/>
        </w:rPr>
        <w:t>č</w:t>
      </w:r>
      <w:r w:rsidR="00DA1A6F">
        <w:rPr>
          <w:rFonts w:eastAsia="CalibriLight" w:cs="Arial"/>
        </w:rPr>
        <w:t xml:space="preserve"> </w:t>
      </w:r>
      <w:r>
        <w:rPr>
          <w:rFonts w:ascii="Helvetica" w:eastAsia="CalibriLight" w:hAnsi="Helvetica" w:cs="Helvetica"/>
        </w:rPr>
        <w:t>(monitorování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 xml:space="preserve">stavu, zálohování systémových konfigurací a </w:t>
      </w:r>
      <w:r>
        <w:rPr>
          <w:rFonts w:eastAsia="CalibriLight" w:cs="Arial"/>
        </w:rPr>
        <w:t>ř</w:t>
      </w:r>
      <w:r>
        <w:rPr>
          <w:rFonts w:ascii="Helvetica" w:eastAsia="CalibriLight" w:hAnsi="Helvetica" w:cs="Helvetica"/>
        </w:rPr>
        <w:t>ešení vzniklých problém</w:t>
      </w:r>
      <w:r>
        <w:rPr>
          <w:rFonts w:eastAsia="CalibriLight" w:cs="Arial"/>
        </w:rPr>
        <w:t xml:space="preserve">ů </w:t>
      </w:r>
      <w:r>
        <w:rPr>
          <w:rFonts w:ascii="Helvetica" w:eastAsia="CalibriLight" w:hAnsi="Helvetica" w:cs="Helvetica"/>
        </w:rPr>
        <w:t>na úrovni HW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 xml:space="preserve">infrastruktury a systému MS Azure </w:t>
      </w:r>
      <w:proofErr w:type="spellStart"/>
      <w:r>
        <w:rPr>
          <w:rFonts w:ascii="Helvetica" w:eastAsia="CalibriLight" w:hAnsi="Helvetica" w:cs="Helvetica"/>
        </w:rPr>
        <w:t>Stack</w:t>
      </w:r>
      <w:proofErr w:type="spellEnd"/>
      <w:r>
        <w:rPr>
          <w:rFonts w:ascii="Helvetica" w:eastAsia="CalibriLight" w:hAnsi="Helvetica" w:cs="Helvetica"/>
        </w:rPr>
        <w:t>).</w:t>
      </w:r>
    </w:p>
    <w:p w14:paraId="5750191C" w14:textId="54943FCE" w:rsidR="00AB1BC3" w:rsidRDefault="00AB1BC3" w:rsidP="00251E7E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>
        <w:rPr>
          <w:rFonts w:ascii="Helvetica" w:eastAsia="CalibriLight" w:hAnsi="Helvetica" w:cs="Helvetica"/>
        </w:rPr>
        <w:t>Zajišt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ní a správa sí</w:t>
      </w:r>
      <w:r>
        <w:rPr>
          <w:rFonts w:eastAsia="CalibriLight" w:cs="Arial"/>
        </w:rPr>
        <w:t>ť</w:t>
      </w:r>
      <w:r>
        <w:rPr>
          <w:rFonts w:ascii="Helvetica" w:eastAsia="CalibriLight" w:hAnsi="Helvetica" w:cs="Helvetica"/>
        </w:rPr>
        <w:t>ové infrastruktury pro p</w:t>
      </w:r>
      <w:r>
        <w:rPr>
          <w:rFonts w:eastAsia="CalibriLight" w:cs="Arial"/>
        </w:rPr>
        <w:t>ř</w:t>
      </w:r>
      <w:r>
        <w:rPr>
          <w:rFonts w:ascii="Helvetica" w:eastAsia="CalibriLight" w:hAnsi="Helvetica" w:cs="Helvetica"/>
        </w:rPr>
        <w:t>ipojení systém</w:t>
      </w:r>
      <w:r>
        <w:rPr>
          <w:rFonts w:eastAsia="CalibriLight" w:cs="Arial"/>
        </w:rPr>
        <w:t xml:space="preserve">ů </w:t>
      </w:r>
      <w:r>
        <w:rPr>
          <w:rFonts w:ascii="Helvetica" w:eastAsia="CalibriLight" w:hAnsi="Helvetica" w:cs="Helvetica"/>
        </w:rPr>
        <w:t xml:space="preserve">MS Azure </w:t>
      </w:r>
      <w:proofErr w:type="spellStart"/>
      <w:r>
        <w:rPr>
          <w:rFonts w:ascii="Helvetica" w:eastAsia="CalibriLight" w:hAnsi="Helvetica" w:cs="Helvetica"/>
        </w:rPr>
        <w:t>Stack</w:t>
      </w:r>
      <w:proofErr w:type="spellEnd"/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 xml:space="preserve">(monitorování stavu, zálohování systémových konfigurací a </w:t>
      </w:r>
      <w:r>
        <w:rPr>
          <w:rFonts w:eastAsia="CalibriLight" w:cs="Arial"/>
        </w:rPr>
        <w:t>ř</w:t>
      </w:r>
      <w:r>
        <w:rPr>
          <w:rFonts w:ascii="Helvetica" w:eastAsia="CalibriLight" w:hAnsi="Helvetica" w:cs="Helvetica"/>
        </w:rPr>
        <w:t>ešení vzniklých problém</w:t>
      </w:r>
      <w:r>
        <w:rPr>
          <w:rFonts w:eastAsia="CalibriLight" w:cs="Arial"/>
        </w:rPr>
        <w:t xml:space="preserve">ů </w:t>
      </w:r>
      <w:r>
        <w:rPr>
          <w:rFonts w:ascii="Helvetica" w:eastAsia="CalibriLight" w:hAnsi="Helvetica" w:cs="Helvetica"/>
        </w:rPr>
        <w:t>na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>úrovni HW infrastruktury).</w:t>
      </w:r>
    </w:p>
    <w:p w14:paraId="58AF74F6" w14:textId="4D2E1253" w:rsidR="00AB1BC3" w:rsidRDefault="00AB1BC3" w:rsidP="00DA1A6F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>
        <w:rPr>
          <w:rFonts w:ascii="Helvetica" w:eastAsia="CalibriLight" w:hAnsi="Helvetica" w:cs="Helvetica"/>
        </w:rPr>
        <w:t>Zajišt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ní propojení mezi DC Vápenka a DC Zelene</w:t>
      </w:r>
      <w:r>
        <w:rPr>
          <w:rFonts w:eastAsia="CalibriLight" w:cs="Arial"/>
        </w:rPr>
        <w:t xml:space="preserve">č </w:t>
      </w:r>
      <w:r>
        <w:rPr>
          <w:rFonts w:ascii="Helvetica" w:eastAsia="CalibriLight" w:hAnsi="Helvetica" w:cs="Helvetica"/>
        </w:rPr>
        <w:t>pro prvky sí</w:t>
      </w:r>
      <w:r>
        <w:rPr>
          <w:rFonts w:eastAsia="CalibriLight" w:cs="Arial"/>
        </w:rPr>
        <w:t>ť</w:t>
      </w:r>
      <w:r>
        <w:rPr>
          <w:rFonts w:ascii="Helvetica" w:eastAsia="CalibriLight" w:hAnsi="Helvetica" w:cs="Helvetica"/>
        </w:rPr>
        <w:t>ové infrastruktury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 xml:space="preserve">poskytované pro systémy MS Azure </w:t>
      </w:r>
      <w:proofErr w:type="spellStart"/>
      <w:r>
        <w:rPr>
          <w:rFonts w:ascii="Helvetica" w:eastAsia="CalibriLight" w:hAnsi="Helvetica" w:cs="Helvetica"/>
        </w:rPr>
        <w:t>Stack</w:t>
      </w:r>
      <w:proofErr w:type="spellEnd"/>
      <w:r>
        <w:rPr>
          <w:rFonts w:ascii="Helvetica" w:eastAsia="CalibriLight" w:hAnsi="Helvetica" w:cs="Helvetica"/>
        </w:rPr>
        <w:t xml:space="preserve"> (2 nezávislé linky s p</w:t>
      </w:r>
      <w:r>
        <w:rPr>
          <w:rFonts w:eastAsia="CalibriLight" w:cs="Arial"/>
        </w:rPr>
        <w:t>ř</w:t>
      </w:r>
      <w:r>
        <w:rPr>
          <w:rFonts w:ascii="Helvetica" w:eastAsia="CalibriLight" w:hAnsi="Helvetica" w:cs="Helvetica"/>
        </w:rPr>
        <w:t>enosovou rychlostí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>10Gbps).</w:t>
      </w:r>
    </w:p>
    <w:p w14:paraId="145DEA4C" w14:textId="6E039908" w:rsidR="00AB1BC3" w:rsidRDefault="00AB1BC3" w:rsidP="00DA1A6F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>
        <w:rPr>
          <w:rFonts w:ascii="Helvetica" w:eastAsia="CalibriLight" w:hAnsi="Helvetica" w:cs="Helvetica"/>
        </w:rPr>
        <w:t>Zajišt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ní prost</w:t>
      </w:r>
      <w:r>
        <w:rPr>
          <w:rFonts w:eastAsia="CalibriLight" w:cs="Arial"/>
        </w:rPr>
        <w:t>ř</w:t>
      </w:r>
      <w:r>
        <w:rPr>
          <w:rFonts w:ascii="Helvetica" w:eastAsia="CalibriLight" w:hAnsi="Helvetica" w:cs="Helvetica"/>
        </w:rPr>
        <w:t>edí MS Azure cloud (Azure kredity pro provoz jednotlivých komponent,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 xml:space="preserve">certifikáty, </w:t>
      </w:r>
      <w:proofErr w:type="spellStart"/>
      <w:r>
        <w:rPr>
          <w:rFonts w:ascii="Helvetica" w:eastAsia="CalibriLight" w:hAnsi="Helvetica" w:cs="Helvetica"/>
        </w:rPr>
        <w:t>Fortigate</w:t>
      </w:r>
      <w:proofErr w:type="spellEnd"/>
      <w:r>
        <w:rPr>
          <w:rFonts w:ascii="Helvetica" w:eastAsia="CalibriLight" w:hAnsi="Helvetica" w:cs="Helvetica"/>
        </w:rPr>
        <w:t>).</w:t>
      </w:r>
    </w:p>
    <w:p w14:paraId="73766799" w14:textId="3BCD633E" w:rsidR="00AB1BC3" w:rsidRDefault="00AB1BC3" w:rsidP="00DA1A6F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>
        <w:rPr>
          <w:rFonts w:ascii="Helvetica" w:eastAsia="CalibriLight" w:hAnsi="Helvetica" w:cs="Helvetica"/>
        </w:rPr>
        <w:t>Zajišt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ní b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hu jednotlivých podp</w:t>
      </w:r>
      <w:r>
        <w:rPr>
          <w:rFonts w:eastAsia="CalibriLight" w:cs="Arial"/>
        </w:rPr>
        <w:t>ů</w:t>
      </w:r>
      <w:r>
        <w:rPr>
          <w:rFonts w:ascii="Helvetica" w:eastAsia="CalibriLight" w:hAnsi="Helvetica" w:cs="Helvetica"/>
        </w:rPr>
        <w:t>rných infrastrukturních komponent, ze kterých s</w:t>
      </w:r>
      <w:r w:rsidR="00DA1A6F">
        <w:rPr>
          <w:rFonts w:ascii="Helvetica" w:eastAsia="CalibriLight" w:hAnsi="Helvetica" w:cs="Helvetica"/>
        </w:rPr>
        <w:t xml:space="preserve">e </w:t>
      </w:r>
      <w:r>
        <w:rPr>
          <w:rFonts w:ascii="Helvetica" w:eastAsia="CalibriLight" w:hAnsi="Helvetica" w:cs="Helvetica"/>
        </w:rPr>
        <w:t>skládá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eastAsia="CalibriLight" w:cs="Arial"/>
        </w:rPr>
        <w:t>ř</w:t>
      </w:r>
      <w:r>
        <w:rPr>
          <w:rFonts w:ascii="Helvetica" w:eastAsia="CalibriLight" w:hAnsi="Helvetica" w:cs="Helvetica"/>
        </w:rPr>
        <w:t>ešení Systému.</w:t>
      </w:r>
    </w:p>
    <w:p w14:paraId="32EA1C7F" w14:textId="4F9861C7" w:rsidR="00AB1BC3" w:rsidRDefault="00AB1BC3" w:rsidP="00DA1A6F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>
        <w:rPr>
          <w:rFonts w:ascii="Helvetica" w:eastAsia="CalibriLight" w:hAnsi="Helvetica" w:cs="Helvetica"/>
        </w:rPr>
        <w:t>Zajišt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ní dostupnosti 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chto b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 xml:space="preserve">hových komponent pro Objednatele: </w:t>
      </w:r>
      <w:proofErr w:type="spellStart"/>
      <w:r>
        <w:rPr>
          <w:rFonts w:ascii="Helvetica" w:eastAsia="CalibriLight" w:hAnsi="Helvetica" w:cs="Helvetica"/>
        </w:rPr>
        <w:t>Content</w:t>
      </w:r>
      <w:proofErr w:type="spellEnd"/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>Management</w:t>
      </w:r>
      <w:r w:rsidR="00DA1A6F">
        <w:rPr>
          <w:rFonts w:ascii="Helvetica" w:eastAsia="CalibriLight" w:hAnsi="Helvetica" w:cs="Helvetica"/>
        </w:rPr>
        <w:t xml:space="preserve"> </w:t>
      </w:r>
      <w:proofErr w:type="spellStart"/>
      <w:r>
        <w:rPr>
          <w:rFonts w:ascii="Helvetica" w:eastAsia="CalibriLight" w:hAnsi="Helvetica" w:cs="Helvetica"/>
        </w:rPr>
        <w:t>System</w:t>
      </w:r>
      <w:proofErr w:type="spellEnd"/>
      <w:r>
        <w:rPr>
          <w:rFonts w:ascii="Helvetica" w:eastAsia="CalibriLight" w:hAnsi="Helvetica" w:cs="Helvetica"/>
        </w:rPr>
        <w:t xml:space="preserve"> – </w:t>
      </w:r>
      <w:proofErr w:type="spellStart"/>
      <w:r>
        <w:rPr>
          <w:rFonts w:ascii="Helvetica" w:eastAsia="CalibriLight" w:hAnsi="Helvetica" w:cs="Helvetica"/>
        </w:rPr>
        <w:t>Wordpress</w:t>
      </w:r>
      <w:proofErr w:type="spellEnd"/>
      <w:r>
        <w:rPr>
          <w:rFonts w:ascii="Helvetica" w:eastAsia="CalibriLight" w:hAnsi="Helvetica" w:cs="Helvetica"/>
        </w:rPr>
        <w:t>, Pluginy pot</w:t>
      </w:r>
      <w:r>
        <w:rPr>
          <w:rFonts w:eastAsia="CalibriLight" w:cs="Arial"/>
        </w:rPr>
        <w:t>ř</w:t>
      </w:r>
      <w:r>
        <w:rPr>
          <w:rFonts w:ascii="Helvetica" w:eastAsia="CalibriLight" w:hAnsi="Helvetica" w:cs="Helvetica"/>
        </w:rPr>
        <w:t xml:space="preserve">ebné pro </w:t>
      </w:r>
      <w:proofErr w:type="spellStart"/>
      <w:r>
        <w:rPr>
          <w:rFonts w:ascii="Helvetica" w:eastAsia="CalibriLight" w:hAnsi="Helvetica" w:cs="Helvetica"/>
        </w:rPr>
        <w:t>Wordpress</w:t>
      </w:r>
      <w:proofErr w:type="spellEnd"/>
      <w:r>
        <w:rPr>
          <w:rFonts w:ascii="Helvetica" w:eastAsia="CalibriLight" w:hAnsi="Helvetica" w:cs="Helvetica"/>
        </w:rPr>
        <w:t xml:space="preserve">, CKAN, </w:t>
      </w:r>
      <w:proofErr w:type="spellStart"/>
      <w:r>
        <w:rPr>
          <w:rFonts w:ascii="Helvetica" w:eastAsia="CalibriLight" w:hAnsi="Helvetica" w:cs="Helvetica"/>
        </w:rPr>
        <w:t>KeyCloak</w:t>
      </w:r>
      <w:proofErr w:type="spellEnd"/>
      <w:r>
        <w:rPr>
          <w:rFonts w:ascii="Helvetica" w:eastAsia="CalibriLight" w:hAnsi="Helvetica" w:cs="Helvetica"/>
        </w:rPr>
        <w:t xml:space="preserve">, </w:t>
      </w:r>
      <w:proofErr w:type="spellStart"/>
      <w:r>
        <w:rPr>
          <w:rFonts w:ascii="Helvetica" w:eastAsia="CalibriLight" w:hAnsi="Helvetica" w:cs="Helvetica"/>
        </w:rPr>
        <w:t>HaleConnect</w:t>
      </w:r>
      <w:proofErr w:type="spellEnd"/>
      <w:r>
        <w:rPr>
          <w:rFonts w:ascii="Helvetica" w:eastAsia="CalibriLight" w:hAnsi="Helvetica" w:cs="Helvetica"/>
        </w:rPr>
        <w:t>.</w:t>
      </w:r>
    </w:p>
    <w:p w14:paraId="1BB19323" w14:textId="23749955" w:rsidR="0045793F" w:rsidRPr="00DA1A6F" w:rsidRDefault="00AB1BC3" w:rsidP="00DA1A6F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>
        <w:rPr>
          <w:rFonts w:ascii="Helvetica" w:eastAsia="CalibriLight" w:hAnsi="Helvetica" w:cs="Helvetica"/>
        </w:rPr>
        <w:t>Zajišt</w:t>
      </w:r>
      <w:r>
        <w:rPr>
          <w:rFonts w:eastAsia="CalibriLight" w:cs="Arial"/>
        </w:rPr>
        <w:t>ě</w:t>
      </w:r>
      <w:r>
        <w:rPr>
          <w:rFonts w:ascii="Helvetica" w:eastAsia="CalibriLight" w:hAnsi="Helvetica" w:cs="Helvetica"/>
        </w:rPr>
        <w:t>ní provozní podpory pro komponenty: ETL, Administra</w:t>
      </w:r>
      <w:r>
        <w:rPr>
          <w:rFonts w:eastAsia="CalibriLight" w:cs="Arial"/>
        </w:rPr>
        <w:t>č</w:t>
      </w:r>
      <w:r>
        <w:rPr>
          <w:rFonts w:ascii="Helvetica" w:eastAsia="CalibriLight" w:hAnsi="Helvetica" w:cs="Helvetica"/>
        </w:rPr>
        <w:t>ní komponenta ETL,</w:t>
      </w:r>
      <w:r w:rsidR="00DA1A6F">
        <w:rPr>
          <w:rFonts w:ascii="Helvetica" w:eastAsia="CalibriLight" w:hAnsi="Helvetica" w:cs="Helvetica"/>
        </w:rPr>
        <w:t xml:space="preserve"> </w:t>
      </w:r>
      <w:r>
        <w:rPr>
          <w:rFonts w:ascii="Helvetica" w:eastAsia="CalibriLight" w:hAnsi="Helvetica" w:cs="Helvetica"/>
        </w:rPr>
        <w:t>Publika</w:t>
      </w:r>
      <w:r>
        <w:rPr>
          <w:rFonts w:eastAsia="CalibriLight" w:cs="Arial"/>
        </w:rPr>
        <w:t>č</w:t>
      </w:r>
      <w:r>
        <w:rPr>
          <w:rFonts w:ascii="Helvetica" w:eastAsia="CalibriLight" w:hAnsi="Helvetica" w:cs="Helvetica"/>
        </w:rPr>
        <w:t>ní komponenta, Mapová komponenta, Datová komponenta.</w:t>
      </w:r>
    </w:p>
    <w:p w14:paraId="00D683BC" w14:textId="37E55AA0" w:rsidR="006E2882" w:rsidRDefault="001A5364" w:rsidP="006E2882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lastRenderedPageBreak/>
        <w:t>‒</w:t>
      </w:r>
      <w:r>
        <w:rPr>
          <w:rFonts w:ascii="CalibriLight" w:eastAsia="CalibriLight" w:hAnsiTheme="minorHAnsi" w:cs="CalibriLight"/>
          <w:sz w:val="24"/>
          <w:szCs w:val="24"/>
        </w:rPr>
        <w:t xml:space="preserve"> </w:t>
      </w:r>
      <w:r w:rsidR="006E2882" w:rsidRPr="001A5364">
        <w:rPr>
          <w:rFonts w:ascii="Helvetica" w:eastAsia="CalibriLight" w:hAnsi="Helvetica" w:cs="Helvetica"/>
        </w:rPr>
        <w:t>Zajištění konektivity mezi datovými centry (DC Zeleneč a DC Vápenka)</w:t>
      </w:r>
    </w:p>
    <w:p w14:paraId="45C1612F" w14:textId="7F7BB5EF" w:rsidR="005A6DCD" w:rsidRPr="005A6DCD" w:rsidRDefault="00E30E1A" w:rsidP="005A6DCD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 xml:space="preserve">‒ </w:t>
      </w:r>
      <w:r w:rsidR="005A6DCD" w:rsidRPr="005A6DCD">
        <w:rPr>
          <w:rFonts w:ascii="Helvetica" w:eastAsia="CalibriLight" w:hAnsi="Helvetica" w:cs="Helvetica"/>
        </w:rPr>
        <w:t xml:space="preserve">ETL transformační komponenta – postavena na řešení hale </w:t>
      </w:r>
      <w:proofErr w:type="spellStart"/>
      <w:r w:rsidR="005A6DCD" w:rsidRPr="005A6DCD">
        <w:rPr>
          <w:rFonts w:ascii="Helvetica" w:eastAsia="CalibriLight" w:hAnsi="Helvetica" w:cs="Helvetica"/>
        </w:rPr>
        <w:t>connect</w:t>
      </w:r>
      <w:proofErr w:type="spellEnd"/>
      <w:r w:rsidR="005A6DCD" w:rsidRPr="005A6DCD">
        <w:rPr>
          <w:rFonts w:ascii="Helvetica" w:eastAsia="CalibriLight" w:hAnsi="Helvetica" w:cs="Helvetica"/>
        </w:rPr>
        <w:t xml:space="preserve">, postavená na kontejnerizovaných </w:t>
      </w:r>
      <w:proofErr w:type="spellStart"/>
      <w:r w:rsidR="005A6DCD" w:rsidRPr="005A6DCD">
        <w:rPr>
          <w:rFonts w:ascii="Helvetica" w:eastAsia="CalibriLight" w:hAnsi="Helvetica" w:cs="Helvetica"/>
        </w:rPr>
        <w:t>mikroslužbách</w:t>
      </w:r>
      <w:proofErr w:type="spellEnd"/>
      <w:r w:rsidR="005A6DCD" w:rsidRPr="005A6DCD">
        <w:rPr>
          <w:rFonts w:ascii="Helvetica" w:eastAsia="CalibriLight" w:hAnsi="Helvetica" w:cs="Helvetica"/>
        </w:rPr>
        <w:t xml:space="preserve"> (</w:t>
      </w:r>
      <w:proofErr w:type="spellStart"/>
      <w:r w:rsidR="005A6DCD" w:rsidRPr="005A6DCD">
        <w:rPr>
          <w:rFonts w:ascii="Helvetica" w:eastAsia="CalibriLight" w:hAnsi="Helvetica" w:cs="Helvetica"/>
        </w:rPr>
        <w:t>Sevitech</w:t>
      </w:r>
      <w:proofErr w:type="spellEnd"/>
      <w:r w:rsidR="005A6DCD" w:rsidRPr="005A6DCD">
        <w:rPr>
          <w:rFonts w:ascii="Helvetica" w:eastAsia="CalibriLight" w:hAnsi="Helvetica" w:cs="Helvetica"/>
        </w:rPr>
        <w:t>)</w:t>
      </w:r>
    </w:p>
    <w:p w14:paraId="26BA2DD4" w14:textId="7CC91F45" w:rsidR="005A6DCD" w:rsidRPr="005A6DCD" w:rsidRDefault="00E30E1A" w:rsidP="005A6DCD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 xml:space="preserve">‒ </w:t>
      </w:r>
      <w:r w:rsidR="005A6DCD" w:rsidRPr="005A6DCD">
        <w:rPr>
          <w:rFonts w:ascii="Helvetica" w:eastAsia="CalibriLight" w:hAnsi="Helvetica" w:cs="Helvetica"/>
        </w:rPr>
        <w:t xml:space="preserve">Mapová komponenta – postavená na technologiích </w:t>
      </w:r>
      <w:proofErr w:type="spellStart"/>
      <w:r w:rsidR="005A6DCD" w:rsidRPr="005A6DCD">
        <w:rPr>
          <w:rFonts w:ascii="Helvetica" w:eastAsia="CalibriLight" w:hAnsi="Helvetica" w:cs="Helvetica"/>
        </w:rPr>
        <w:t>Angular</w:t>
      </w:r>
      <w:proofErr w:type="spellEnd"/>
      <w:r w:rsidR="005A6DCD" w:rsidRPr="005A6DCD">
        <w:rPr>
          <w:rFonts w:ascii="Helvetica" w:eastAsia="CalibriLight" w:hAnsi="Helvetica" w:cs="Helvetica"/>
        </w:rPr>
        <w:t xml:space="preserve"> 14 (</w:t>
      </w:r>
      <w:proofErr w:type="spellStart"/>
      <w:r w:rsidR="005A6DCD" w:rsidRPr="005A6DCD">
        <w:rPr>
          <w:rFonts w:ascii="Helvetica" w:eastAsia="CalibriLight" w:hAnsi="Helvetica" w:cs="Helvetica"/>
        </w:rPr>
        <w:t>frontend</w:t>
      </w:r>
      <w:proofErr w:type="spellEnd"/>
      <w:r w:rsidR="005A6DCD" w:rsidRPr="005A6DCD">
        <w:rPr>
          <w:rFonts w:ascii="Helvetica" w:eastAsia="CalibriLight" w:hAnsi="Helvetica" w:cs="Helvetica"/>
        </w:rPr>
        <w:t>) a .NET 6 (</w:t>
      </w:r>
      <w:proofErr w:type="spellStart"/>
      <w:r w:rsidR="005A6DCD" w:rsidRPr="005A6DCD">
        <w:rPr>
          <w:rFonts w:ascii="Helvetica" w:eastAsia="CalibriLight" w:hAnsi="Helvetica" w:cs="Helvetica"/>
        </w:rPr>
        <w:t>backend</w:t>
      </w:r>
      <w:proofErr w:type="spellEnd"/>
      <w:r w:rsidR="005A6DCD" w:rsidRPr="005A6DCD">
        <w:rPr>
          <w:rFonts w:ascii="Helvetica" w:eastAsia="CalibriLight" w:hAnsi="Helvetica" w:cs="Helvetica"/>
        </w:rPr>
        <w:t>)</w:t>
      </w:r>
    </w:p>
    <w:p w14:paraId="7C8E80B0" w14:textId="16E094D9" w:rsidR="005A6DCD" w:rsidRPr="005A6DCD" w:rsidRDefault="00E30E1A" w:rsidP="005A6DCD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  <w:r>
        <w:rPr>
          <w:rFonts w:ascii="CalibriLight" w:eastAsia="CalibriLight" w:hAnsiTheme="minorHAnsi" w:cs="CalibriLight" w:hint="eastAsia"/>
          <w:sz w:val="24"/>
          <w:szCs w:val="24"/>
        </w:rPr>
        <w:t xml:space="preserve">‒ </w:t>
      </w:r>
      <w:r w:rsidR="005A6DCD" w:rsidRPr="005A6DCD">
        <w:rPr>
          <w:rFonts w:ascii="Helvetica" w:eastAsia="CalibriLight" w:hAnsi="Helvetica" w:cs="Helvetica"/>
        </w:rPr>
        <w:t xml:space="preserve">ETL-RÚIAN – založena na projektu </w:t>
      </w:r>
      <w:proofErr w:type="spellStart"/>
      <w:r w:rsidR="005A6DCD" w:rsidRPr="005A6DCD">
        <w:rPr>
          <w:rFonts w:ascii="Helvetica" w:eastAsia="CalibriLight" w:hAnsi="Helvetica" w:cs="Helvetica"/>
        </w:rPr>
        <w:t>gdal-vfr</w:t>
      </w:r>
      <w:proofErr w:type="spellEnd"/>
      <w:r w:rsidR="005A6DCD" w:rsidRPr="005A6DCD">
        <w:rPr>
          <w:rFonts w:ascii="Helvetica" w:eastAsia="CalibriLight" w:hAnsi="Helvetica" w:cs="Helvetica"/>
        </w:rPr>
        <w:t xml:space="preserve">, je připraveno běhové prostředí v technologii </w:t>
      </w:r>
      <w:proofErr w:type="spellStart"/>
      <w:r w:rsidR="005A6DCD" w:rsidRPr="005A6DCD">
        <w:rPr>
          <w:rFonts w:ascii="Helvetica" w:eastAsia="CalibriLight" w:hAnsi="Helvetica" w:cs="Helvetica"/>
        </w:rPr>
        <w:t>Docker</w:t>
      </w:r>
      <w:proofErr w:type="spellEnd"/>
    </w:p>
    <w:p w14:paraId="3E01D629" w14:textId="77777777" w:rsidR="0018098B" w:rsidRPr="001A5364" w:rsidRDefault="0018098B" w:rsidP="006E2882">
      <w:pPr>
        <w:autoSpaceDE w:val="0"/>
        <w:autoSpaceDN w:val="0"/>
        <w:adjustRightInd w:val="0"/>
        <w:spacing w:before="0" w:after="120" w:line="276" w:lineRule="auto"/>
        <w:ind w:left="708"/>
        <w:rPr>
          <w:rFonts w:ascii="Helvetica" w:eastAsia="CalibriLight" w:hAnsi="Helvetica" w:cs="Helvetica"/>
        </w:rPr>
      </w:pPr>
    </w:p>
    <w:p w14:paraId="4BE6C6C5" w14:textId="6F6447B5" w:rsidR="00600A65" w:rsidRDefault="00600A65" w:rsidP="000C531A">
      <w:pPr>
        <w:spacing w:before="0" w:after="120" w:line="276" w:lineRule="auto"/>
        <w:rPr>
          <w:rFonts w:eastAsia="Times New Roman" w:cs="Arial"/>
          <w:b/>
          <w:bCs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br w:type="page"/>
      </w:r>
    </w:p>
    <w:p w14:paraId="21432BB2" w14:textId="1BD685D6" w:rsidR="00600A65" w:rsidRDefault="00600A65" w:rsidP="00600A65">
      <w:pPr>
        <w:widowControl w:val="0"/>
        <w:tabs>
          <w:tab w:val="left" w:pos="567"/>
          <w:tab w:val="center" w:pos="1985"/>
          <w:tab w:val="left" w:pos="5954"/>
          <w:tab w:val="center" w:pos="680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B65477">
        <w:rPr>
          <w:rFonts w:eastAsia="Times New Roman" w:cs="Arial"/>
          <w:b/>
          <w:bCs/>
          <w:color w:val="000000"/>
          <w:lang w:eastAsia="cs-CZ"/>
        </w:rPr>
        <w:lastRenderedPageBreak/>
        <w:t xml:space="preserve">Příloha č. </w:t>
      </w:r>
      <w:r>
        <w:rPr>
          <w:rFonts w:eastAsia="Times New Roman" w:cs="Arial"/>
          <w:b/>
          <w:bCs/>
          <w:color w:val="000000"/>
          <w:lang w:eastAsia="cs-CZ"/>
        </w:rPr>
        <w:t>2 – Vzor Akceptačního protokolu</w:t>
      </w:r>
    </w:p>
    <w:p w14:paraId="099045C9" w14:textId="77777777" w:rsidR="00BA2878" w:rsidRPr="00B65477" w:rsidRDefault="00BA2878" w:rsidP="007609A7">
      <w:pPr>
        <w:widowControl w:val="0"/>
        <w:tabs>
          <w:tab w:val="left" w:pos="567"/>
          <w:tab w:val="center" w:pos="1985"/>
          <w:tab w:val="left" w:pos="5954"/>
          <w:tab w:val="center" w:pos="6804"/>
        </w:tabs>
        <w:autoSpaceDE w:val="0"/>
        <w:autoSpaceDN w:val="0"/>
        <w:adjustRightInd w:val="0"/>
        <w:spacing w:before="0" w:line="240" w:lineRule="auto"/>
        <w:rPr>
          <w:rFonts w:eastAsia="Times New Roman" w:cs="Arial"/>
          <w:b/>
          <w:bCs/>
          <w:color w:val="000000"/>
          <w:lang w:eastAsia="cs-CZ"/>
        </w:rPr>
      </w:pPr>
    </w:p>
    <w:p w14:paraId="02C980C1" w14:textId="77777777" w:rsidR="001603F5" w:rsidRDefault="001603F5" w:rsidP="001603F5">
      <w:pPr>
        <w:pStyle w:val="Default"/>
        <w:jc w:val="right"/>
      </w:pPr>
      <w:r w:rsidRPr="00D92057">
        <w:rPr>
          <w:sz w:val="23"/>
          <w:szCs w:val="23"/>
        </w:rPr>
        <w:t xml:space="preserve">č.j. </w:t>
      </w:r>
      <w:r w:rsidRPr="00973A2F">
        <w:rPr>
          <w:sz w:val="23"/>
          <w:szCs w:val="23"/>
        </w:rPr>
        <w:t>MV-</w:t>
      </w:r>
    </w:p>
    <w:p w14:paraId="075D0C69" w14:textId="7BF572FA" w:rsidR="001603F5" w:rsidRPr="005A1477" w:rsidRDefault="001603F5" w:rsidP="001603F5">
      <w:pPr>
        <w:spacing w:after="120"/>
        <w:jc w:val="center"/>
        <w:rPr>
          <w:b/>
        </w:rPr>
      </w:pPr>
      <w:r w:rsidRPr="005A1477">
        <w:rPr>
          <w:b/>
        </w:rPr>
        <w:t xml:space="preserve">AKCEPTAČNÍ PROTOKOL č. </w:t>
      </w:r>
      <w:r>
        <w:rPr>
          <w:b/>
        </w:rPr>
        <w:t>x/202</w:t>
      </w:r>
      <w:r w:rsidR="00F86223">
        <w:rPr>
          <w:b/>
        </w:rPr>
        <w:t>4</w:t>
      </w:r>
    </w:p>
    <w:tbl>
      <w:tblPr>
        <w:tblW w:w="907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09"/>
        <w:gridCol w:w="6466"/>
      </w:tblGrid>
      <w:tr w:rsidR="001603F5" w:rsidRPr="00D14703" w14:paraId="1043B9F8" w14:textId="77777777" w:rsidTr="009E010C">
        <w:trPr>
          <w:trHeight w:hRule="exact" w:val="1038"/>
        </w:trPr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D6A4" w14:textId="77777777" w:rsidR="001603F5" w:rsidRPr="005A1477" w:rsidRDefault="001603F5" w:rsidP="009E010C">
            <w:pPr>
              <w:jc w:val="left"/>
              <w:rPr>
                <w:b/>
                <w:lang w:eastAsia="cs-CZ"/>
              </w:rPr>
            </w:pPr>
            <w:r w:rsidRPr="005A1477">
              <w:rPr>
                <w:b/>
                <w:lang w:eastAsia="cs-CZ"/>
              </w:rPr>
              <w:t>Zhotovitel</w:t>
            </w:r>
          </w:p>
        </w:tc>
        <w:tc>
          <w:tcPr>
            <w:tcW w:w="64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C84086B" w14:textId="77777777" w:rsidR="001603F5" w:rsidRPr="00CB3FF1" w:rsidRDefault="001603F5" w:rsidP="009E010C">
            <w:pPr>
              <w:spacing w:before="0"/>
              <w:jc w:val="left"/>
              <w:rPr>
                <w:rFonts w:cs="Arial"/>
                <w:iCs/>
                <w:lang w:eastAsia="cs-CZ"/>
              </w:rPr>
            </w:pPr>
            <w:r w:rsidRPr="00CB3FF1">
              <w:rPr>
                <w:rFonts w:cs="Arial"/>
                <w:iCs/>
                <w:lang w:eastAsia="cs-CZ"/>
              </w:rPr>
              <w:t>Ná</w:t>
            </w:r>
            <w:r>
              <w:rPr>
                <w:rFonts w:cs="Arial"/>
                <w:iCs/>
                <w:lang w:eastAsia="cs-CZ"/>
              </w:rPr>
              <w:t>rodní agentura pro komunikační a informační technologie, s. p., Kodaňská 1441/26, Vršovice, 101 00 Praha 10, IČ: 04767543 (dále jen „Zhotovitel“)</w:t>
            </w:r>
          </w:p>
        </w:tc>
      </w:tr>
      <w:tr w:rsidR="001603F5" w:rsidRPr="00D14703" w14:paraId="18C05BD7" w14:textId="77777777" w:rsidTr="009E010C">
        <w:trPr>
          <w:trHeight w:hRule="exact" w:val="705"/>
        </w:trPr>
        <w:tc>
          <w:tcPr>
            <w:tcW w:w="26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06B2" w14:textId="77777777" w:rsidR="001603F5" w:rsidRPr="005A1477" w:rsidRDefault="001603F5" w:rsidP="009E010C">
            <w:pPr>
              <w:jc w:val="left"/>
              <w:rPr>
                <w:b/>
                <w:lang w:eastAsia="cs-CZ"/>
              </w:rPr>
            </w:pPr>
            <w:r w:rsidRPr="005A1477">
              <w:rPr>
                <w:b/>
                <w:lang w:eastAsia="cs-CZ"/>
              </w:rPr>
              <w:t>Objednatel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D07A136" w14:textId="77777777" w:rsidR="001603F5" w:rsidRPr="005A1477" w:rsidRDefault="001603F5" w:rsidP="009E010C">
            <w:pPr>
              <w:spacing w:before="0"/>
              <w:jc w:val="left"/>
              <w:rPr>
                <w:rFonts w:cs="Arial"/>
                <w:lang w:eastAsia="cs-CZ"/>
              </w:rPr>
            </w:pPr>
            <w:r w:rsidRPr="005A1477">
              <w:rPr>
                <w:rFonts w:cs="Arial"/>
                <w:lang w:eastAsia="cs-CZ"/>
              </w:rPr>
              <w:t>Česká republika – Ministerstvo vnitra, Nad Štolou 936/3, 170 34 Praha 7, IČ: 00007064 (dále jen „Objednatel“)</w:t>
            </w:r>
          </w:p>
        </w:tc>
      </w:tr>
      <w:tr w:rsidR="001603F5" w:rsidRPr="00D14703" w14:paraId="3B15F180" w14:textId="77777777" w:rsidTr="009E010C">
        <w:trPr>
          <w:trHeight w:hRule="exact" w:val="1119"/>
        </w:trPr>
        <w:tc>
          <w:tcPr>
            <w:tcW w:w="26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0051" w14:textId="77777777" w:rsidR="001603F5" w:rsidRPr="005A1477" w:rsidRDefault="001603F5" w:rsidP="009E010C">
            <w:pPr>
              <w:jc w:val="left"/>
              <w:rPr>
                <w:b/>
                <w:lang w:eastAsia="cs-CZ"/>
              </w:rPr>
            </w:pPr>
            <w:r w:rsidRPr="005A1477">
              <w:rPr>
                <w:b/>
                <w:lang w:eastAsia="cs-CZ"/>
              </w:rPr>
              <w:t>Dílčí dohoda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D68DDE7" w14:textId="4D468D15" w:rsidR="001603F5" w:rsidRPr="005A1477" w:rsidRDefault="001603F5" w:rsidP="009E010C">
            <w:pPr>
              <w:spacing w:before="0"/>
              <w:jc w:val="left"/>
              <w:rPr>
                <w:rFonts w:cs="Arial"/>
                <w:lang w:eastAsia="cs-CZ"/>
              </w:rPr>
            </w:pPr>
            <w:r w:rsidRPr="005A1477">
              <w:rPr>
                <w:rFonts w:cs="Arial"/>
                <w:lang w:eastAsia="cs-CZ"/>
              </w:rPr>
              <w:t xml:space="preserve">Na základě </w:t>
            </w:r>
            <w:r>
              <w:rPr>
                <w:rFonts w:cs="Arial"/>
                <w:lang w:eastAsia="cs-CZ"/>
              </w:rPr>
              <w:t xml:space="preserve">Dílčí dohody č. </w:t>
            </w:r>
            <w:r w:rsidR="00F86223">
              <w:rPr>
                <w:rFonts w:cs="Arial"/>
                <w:lang w:eastAsia="cs-CZ"/>
              </w:rPr>
              <w:t>10</w:t>
            </w:r>
            <w:r>
              <w:rPr>
                <w:rFonts w:cs="Arial"/>
                <w:lang w:eastAsia="cs-CZ"/>
              </w:rPr>
              <w:t xml:space="preserve"> uzavřené k Rámcové dohodě evidované u Objednatele pod č. MV-112203-16/EG-2019 a u Zhotovitele pod č. 2020/038 NAKIT</w:t>
            </w:r>
          </w:p>
        </w:tc>
      </w:tr>
      <w:tr w:rsidR="001603F5" w:rsidRPr="00D14703" w14:paraId="4CA4903C" w14:textId="77777777" w:rsidTr="009E010C">
        <w:trPr>
          <w:trHeight w:hRule="exact" w:val="561"/>
        </w:trPr>
        <w:tc>
          <w:tcPr>
            <w:tcW w:w="26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3DE800F" w14:textId="77777777" w:rsidR="001603F5" w:rsidRPr="005A1477" w:rsidRDefault="001603F5" w:rsidP="009E010C">
            <w:pPr>
              <w:jc w:val="left"/>
              <w:rPr>
                <w:b/>
                <w:lang w:eastAsia="cs-CZ"/>
              </w:rPr>
            </w:pPr>
            <w:r w:rsidRPr="005A1477">
              <w:rPr>
                <w:b/>
                <w:lang w:eastAsia="cs-CZ"/>
              </w:rPr>
              <w:t>Předmět akceptace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3A102" w14:textId="77777777" w:rsidR="001603F5" w:rsidRPr="005B00C2" w:rsidRDefault="001603F5" w:rsidP="009E010C">
            <w:pPr>
              <w:spacing w:before="0"/>
              <w:jc w:val="left"/>
              <w:rPr>
                <w:rFonts w:cs="Arial"/>
                <w:i/>
                <w:lang w:eastAsia="cs-CZ"/>
              </w:rPr>
            </w:pPr>
          </w:p>
        </w:tc>
      </w:tr>
    </w:tbl>
    <w:p w14:paraId="603E24B6" w14:textId="77777777" w:rsidR="001603F5" w:rsidRPr="005A1477" w:rsidRDefault="001603F5" w:rsidP="001603F5">
      <w:pPr>
        <w:spacing w:before="240" w:after="120"/>
        <w:rPr>
          <w:b/>
          <w:lang w:eastAsia="cs-CZ"/>
        </w:rPr>
      </w:pPr>
      <w:r w:rsidRPr="005A1477">
        <w:rPr>
          <w:b/>
          <w:lang w:eastAsia="cs-CZ"/>
        </w:rPr>
        <w:t>Předmět akceptace</w:t>
      </w:r>
    </w:p>
    <w:p w14:paraId="4B134EEE" w14:textId="77777777" w:rsidR="001603F5" w:rsidRPr="005A1477" w:rsidRDefault="001603F5" w:rsidP="001603F5">
      <w:pPr>
        <w:rPr>
          <w:b/>
          <w:smallCaps/>
          <w:kern w:val="28"/>
          <w:lang w:eastAsia="cs-CZ"/>
        </w:rPr>
      </w:pPr>
      <w:r w:rsidRPr="005A1477">
        <w:rPr>
          <w:b/>
          <w:bCs/>
          <w:iCs/>
        </w:rPr>
        <w:t xml:space="preserve">Zhotovitel </w:t>
      </w:r>
      <w:r w:rsidRPr="005A1477">
        <w:rPr>
          <w:iCs/>
        </w:rPr>
        <w:t xml:space="preserve">a </w:t>
      </w:r>
      <w:r w:rsidRPr="005A1477">
        <w:rPr>
          <w:b/>
          <w:bCs/>
          <w:iCs/>
        </w:rPr>
        <w:t xml:space="preserve">Objednatel </w:t>
      </w:r>
      <w:r w:rsidRPr="005A1477">
        <w:t xml:space="preserve">svým podpisem stvrzují akceptaci – </w:t>
      </w:r>
      <w:r w:rsidRPr="005A1477">
        <w:rPr>
          <w:b/>
          <w:bCs/>
        </w:rPr>
        <w:t xml:space="preserve">akceptováno </w:t>
      </w:r>
      <w:r>
        <w:t>poskytnutí</w:t>
      </w:r>
      <w:r w:rsidRPr="005A1477">
        <w:t xml:space="preserve"> </w:t>
      </w:r>
      <w:r>
        <w:t>P</w:t>
      </w:r>
      <w:r w:rsidRPr="005A1477">
        <w:t>ředmětu plnění dle výše specifikované Dílčí dohody.</w:t>
      </w:r>
    </w:p>
    <w:p w14:paraId="3EC7E11E" w14:textId="77777777" w:rsidR="001603F5" w:rsidRPr="005A1477" w:rsidRDefault="001603F5" w:rsidP="001603F5">
      <w:pPr>
        <w:spacing w:before="240" w:after="120"/>
        <w:jc w:val="left"/>
        <w:rPr>
          <w:b/>
        </w:rPr>
      </w:pPr>
      <w:r w:rsidRPr="005A1477">
        <w:rPr>
          <w:b/>
        </w:rPr>
        <w:t>1. AKCEPTAČNÍ KRITÉRIA</w:t>
      </w:r>
    </w:p>
    <w:tbl>
      <w:tblPr>
        <w:tblW w:w="0" w:type="auto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733"/>
        <w:gridCol w:w="4072"/>
        <w:gridCol w:w="777"/>
        <w:gridCol w:w="1241"/>
        <w:gridCol w:w="807"/>
        <w:gridCol w:w="1410"/>
      </w:tblGrid>
      <w:tr w:rsidR="001603F5" w:rsidRPr="00D14703" w14:paraId="6A6162C6" w14:textId="77777777" w:rsidTr="009E010C">
        <w:trPr>
          <w:trHeight w:val="349"/>
          <w:jc w:val="center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421E1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 w:rsidRPr="00D14703">
              <w:rPr>
                <w:rFonts w:cs="Arial"/>
                <w:b/>
                <w:lang w:eastAsia="cs-CZ"/>
              </w:rPr>
              <w:t>Číslo</w:t>
            </w:r>
          </w:p>
        </w:tc>
        <w:tc>
          <w:tcPr>
            <w:tcW w:w="40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647062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Přehled realizovaných činností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8298E" w14:textId="77777777" w:rsidR="001603F5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 w:rsidRPr="00D92057">
              <w:rPr>
                <w:rFonts w:cs="Arial"/>
                <w:b/>
                <w:lang w:eastAsia="cs-CZ"/>
              </w:rPr>
              <w:t>Akceptováno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D9F1124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 w:rsidRPr="00D92057">
              <w:rPr>
                <w:rFonts w:cs="Arial"/>
                <w:b/>
                <w:lang w:eastAsia="cs-CZ"/>
              </w:rPr>
              <w:t>Číslo připomínky</w:t>
            </w:r>
          </w:p>
        </w:tc>
      </w:tr>
      <w:tr w:rsidR="001603F5" w:rsidRPr="00D14703" w14:paraId="77432410" w14:textId="77777777" w:rsidTr="009E010C">
        <w:trPr>
          <w:trHeight w:val="316"/>
          <w:jc w:val="center"/>
        </w:trPr>
        <w:tc>
          <w:tcPr>
            <w:tcW w:w="7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1737D2" w14:textId="77777777" w:rsidR="001603F5" w:rsidRPr="00D14703" w:rsidRDefault="001603F5" w:rsidP="009E010C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40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550B9" w14:textId="77777777" w:rsidR="001603F5" w:rsidRPr="00D14703" w:rsidRDefault="001603F5" w:rsidP="009E010C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6B673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ANO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25388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S výhradami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B8EFA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NE</w:t>
            </w:r>
          </w:p>
        </w:tc>
        <w:tc>
          <w:tcPr>
            <w:tcW w:w="14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8EF59" w14:textId="77777777" w:rsidR="001603F5" w:rsidRPr="00D14703" w:rsidRDefault="001603F5" w:rsidP="009E010C">
            <w:pPr>
              <w:rPr>
                <w:rFonts w:cs="Arial"/>
                <w:b/>
                <w:lang w:eastAsia="cs-CZ"/>
              </w:rPr>
            </w:pPr>
          </w:p>
        </w:tc>
      </w:tr>
      <w:tr w:rsidR="001603F5" w:rsidRPr="00D14703" w14:paraId="72B1D03C" w14:textId="77777777" w:rsidTr="009E010C">
        <w:trPr>
          <w:trHeight w:val="454"/>
          <w:jc w:val="center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B67E1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D1C7F" w14:textId="77777777" w:rsidR="001603F5" w:rsidRPr="00D14703" w:rsidRDefault="001603F5" w:rsidP="009E010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B1458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85680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B40DE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472B9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1603F5" w:rsidRPr="00D14703" w14:paraId="4B02B360" w14:textId="77777777" w:rsidTr="009E010C">
        <w:trPr>
          <w:trHeight w:val="454"/>
          <w:jc w:val="center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E945F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EBCAE" w14:textId="77777777" w:rsidR="001603F5" w:rsidRPr="00D14703" w:rsidRDefault="001603F5" w:rsidP="009E010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93395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CA2D6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FBF10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1A20E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</w:tr>
    </w:tbl>
    <w:p w14:paraId="41A83DDF" w14:textId="77777777" w:rsidR="001603F5" w:rsidRPr="005A1477" w:rsidRDefault="001603F5" w:rsidP="001603F5">
      <w:pPr>
        <w:spacing w:before="240" w:after="120"/>
        <w:jc w:val="left"/>
        <w:rPr>
          <w:b/>
        </w:rPr>
      </w:pPr>
      <w:r w:rsidRPr="005A1477">
        <w:rPr>
          <w:b/>
        </w:rPr>
        <w:t>2. VÝHRADY OBJEDNATELE</w:t>
      </w:r>
    </w:p>
    <w:tbl>
      <w:tblPr>
        <w:tblW w:w="0" w:type="auto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1403"/>
        <w:gridCol w:w="7637"/>
      </w:tblGrid>
      <w:tr w:rsidR="001603F5" w:rsidRPr="00D14703" w14:paraId="5E075FA1" w14:textId="77777777" w:rsidTr="009E010C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A6AB4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 w:rsidRPr="007B572E">
              <w:rPr>
                <w:rFonts w:cs="Arial"/>
                <w:b/>
                <w:lang w:eastAsia="cs-CZ"/>
              </w:rPr>
              <w:t>Číslo připomínky</w:t>
            </w:r>
          </w:p>
        </w:tc>
        <w:tc>
          <w:tcPr>
            <w:tcW w:w="7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DBC5B4D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 w:rsidRPr="00D92057">
              <w:rPr>
                <w:rFonts w:cs="Arial"/>
                <w:b/>
                <w:lang w:eastAsia="cs-CZ"/>
              </w:rPr>
              <w:t>Popis</w:t>
            </w:r>
          </w:p>
        </w:tc>
      </w:tr>
      <w:tr w:rsidR="001603F5" w:rsidRPr="00D14703" w14:paraId="1324C5C2" w14:textId="77777777" w:rsidTr="009E010C">
        <w:trPr>
          <w:trHeight w:val="4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C8857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D14703">
              <w:rPr>
                <w:rFonts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7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75E2E" w14:textId="77777777" w:rsidR="001603F5" w:rsidRPr="00D14703" w:rsidRDefault="001603F5" w:rsidP="009E010C">
            <w:pPr>
              <w:widowControl w:val="0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1603F5" w:rsidRPr="00D14703" w14:paraId="39261705" w14:textId="77777777" w:rsidTr="009E010C">
        <w:trPr>
          <w:trHeight w:val="4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35C0D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7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F1784" w14:textId="77777777" w:rsidR="001603F5" w:rsidRPr="00D14703" w:rsidRDefault="001603F5" w:rsidP="009E010C">
            <w:pPr>
              <w:widowControl w:val="0"/>
              <w:rPr>
                <w:rFonts w:cs="Arial"/>
                <w:sz w:val="20"/>
                <w:szCs w:val="20"/>
                <w:lang w:eastAsia="cs-CZ"/>
              </w:rPr>
            </w:pPr>
          </w:p>
        </w:tc>
      </w:tr>
    </w:tbl>
    <w:p w14:paraId="054DDC28" w14:textId="77777777" w:rsidR="001603F5" w:rsidRPr="005A1477" w:rsidRDefault="001603F5" w:rsidP="001603F5">
      <w:pPr>
        <w:spacing w:before="240"/>
        <w:rPr>
          <w:b/>
        </w:rPr>
      </w:pPr>
      <w:r w:rsidRPr="005A1477">
        <w:rPr>
          <w:b/>
        </w:rPr>
        <w:t xml:space="preserve">S ohledem na výsledky akceptačního </w:t>
      </w:r>
      <w:r w:rsidRPr="00860B80">
        <w:rPr>
          <w:b/>
        </w:rPr>
        <w:t xml:space="preserve">řízení dle </w:t>
      </w:r>
      <w:r w:rsidRPr="00315B80">
        <w:rPr>
          <w:b/>
        </w:rPr>
        <w:t>Dílčí dohody</w:t>
      </w:r>
      <w:r w:rsidRPr="00860B80">
        <w:rPr>
          <w:b/>
        </w:rPr>
        <w:t xml:space="preserve"> je Zho</w:t>
      </w:r>
      <w:r w:rsidRPr="005A1477">
        <w:rPr>
          <w:b/>
        </w:rPr>
        <w:t>tovitel oprávněn vystavit daňový doklad za předmětné plnění. Tímto jsou finanční nároky Zhotovitele ve věci tohoto plnění vyčerpané.</w:t>
      </w:r>
    </w:p>
    <w:p w14:paraId="1703ACFF" w14:textId="77777777" w:rsidR="001603F5" w:rsidRDefault="001603F5" w:rsidP="001603F5"/>
    <w:p w14:paraId="5639637D" w14:textId="77777777" w:rsidR="00BA2878" w:rsidRDefault="00BA2878" w:rsidP="001603F5"/>
    <w:p w14:paraId="03106A8A" w14:textId="133CF47C" w:rsidR="001603F5" w:rsidRPr="00F55276" w:rsidRDefault="001603F5" w:rsidP="001603F5">
      <w:r w:rsidRPr="005A1477">
        <w:rPr>
          <w:b/>
        </w:rPr>
        <w:t>Přílohy</w:t>
      </w:r>
      <w:r w:rsidRPr="00F55276">
        <w:t xml:space="preserve">: </w:t>
      </w:r>
      <w:proofErr w:type="spellStart"/>
      <w:r w:rsidR="00D40A45" w:rsidRPr="00D40A45">
        <w:rPr>
          <w:highlight w:val="yellow"/>
        </w:rPr>
        <w:t>xx</w:t>
      </w:r>
      <w:proofErr w:type="spellEnd"/>
    </w:p>
    <w:p w14:paraId="27D3D094" w14:textId="77777777" w:rsidR="001603F5" w:rsidRDefault="001603F5" w:rsidP="001603F5">
      <w:r>
        <w:lastRenderedPageBreak/>
        <w:t xml:space="preserve">Zhotovitel, NAKIT, </w:t>
      </w:r>
      <w:r w:rsidRPr="00FC5591">
        <w:t xml:space="preserve">a </w:t>
      </w:r>
      <w:r>
        <w:t xml:space="preserve">Objednatel, </w:t>
      </w:r>
      <w:r w:rsidRPr="00FC5591">
        <w:t>Česká republika – Ministerstvo vnitra</w:t>
      </w:r>
      <w:r>
        <w:t xml:space="preserve">, </w:t>
      </w:r>
      <w:r w:rsidRPr="00FC5591">
        <w:t>svým podpisem stvrzují</w:t>
      </w:r>
      <w:r>
        <w:t xml:space="preserve"> poskytnutí</w:t>
      </w:r>
      <w:r w:rsidRPr="00FC5591">
        <w:t xml:space="preserve"> a </w:t>
      </w:r>
      <w:r>
        <w:t>a</w:t>
      </w:r>
      <w:r w:rsidRPr="00FC5591">
        <w:t xml:space="preserve">kceptaci předmětu plnění – </w:t>
      </w:r>
      <w:r w:rsidRPr="00D35CCF">
        <w:rPr>
          <w:b/>
          <w:bCs/>
        </w:rPr>
        <w:t>akceptováno</w:t>
      </w:r>
      <w:r w:rsidRPr="00FC5591">
        <w:t xml:space="preserve"> dle výše specifikované </w:t>
      </w:r>
      <w:r>
        <w:t>Dílčí dohody</w:t>
      </w:r>
      <w:r w:rsidRPr="00FC5591">
        <w:t>.</w:t>
      </w:r>
    </w:p>
    <w:p w14:paraId="03F58A33" w14:textId="77777777" w:rsidR="001603F5" w:rsidRDefault="001603F5" w:rsidP="001603F5">
      <w:pPr>
        <w:spacing w:before="240" w:after="120"/>
      </w:pPr>
      <w:r w:rsidRPr="002C6720">
        <w:t xml:space="preserve">V Praze dne </w:t>
      </w:r>
    </w:p>
    <w:tbl>
      <w:tblPr>
        <w:tblW w:w="9057" w:type="dxa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2962"/>
        <w:gridCol w:w="3076"/>
        <w:gridCol w:w="3019"/>
      </w:tblGrid>
      <w:tr w:rsidR="001603F5" w:rsidRPr="00D14703" w14:paraId="46C4E84F" w14:textId="77777777" w:rsidTr="009E010C">
        <w:trPr>
          <w:trHeight w:val="70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521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Smluvní strany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17271" w14:textId="77777777" w:rsidR="001603F5" w:rsidRPr="00D92057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Jméno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031D7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 w:rsidRPr="00D92057">
              <w:rPr>
                <w:rFonts w:cs="Arial"/>
                <w:b/>
                <w:lang w:eastAsia="cs-CZ"/>
              </w:rPr>
              <w:t>Po</w:t>
            </w:r>
            <w:r>
              <w:rPr>
                <w:rFonts w:cs="Arial"/>
                <w:b/>
                <w:lang w:eastAsia="cs-CZ"/>
              </w:rPr>
              <w:t>d</w:t>
            </w:r>
            <w:r w:rsidRPr="00D92057">
              <w:rPr>
                <w:rFonts w:cs="Arial"/>
                <w:b/>
                <w:lang w:eastAsia="cs-CZ"/>
              </w:rPr>
              <w:t>pis</w:t>
            </w:r>
          </w:p>
        </w:tc>
      </w:tr>
      <w:tr w:rsidR="001603F5" w:rsidRPr="00D14703" w14:paraId="608AD964" w14:textId="77777777" w:rsidTr="009E010C">
        <w:trPr>
          <w:trHeight w:val="50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0B6C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A250E7">
              <w:rPr>
                <w:rFonts w:cs="Arial"/>
                <w:sz w:val="20"/>
                <w:szCs w:val="20"/>
                <w:lang w:eastAsia="cs-CZ"/>
              </w:rPr>
              <w:t xml:space="preserve">Předal za </w:t>
            </w:r>
            <w:r>
              <w:rPr>
                <w:rFonts w:cs="Arial"/>
                <w:sz w:val="20"/>
                <w:szCs w:val="20"/>
                <w:lang w:eastAsia="cs-CZ"/>
              </w:rPr>
              <w:t>O</w:t>
            </w:r>
            <w:r w:rsidRPr="00A250E7">
              <w:rPr>
                <w:rFonts w:cs="Arial"/>
                <w:sz w:val="20"/>
                <w:szCs w:val="20"/>
                <w:lang w:eastAsia="cs-CZ"/>
              </w:rPr>
              <w:t>bjednatele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F737" w14:textId="77777777" w:rsidR="001603F5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BCFAC" w14:textId="77777777" w:rsidR="001603F5" w:rsidRPr="00D14703" w:rsidRDefault="001603F5" w:rsidP="009E010C">
            <w:pPr>
              <w:widowControl w:val="0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1603F5" w:rsidRPr="00D14703" w14:paraId="41755F59" w14:textId="77777777" w:rsidTr="009E010C">
        <w:trPr>
          <w:trHeight w:val="492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2BE59" w14:textId="77777777" w:rsidR="001603F5" w:rsidRPr="00A250E7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9304E9">
              <w:rPr>
                <w:rFonts w:cs="Arial"/>
                <w:sz w:val="20"/>
                <w:szCs w:val="20"/>
                <w:lang w:eastAsia="cs-CZ"/>
              </w:rPr>
              <w:t xml:space="preserve">Převzal za </w:t>
            </w:r>
            <w:r>
              <w:rPr>
                <w:rFonts w:cs="Arial"/>
                <w:sz w:val="20"/>
                <w:szCs w:val="20"/>
                <w:lang w:eastAsia="cs-CZ"/>
              </w:rPr>
              <w:t>Zhotovitele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D412F" w14:textId="77777777" w:rsidR="001603F5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94A5" w14:textId="77777777" w:rsidR="001603F5" w:rsidRDefault="001603F5" w:rsidP="009E010C">
            <w:pPr>
              <w:widowControl w:val="0"/>
              <w:rPr>
                <w:rFonts w:cs="Arial"/>
                <w:sz w:val="20"/>
                <w:szCs w:val="20"/>
                <w:lang w:eastAsia="cs-CZ"/>
              </w:rPr>
            </w:pPr>
          </w:p>
        </w:tc>
      </w:tr>
    </w:tbl>
    <w:p w14:paraId="4ED7B844" w14:textId="77777777" w:rsidR="001603F5" w:rsidRDefault="001603F5" w:rsidP="001603F5">
      <w:pPr>
        <w:spacing w:before="240" w:after="120"/>
      </w:pPr>
      <w:r w:rsidRPr="002C6720">
        <w:t xml:space="preserve">V Praze dne </w:t>
      </w:r>
    </w:p>
    <w:tbl>
      <w:tblPr>
        <w:tblW w:w="9057" w:type="dxa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2962"/>
        <w:gridCol w:w="3076"/>
        <w:gridCol w:w="3019"/>
      </w:tblGrid>
      <w:tr w:rsidR="001603F5" w:rsidRPr="00D14703" w14:paraId="25BD7EB7" w14:textId="77777777" w:rsidTr="009E010C">
        <w:trPr>
          <w:trHeight w:val="70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7DD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Smluvní strany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FD6FC" w14:textId="77777777" w:rsidR="001603F5" w:rsidRPr="00D92057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Jméno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76940" w14:textId="77777777" w:rsidR="001603F5" w:rsidRPr="00D14703" w:rsidRDefault="001603F5" w:rsidP="009E010C">
            <w:pPr>
              <w:jc w:val="center"/>
              <w:rPr>
                <w:rFonts w:cs="Arial"/>
                <w:b/>
                <w:lang w:eastAsia="cs-CZ"/>
              </w:rPr>
            </w:pPr>
            <w:r w:rsidRPr="00D92057">
              <w:rPr>
                <w:rFonts w:cs="Arial"/>
                <w:b/>
                <w:lang w:eastAsia="cs-CZ"/>
              </w:rPr>
              <w:t>Po</w:t>
            </w:r>
            <w:r>
              <w:rPr>
                <w:rFonts w:cs="Arial"/>
                <w:b/>
                <w:lang w:eastAsia="cs-CZ"/>
              </w:rPr>
              <w:t>d</w:t>
            </w:r>
            <w:r w:rsidRPr="00D92057">
              <w:rPr>
                <w:rFonts w:cs="Arial"/>
                <w:b/>
                <w:lang w:eastAsia="cs-CZ"/>
              </w:rPr>
              <w:t>pis</w:t>
            </w:r>
          </w:p>
        </w:tc>
      </w:tr>
      <w:tr w:rsidR="001603F5" w:rsidRPr="00D14703" w14:paraId="584999DB" w14:textId="77777777" w:rsidTr="009E010C">
        <w:trPr>
          <w:trHeight w:val="504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A60" w14:textId="77777777" w:rsidR="001603F5" w:rsidRPr="00D14703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F91A8D">
              <w:rPr>
                <w:rFonts w:cs="Arial"/>
                <w:sz w:val="20"/>
                <w:szCs w:val="20"/>
                <w:lang w:eastAsia="cs-CZ"/>
              </w:rPr>
              <w:t>Akceptoval</w:t>
            </w:r>
            <w:r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 w:rsidRPr="00A250E7">
              <w:rPr>
                <w:rFonts w:cs="Arial"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cs="Arial"/>
                <w:sz w:val="20"/>
                <w:szCs w:val="20"/>
                <w:lang w:eastAsia="cs-CZ"/>
              </w:rPr>
              <w:t>O</w:t>
            </w:r>
            <w:r w:rsidRPr="00A250E7">
              <w:rPr>
                <w:rFonts w:cs="Arial"/>
                <w:sz w:val="20"/>
                <w:szCs w:val="20"/>
                <w:lang w:eastAsia="cs-CZ"/>
              </w:rPr>
              <w:t>bjednatele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90C" w14:textId="77777777" w:rsidR="001603F5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8DB15" w14:textId="77777777" w:rsidR="001603F5" w:rsidRPr="00D14703" w:rsidRDefault="001603F5" w:rsidP="009E010C">
            <w:pPr>
              <w:widowControl w:val="0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1603F5" w:rsidRPr="00D14703" w14:paraId="0A8016F6" w14:textId="77777777" w:rsidTr="009E010C">
        <w:trPr>
          <w:trHeight w:val="491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04FB0" w14:textId="77777777" w:rsidR="001603F5" w:rsidRPr="00A250E7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F91A8D">
              <w:rPr>
                <w:rFonts w:cs="Arial"/>
                <w:sz w:val="20"/>
                <w:szCs w:val="20"/>
                <w:lang w:eastAsia="cs-CZ"/>
              </w:rPr>
              <w:t>Akceptoval</w:t>
            </w:r>
            <w:r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 w:rsidRPr="009304E9">
              <w:rPr>
                <w:rFonts w:cs="Arial"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cs="Arial"/>
                <w:sz w:val="20"/>
                <w:szCs w:val="20"/>
                <w:lang w:eastAsia="cs-CZ"/>
              </w:rPr>
              <w:t>Zhotovitele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DC059" w14:textId="77777777" w:rsidR="001603F5" w:rsidRDefault="001603F5" w:rsidP="009E010C">
            <w:pPr>
              <w:widowControl w:val="0"/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8CCA7" w14:textId="77777777" w:rsidR="001603F5" w:rsidRDefault="001603F5" w:rsidP="009E010C">
            <w:pPr>
              <w:widowControl w:val="0"/>
              <w:rPr>
                <w:rFonts w:cs="Arial"/>
                <w:sz w:val="20"/>
                <w:szCs w:val="20"/>
                <w:lang w:eastAsia="cs-CZ"/>
              </w:rPr>
            </w:pPr>
          </w:p>
        </w:tc>
      </w:tr>
    </w:tbl>
    <w:p w14:paraId="6EFD8B3E" w14:textId="77777777" w:rsidR="001603F5" w:rsidRPr="008B5F0B" w:rsidRDefault="001603F5" w:rsidP="001603F5">
      <w:pPr>
        <w:tabs>
          <w:tab w:val="left" w:pos="2404"/>
        </w:tabs>
      </w:pPr>
    </w:p>
    <w:sectPr w:rsidR="001603F5" w:rsidRPr="008B5F0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58A3" w14:textId="77777777" w:rsidR="00572F81" w:rsidRDefault="00572F81" w:rsidP="004B5DF4">
      <w:pPr>
        <w:spacing w:before="0" w:line="240" w:lineRule="auto"/>
      </w:pPr>
      <w:r>
        <w:separator/>
      </w:r>
    </w:p>
  </w:endnote>
  <w:endnote w:type="continuationSeparator" w:id="0">
    <w:p w14:paraId="402878C0" w14:textId="77777777" w:rsidR="00572F81" w:rsidRDefault="00572F81" w:rsidP="004B5DF4">
      <w:pPr>
        <w:spacing w:before="0" w:line="240" w:lineRule="auto"/>
      </w:pPr>
      <w:r>
        <w:continuationSeparator/>
      </w:r>
    </w:p>
  </w:endnote>
  <w:endnote w:type="continuationNotice" w:id="1">
    <w:p w14:paraId="6FECA582" w14:textId="77777777" w:rsidR="00572F81" w:rsidRDefault="00572F8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D1AA" w14:textId="044D4328" w:rsidR="001C0252" w:rsidRDefault="001C02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16057D" wp14:editId="3FFC8B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12427550" name="Textové pole 151242755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83F1C" w14:textId="3CA9ECFD" w:rsidR="001C0252" w:rsidRPr="001C0252" w:rsidRDefault="001C0252" w:rsidP="001C02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C025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6057D" id="_x0000_t202" coordsize="21600,21600" o:spt="202" path="m,l,21600r21600,l21600,xe">
              <v:stroke joinstyle="miter"/>
              <v:path gradientshapeok="t" o:connecttype="rect"/>
            </v:shapetype>
            <v:shape id="Textové pole 1512427550" o:spid="_x0000_s1026" type="#_x0000_t202" alt="Interní informace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483F1C" w14:textId="3CA9ECFD" w:rsidR="001C0252" w:rsidRPr="001C0252" w:rsidRDefault="001C0252" w:rsidP="001C025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C025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138A" w14:textId="4819CAA9" w:rsidR="00912536" w:rsidRDefault="001C0252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809082" wp14:editId="70E99E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25092994" name="Textové pole 182509299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C3B5E" w14:textId="791E6FB1" w:rsidR="001C0252" w:rsidRPr="001C0252" w:rsidRDefault="001C0252" w:rsidP="001C02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C025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09082" id="_x0000_t202" coordsize="21600,21600" o:spt="202" path="m,l,21600r21600,l21600,xe">
              <v:stroke joinstyle="miter"/>
              <v:path gradientshapeok="t" o:connecttype="rect"/>
            </v:shapetype>
            <v:shape id="Textové pole 1825092994" o:spid="_x0000_s1027" type="#_x0000_t202" alt="Interní informace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F1C3B5E" w14:textId="791E6FB1" w:rsidR="001C0252" w:rsidRPr="001C0252" w:rsidRDefault="001C0252" w:rsidP="001C025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C025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52902415"/>
        <w:docPartObj>
          <w:docPartGallery w:val="Page Numbers (Bottom of Page)"/>
          <w:docPartUnique/>
        </w:docPartObj>
      </w:sdtPr>
      <w:sdtEndPr/>
      <w:sdtContent>
        <w:r w:rsidR="00912536">
          <w:fldChar w:fldCharType="begin"/>
        </w:r>
        <w:r w:rsidR="00912536">
          <w:instrText>PAGE   \* MERGEFORMAT</w:instrText>
        </w:r>
        <w:r w:rsidR="00912536">
          <w:fldChar w:fldCharType="separate"/>
        </w:r>
        <w:r w:rsidR="00F50F00">
          <w:rPr>
            <w:noProof/>
          </w:rPr>
          <w:t>1</w:t>
        </w:r>
        <w:r w:rsidR="00912536">
          <w:fldChar w:fldCharType="end"/>
        </w:r>
      </w:sdtContent>
    </w:sdt>
  </w:p>
  <w:p w14:paraId="6EAE3E0C" w14:textId="77777777" w:rsidR="00912536" w:rsidRDefault="009125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2406" w14:textId="168D72FF" w:rsidR="001C0252" w:rsidRDefault="001C02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814EB8" wp14:editId="3D4D49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4540252" name="Textové pole 15454025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AF992" w14:textId="3AA512CE" w:rsidR="001C0252" w:rsidRPr="001C0252" w:rsidRDefault="001C0252" w:rsidP="001C02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C025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14EB8" id="_x0000_t202" coordsize="21600,21600" o:spt="202" path="m,l,21600r21600,l21600,xe">
              <v:stroke joinstyle="miter"/>
              <v:path gradientshapeok="t" o:connecttype="rect"/>
            </v:shapetype>
            <v:shape id="Textové pole 154540252" o:spid="_x0000_s1028" type="#_x0000_t202" alt="Interní informace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DAF992" w14:textId="3AA512CE" w:rsidR="001C0252" w:rsidRPr="001C0252" w:rsidRDefault="001C0252" w:rsidP="001C025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C025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FF78" w14:textId="77777777" w:rsidR="00572F81" w:rsidRDefault="00572F81" w:rsidP="004B5DF4">
      <w:pPr>
        <w:spacing w:before="0" w:line="240" w:lineRule="auto"/>
      </w:pPr>
      <w:r>
        <w:separator/>
      </w:r>
    </w:p>
  </w:footnote>
  <w:footnote w:type="continuationSeparator" w:id="0">
    <w:p w14:paraId="6CAA5AAE" w14:textId="77777777" w:rsidR="00572F81" w:rsidRDefault="00572F81" w:rsidP="004B5DF4">
      <w:pPr>
        <w:spacing w:before="0" w:line="240" w:lineRule="auto"/>
      </w:pPr>
      <w:r>
        <w:continuationSeparator/>
      </w:r>
    </w:p>
  </w:footnote>
  <w:footnote w:type="continuationNotice" w:id="1">
    <w:p w14:paraId="00001485" w14:textId="77777777" w:rsidR="00572F81" w:rsidRDefault="00572F8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7E03" w14:textId="77777777" w:rsidR="00E20B53" w:rsidRDefault="00E20B53" w:rsidP="004B5DF4">
    <w:pPr>
      <w:pStyle w:val="Zhlav"/>
      <w:jc w:val="center"/>
    </w:pPr>
    <w:r>
      <w:rPr>
        <w:noProof/>
        <w:lang w:eastAsia="cs-CZ"/>
      </w:rPr>
      <w:drawing>
        <wp:inline distT="0" distB="0" distL="0" distR="0" wp14:anchorId="53CBEEE4" wp14:editId="51989591">
          <wp:extent cx="5541819" cy="624964"/>
          <wp:effectExtent l="0" t="0" r="1905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675" cy="65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D167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C6750"/>
    <w:multiLevelType w:val="multilevel"/>
    <w:tmpl w:val="8DFEC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413048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1F66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EA4B39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5D2566"/>
    <w:multiLevelType w:val="hybridMultilevel"/>
    <w:tmpl w:val="E76A7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077FA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801174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F466B4"/>
    <w:multiLevelType w:val="hybridMultilevel"/>
    <w:tmpl w:val="92565A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46D8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C729F6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593B9B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2A1C2E51"/>
    <w:multiLevelType w:val="hybridMultilevel"/>
    <w:tmpl w:val="1FAC7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251BB"/>
    <w:multiLevelType w:val="hybridMultilevel"/>
    <w:tmpl w:val="C65A0250"/>
    <w:lvl w:ilvl="0" w:tplc="37342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30DDF"/>
    <w:multiLevelType w:val="hybridMultilevel"/>
    <w:tmpl w:val="F7C4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4C6"/>
    <w:multiLevelType w:val="hybridMultilevel"/>
    <w:tmpl w:val="4A18FE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61AF7"/>
    <w:multiLevelType w:val="multilevel"/>
    <w:tmpl w:val="52F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2B56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701CF6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DA680D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3D649E"/>
    <w:multiLevelType w:val="hybridMultilevel"/>
    <w:tmpl w:val="348EBD06"/>
    <w:lvl w:ilvl="0" w:tplc="669CEBB6">
      <w:numFmt w:val="bullet"/>
      <w:lvlText w:val="-"/>
      <w:lvlJc w:val="left"/>
      <w:pPr>
        <w:ind w:left="1068" w:hanging="360"/>
      </w:pPr>
      <w:rPr>
        <w:rFonts w:ascii="Helvetica" w:eastAsia="CalibriLight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3D2CE7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8F62BE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19725F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8A1F84"/>
    <w:multiLevelType w:val="hybridMultilevel"/>
    <w:tmpl w:val="68667D8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697A47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90652D"/>
    <w:multiLevelType w:val="hybridMultilevel"/>
    <w:tmpl w:val="A58C7E02"/>
    <w:lvl w:ilvl="0" w:tplc="20B64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024CD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B4F4FFA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EB1E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D86F7F"/>
    <w:multiLevelType w:val="multilevel"/>
    <w:tmpl w:val="B8341E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17599A"/>
    <w:multiLevelType w:val="multilevel"/>
    <w:tmpl w:val="713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E7529A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7C5F57"/>
    <w:multiLevelType w:val="hybridMultilevel"/>
    <w:tmpl w:val="4F38A88A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5ED734CA"/>
    <w:multiLevelType w:val="hybridMultilevel"/>
    <w:tmpl w:val="E116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8E2"/>
    <w:multiLevelType w:val="hybridMultilevel"/>
    <w:tmpl w:val="D2267486"/>
    <w:lvl w:ilvl="0" w:tplc="BD584B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54864"/>
    <w:multiLevelType w:val="hybridMultilevel"/>
    <w:tmpl w:val="DA5A5F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F5142"/>
    <w:multiLevelType w:val="hybridMultilevel"/>
    <w:tmpl w:val="32BCA6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45600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7202B5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1800B4"/>
    <w:multiLevelType w:val="multilevel"/>
    <w:tmpl w:val="39FCC3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41" w15:restartNumberingAfterBreak="0">
    <w:nsid w:val="7BCF0087"/>
    <w:multiLevelType w:val="multilevel"/>
    <w:tmpl w:val="79A87D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CC5B36"/>
    <w:multiLevelType w:val="hybridMultilevel"/>
    <w:tmpl w:val="E6BA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70072">
    <w:abstractNumId w:val="28"/>
  </w:num>
  <w:num w:numId="2" w16cid:durableId="688219430">
    <w:abstractNumId w:val="30"/>
  </w:num>
  <w:num w:numId="3" w16cid:durableId="303195827">
    <w:abstractNumId w:val="18"/>
  </w:num>
  <w:num w:numId="4" w16cid:durableId="1873416356">
    <w:abstractNumId w:val="22"/>
  </w:num>
  <w:num w:numId="5" w16cid:durableId="681205996">
    <w:abstractNumId w:val="21"/>
  </w:num>
  <w:num w:numId="6" w16cid:durableId="719324558">
    <w:abstractNumId w:val="38"/>
  </w:num>
  <w:num w:numId="7" w16cid:durableId="1327126061">
    <w:abstractNumId w:val="23"/>
  </w:num>
  <w:num w:numId="8" w16cid:durableId="504321189">
    <w:abstractNumId w:val="41"/>
  </w:num>
  <w:num w:numId="9" w16cid:durableId="129635805">
    <w:abstractNumId w:val="9"/>
  </w:num>
  <w:num w:numId="10" w16cid:durableId="698505053">
    <w:abstractNumId w:val="2"/>
  </w:num>
  <w:num w:numId="11" w16cid:durableId="1940331327">
    <w:abstractNumId w:val="7"/>
  </w:num>
  <w:num w:numId="12" w16cid:durableId="976296352">
    <w:abstractNumId w:val="27"/>
  </w:num>
  <w:num w:numId="13" w16cid:durableId="732703785">
    <w:abstractNumId w:val="6"/>
  </w:num>
  <w:num w:numId="14" w16cid:durableId="124813118">
    <w:abstractNumId w:val="19"/>
  </w:num>
  <w:num w:numId="15" w16cid:durableId="1921522122">
    <w:abstractNumId w:val="39"/>
  </w:num>
  <w:num w:numId="16" w16cid:durableId="356739999">
    <w:abstractNumId w:val="4"/>
  </w:num>
  <w:num w:numId="17" w16cid:durableId="689376104">
    <w:abstractNumId w:val="32"/>
  </w:num>
  <w:num w:numId="18" w16cid:durableId="590242100">
    <w:abstractNumId w:val="10"/>
  </w:num>
  <w:num w:numId="19" w16cid:durableId="333995284">
    <w:abstractNumId w:val="42"/>
  </w:num>
  <w:num w:numId="20" w16cid:durableId="1052074531">
    <w:abstractNumId w:val="36"/>
  </w:num>
  <w:num w:numId="21" w16cid:durableId="1413620351">
    <w:abstractNumId w:val="13"/>
  </w:num>
  <w:num w:numId="22" w16cid:durableId="471868290">
    <w:abstractNumId w:val="12"/>
  </w:num>
  <w:num w:numId="23" w16cid:durableId="272707324">
    <w:abstractNumId w:val="29"/>
  </w:num>
  <w:num w:numId="24" w16cid:durableId="959654016">
    <w:abstractNumId w:val="1"/>
  </w:num>
  <w:num w:numId="25" w16cid:durableId="64452757">
    <w:abstractNumId w:val="40"/>
  </w:num>
  <w:num w:numId="26" w16cid:durableId="1354334095">
    <w:abstractNumId w:val="17"/>
  </w:num>
  <w:num w:numId="27" w16cid:durableId="1905947921">
    <w:abstractNumId w:val="33"/>
  </w:num>
  <w:num w:numId="28" w16cid:durableId="2065788809">
    <w:abstractNumId w:val="11"/>
  </w:num>
  <w:num w:numId="29" w16cid:durableId="1539194967">
    <w:abstractNumId w:val="35"/>
  </w:num>
  <w:num w:numId="30" w16cid:durableId="1707560105">
    <w:abstractNumId w:val="14"/>
  </w:num>
  <w:num w:numId="31" w16cid:durableId="453715522">
    <w:abstractNumId w:val="0"/>
  </w:num>
  <w:num w:numId="32" w16cid:durableId="364909181">
    <w:abstractNumId w:val="5"/>
  </w:num>
  <w:num w:numId="33" w16cid:durableId="1601718824">
    <w:abstractNumId w:val="3"/>
  </w:num>
  <w:num w:numId="34" w16cid:durableId="588272841">
    <w:abstractNumId w:val="24"/>
  </w:num>
  <w:num w:numId="35" w16cid:durableId="1767463305">
    <w:abstractNumId w:val="26"/>
  </w:num>
  <w:num w:numId="36" w16cid:durableId="634482911">
    <w:abstractNumId w:val="34"/>
  </w:num>
  <w:num w:numId="37" w16cid:durableId="1678851296">
    <w:abstractNumId w:val="37"/>
  </w:num>
  <w:num w:numId="38" w16cid:durableId="620187141">
    <w:abstractNumId w:val="15"/>
  </w:num>
  <w:num w:numId="39" w16cid:durableId="1955868884">
    <w:abstractNumId w:val="8"/>
  </w:num>
  <w:num w:numId="40" w16cid:durableId="318198767">
    <w:abstractNumId w:val="25"/>
  </w:num>
  <w:num w:numId="41" w16cid:durableId="921328536">
    <w:abstractNumId w:val="20"/>
  </w:num>
  <w:num w:numId="42" w16cid:durableId="983850639">
    <w:abstractNumId w:val="31"/>
  </w:num>
  <w:num w:numId="43" w16cid:durableId="41515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F4"/>
    <w:rsid w:val="00007BA6"/>
    <w:rsid w:val="00011472"/>
    <w:rsid w:val="0002096D"/>
    <w:rsid w:val="0002539A"/>
    <w:rsid w:val="000264BC"/>
    <w:rsid w:val="00034006"/>
    <w:rsid w:val="0003455F"/>
    <w:rsid w:val="00034932"/>
    <w:rsid w:val="00040D96"/>
    <w:rsid w:val="000467DF"/>
    <w:rsid w:val="00050AE6"/>
    <w:rsid w:val="00062590"/>
    <w:rsid w:val="00065E62"/>
    <w:rsid w:val="000772C5"/>
    <w:rsid w:val="00087990"/>
    <w:rsid w:val="000949D1"/>
    <w:rsid w:val="000A1506"/>
    <w:rsid w:val="000A2C73"/>
    <w:rsid w:val="000B0FE4"/>
    <w:rsid w:val="000B3D13"/>
    <w:rsid w:val="000B7456"/>
    <w:rsid w:val="000C531A"/>
    <w:rsid w:val="001268BE"/>
    <w:rsid w:val="001339BD"/>
    <w:rsid w:val="00141ADF"/>
    <w:rsid w:val="001603F5"/>
    <w:rsid w:val="0017454D"/>
    <w:rsid w:val="00175D1A"/>
    <w:rsid w:val="0018098B"/>
    <w:rsid w:val="00184CDE"/>
    <w:rsid w:val="00187F9A"/>
    <w:rsid w:val="001A3571"/>
    <w:rsid w:val="001A5364"/>
    <w:rsid w:val="001A6111"/>
    <w:rsid w:val="001B1E8D"/>
    <w:rsid w:val="001B20BD"/>
    <w:rsid w:val="001B671C"/>
    <w:rsid w:val="001B68E9"/>
    <w:rsid w:val="001C0252"/>
    <w:rsid w:val="001C46FF"/>
    <w:rsid w:val="001D54C1"/>
    <w:rsid w:val="001E5EA3"/>
    <w:rsid w:val="001F424C"/>
    <w:rsid w:val="001F4899"/>
    <w:rsid w:val="0020625F"/>
    <w:rsid w:val="00207A46"/>
    <w:rsid w:val="00220BC0"/>
    <w:rsid w:val="00224D2F"/>
    <w:rsid w:val="0022747C"/>
    <w:rsid w:val="00240B92"/>
    <w:rsid w:val="002434CD"/>
    <w:rsid w:val="00251E7E"/>
    <w:rsid w:val="00265E9C"/>
    <w:rsid w:val="0027460C"/>
    <w:rsid w:val="002760EA"/>
    <w:rsid w:val="00285121"/>
    <w:rsid w:val="00295F24"/>
    <w:rsid w:val="002A7DE3"/>
    <w:rsid w:val="002C6257"/>
    <w:rsid w:val="002C796B"/>
    <w:rsid w:val="002E608B"/>
    <w:rsid w:val="002E7525"/>
    <w:rsid w:val="00312B97"/>
    <w:rsid w:val="00313B89"/>
    <w:rsid w:val="00313F24"/>
    <w:rsid w:val="00320346"/>
    <w:rsid w:val="00337C93"/>
    <w:rsid w:val="00377EDE"/>
    <w:rsid w:val="003879F7"/>
    <w:rsid w:val="0039088A"/>
    <w:rsid w:val="0039177F"/>
    <w:rsid w:val="0039521B"/>
    <w:rsid w:val="00395F88"/>
    <w:rsid w:val="003A27E3"/>
    <w:rsid w:val="003A4D21"/>
    <w:rsid w:val="003B4618"/>
    <w:rsid w:val="003C27BC"/>
    <w:rsid w:val="003D776C"/>
    <w:rsid w:val="003E1257"/>
    <w:rsid w:val="003E5EF2"/>
    <w:rsid w:val="003E6CAF"/>
    <w:rsid w:val="003F04E0"/>
    <w:rsid w:val="003F31B6"/>
    <w:rsid w:val="00411594"/>
    <w:rsid w:val="004131C5"/>
    <w:rsid w:val="00415257"/>
    <w:rsid w:val="0043021D"/>
    <w:rsid w:val="00430B5B"/>
    <w:rsid w:val="00430ECA"/>
    <w:rsid w:val="00433521"/>
    <w:rsid w:val="00433AC5"/>
    <w:rsid w:val="00447174"/>
    <w:rsid w:val="004505A6"/>
    <w:rsid w:val="00452F9E"/>
    <w:rsid w:val="00456B26"/>
    <w:rsid w:val="0045793F"/>
    <w:rsid w:val="00463940"/>
    <w:rsid w:val="00473A8F"/>
    <w:rsid w:val="00480C3A"/>
    <w:rsid w:val="00482935"/>
    <w:rsid w:val="00485F55"/>
    <w:rsid w:val="004922B2"/>
    <w:rsid w:val="004929F2"/>
    <w:rsid w:val="00496C91"/>
    <w:rsid w:val="004B5DF4"/>
    <w:rsid w:val="004B7A88"/>
    <w:rsid w:val="004C465F"/>
    <w:rsid w:val="004D78A2"/>
    <w:rsid w:val="004F4C92"/>
    <w:rsid w:val="00525FC7"/>
    <w:rsid w:val="00533DE1"/>
    <w:rsid w:val="00542D51"/>
    <w:rsid w:val="005430E9"/>
    <w:rsid w:val="0054374E"/>
    <w:rsid w:val="00557EC9"/>
    <w:rsid w:val="005632B6"/>
    <w:rsid w:val="0056504B"/>
    <w:rsid w:val="00572F81"/>
    <w:rsid w:val="00575DD4"/>
    <w:rsid w:val="0058459D"/>
    <w:rsid w:val="005944AE"/>
    <w:rsid w:val="005A3AD5"/>
    <w:rsid w:val="005A6DCD"/>
    <w:rsid w:val="005A7744"/>
    <w:rsid w:val="005C05FF"/>
    <w:rsid w:val="005C07F7"/>
    <w:rsid w:val="005D6A5C"/>
    <w:rsid w:val="005E2CCF"/>
    <w:rsid w:val="005E63B8"/>
    <w:rsid w:val="005F57A2"/>
    <w:rsid w:val="005F7DE3"/>
    <w:rsid w:val="00600A65"/>
    <w:rsid w:val="006147B3"/>
    <w:rsid w:val="006201EF"/>
    <w:rsid w:val="00620C41"/>
    <w:rsid w:val="006359B4"/>
    <w:rsid w:val="00637129"/>
    <w:rsid w:val="006425FB"/>
    <w:rsid w:val="0065532F"/>
    <w:rsid w:val="00660AB5"/>
    <w:rsid w:val="00664838"/>
    <w:rsid w:val="00664CB3"/>
    <w:rsid w:val="006A1D74"/>
    <w:rsid w:val="006A2A84"/>
    <w:rsid w:val="006B5385"/>
    <w:rsid w:val="006E18C3"/>
    <w:rsid w:val="006E2882"/>
    <w:rsid w:val="006E7C76"/>
    <w:rsid w:val="006F1859"/>
    <w:rsid w:val="006F38C0"/>
    <w:rsid w:val="006F5F18"/>
    <w:rsid w:val="0070150D"/>
    <w:rsid w:val="0070162F"/>
    <w:rsid w:val="00703062"/>
    <w:rsid w:val="007053BD"/>
    <w:rsid w:val="00730909"/>
    <w:rsid w:val="007351EB"/>
    <w:rsid w:val="00736238"/>
    <w:rsid w:val="00742080"/>
    <w:rsid w:val="00750DB5"/>
    <w:rsid w:val="007571FF"/>
    <w:rsid w:val="007609A7"/>
    <w:rsid w:val="00761D41"/>
    <w:rsid w:val="00771623"/>
    <w:rsid w:val="007774EA"/>
    <w:rsid w:val="00787EA5"/>
    <w:rsid w:val="007911E2"/>
    <w:rsid w:val="0079778C"/>
    <w:rsid w:val="007A3A50"/>
    <w:rsid w:val="007B17B4"/>
    <w:rsid w:val="007B5E71"/>
    <w:rsid w:val="007C004B"/>
    <w:rsid w:val="007C6773"/>
    <w:rsid w:val="007D5C53"/>
    <w:rsid w:val="007D68FD"/>
    <w:rsid w:val="007E1553"/>
    <w:rsid w:val="007E6685"/>
    <w:rsid w:val="007E6F7F"/>
    <w:rsid w:val="0080385B"/>
    <w:rsid w:val="0082031D"/>
    <w:rsid w:val="00835241"/>
    <w:rsid w:val="00836C24"/>
    <w:rsid w:val="00841460"/>
    <w:rsid w:val="00843706"/>
    <w:rsid w:val="008506CD"/>
    <w:rsid w:val="0085436A"/>
    <w:rsid w:val="00854CC6"/>
    <w:rsid w:val="0087148F"/>
    <w:rsid w:val="00880257"/>
    <w:rsid w:val="00882A38"/>
    <w:rsid w:val="00885D27"/>
    <w:rsid w:val="00891061"/>
    <w:rsid w:val="008A0F53"/>
    <w:rsid w:val="008A16A3"/>
    <w:rsid w:val="008B32D8"/>
    <w:rsid w:val="008B346F"/>
    <w:rsid w:val="008B74D3"/>
    <w:rsid w:val="008B79AC"/>
    <w:rsid w:val="008C1091"/>
    <w:rsid w:val="008C1DCE"/>
    <w:rsid w:val="008D1ACB"/>
    <w:rsid w:val="008D3C2C"/>
    <w:rsid w:val="008D54F4"/>
    <w:rsid w:val="008D57C3"/>
    <w:rsid w:val="008F0086"/>
    <w:rsid w:val="009059B0"/>
    <w:rsid w:val="00912536"/>
    <w:rsid w:val="009136D1"/>
    <w:rsid w:val="00917BF5"/>
    <w:rsid w:val="009247C0"/>
    <w:rsid w:val="00941E28"/>
    <w:rsid w:val="00953E31"/>
    <w:rsid w:val="00975DF0"/>
    <w:rsid w:val="0098299D"/>
    <w:rsid w:val="009930A4"/>
    <w:rsid w:val="009A048C"/>
    <w:rsid w:val="009A2707"/>
    <w:rsid w:val="009C4716"/>
    <w:rsid w:val="009C6933"/>
    <w:rsid w:val="009E0ECA"/>
    <w:rsid w:val="009E2B66"/>
    <w:rsid w:val="009F0932"/>
    <w:rsid w:val="00A00D49"/>
    <w:rsid w:val="00A158C3"/>
    <w:rsid w:val="00A1727B"/>
    <w:rsid w:val="00A20918"/>
    <w:rsid w:val="00A23C87"/>
    <w:rsid w:val="00A319F1"/>
    <w:rsid w:val="00A3384F"/>
    <w:rsid w:val="00A54EDD"/>
    <w:rsid w:val="00A5589A"/>
    <w:rsid w:val="00A67482"/>
    <w:rsid w:val="00A75156"/>
    <w:rsid w:val="00A97416"/>
    <w:rsid w:val="00AB1BC3"/>
    <w:rsid w:val="00AB2E44"/>
    <w:rsid w:val="00AB6FCF"/>
    <w:rsid w:val="00AC78FD"/>
    <w:rsid w:val="00AD04B5"/>
    <w:rsid w:val="00AD7CDA"/>
    <w:rsid w:val="00AE7911"/>
    <w:rsid w:val="00AF102D"/>
    <w:rsid w:val="00AF3A09"/>
    <w:rsid w:val="00AF52D4"/>
    <w:rsid w:val="00B04228"/>
    <w:rsid w:val="00B21DC6"/>
    <w:rsid w:val="00B25374"/>
    <w:rsid w:val="00B340E7"/>
    <w:rsid w:val="00B36585"/>
    <w:rsid w:val="00B46F84"/>
    <w:rsid w:val="00B65477"/>
    <w:rsid w:val="00B75388"/>
    <w:rsid w:val="00B83243"/>
    <w:rsid w:val="00B90993"/>
    <w:rsid w:val="00BA1365"/>
    <w:rsid w:val="00BA2878"/>
    <w:rsid w:val="00BD4902"/>
    <w:rsid w:val="00BD49D9"/>
    <w:rsid w:val="00BE384B"/>
    <w:rsid w:val="00BF3E41"/>
    <w:rsid w:val="00C04D20"/>
    <w:rsid w:val="00C0787C"/>
    <w:rsid w:val="00C16EEB"/>
    <w:rsid w:val="00C237BF"/>
    <w:rsid w:val="00C27E51"/>
    <w:rsid w:val="00C41DA6"/>
    <w:rsid w:val="00C51569"/>
    <w:rsid w:val="00C5232C"/>
    <w:rsid w:val="00C6143E"/>
    <w:rsid w:val="00C66454"/>
    <w:rsid w:val="00C66C74"/>
    <w:rsid w:val="00C72110"/>
    <w:rsid w:val="00C833F5"/>
    <w:rsid w:val="00C93580"/>
    <w:rsid w:val="00C93CCE"/>
    <w:rsid w:val="00CA52E0"/>
    <w:rsid w:val="00CB1549"/>
    <w:rsid w:val="00CC039F"/>
    <w:rsid w:val="00CC5C20"/>
    <w:rsid w:val="00CC722F"/>
    <w:rsid w:val="00CD4F9B"/>
    <w:rsid w:val="00CE029F"/>
    <w:rsid w:val="00CF0000"/>
    <w:rsid w:val="00D00A05"/>
    <w:rsid w:val="00D0457B"/>
    <w:rsid w:val="00D06F5B"/>
    <w:rsid w:val="00D11163"/>
    <w:rsid w:val="00D11B97"/>
    <w:rsid w:val="00D33043"/>
    <w:rsid w:val="00D40A45"/>
    <w:rsid w:val="00D46AE8"/>
    <w:rsid w:val="00D46B76"/>
    <w:rsid w:val="00D476A2"/>
    <w:rsid w:val="00D546BA"/>
    <w:rsid w:val="00D5779F"/>
    <w:rsid w:val="00D63293"/>
    <w:rsid w:val="00D82BFA"/>
    <w:rsid w:val="00D87B41"/>
    <w:rsid w:val="00D908C4"/>
    <w:rsid w:val="00DA0192"/>
    <w:rsid w:val="00DA1A6F"/>
    <w:rsid w:val="00DC1A3E"/>
    <w:rsid w:val="00DC4727"/>
    <w:rsid w:val="00DC6527"/>
    <w:rsid w:val="00DD45D8"/>
    <w:rsid w:val="00DF1101"/>
    <w:rsid w:val="00DF1B46"/>
    <w:rsid w:val="00DF705A"/>
    <w:rsid w:val="00E00313"/>
    <w:rsid w:val="00E00A24"/>
    <w:rsid w:val="00E20A3F"/>
    <w:rsid w:val="00E20B53"/>
    <w:rsid w:val="00E25428"/>
    <w:rsid w:val="00E30E1A"/>
    <w:rsid w:val="00E36C4C"/>
    <w:rsid w:val="00E467E5"/>
    <w:rsid w:val="00E77138"/>
    <w:rsid w:val="00E96AB7"/>
    <w:rsid w:val="00EA3A8F"/>
    <w:rsid w:val="00EB140F"/>
    <w:rsid w:val="00EC23E6"/>
    <w:rsid w:val="00ED5155"/>
    <w:rsid w:val="00EF754A"/>
    <w:rsid w:val="00EF7AFB"/>
    <w:rsid w:val="00F00368"/>
    <w:rsid w:val="00F133BF"/>
    <w:rsid w:val="00F15606"/>
    <w:rsid w:val="00F22597"/>
    <w:rsid w:val="00F237B8"/>
    <w:rsid w:val="00F3400D"/>
    <w:rsid w:val="00F35DCD"/>
    <w:rsid w:val="00F36BD0"/>
    <w:rsid w:val="00F504A5"/>
    <w:rsid w:val="00F50F00"/>
    <w:rsid w:val="00F5197F"/>
    <w:rsid w:val="00F67A1E"/>
    <w:rsid w:val="00F74E8E"/>
    <w:rsid w:val="00F76F0B"/>
    <w:rsid w:val="00F8202E"/>
    <w:rsid w:val="00F82590"/>
    <w:rsid w:val="00F86223"/>
    <w:rsid w:val="00F914E5"/>
    <w:rsid w:val="00F91842"/>
    <w:rsid w:val="00F967B1"/>
    <w:rsid w:val="00F96B9C"/>
    <w:rsid w:val="00F96DD8"/>
    <w:rsid w:val="00FA3355"/>
    <w:rsid w:val="00FA4970"/>
    <w:rsid w:val="00FB2BE8"/>
    <w:rsid w:val="00FB3F4B"/>
    <w:rsid w:val="00FB5F94"/>
    <w:rsid w:val="00FE51CA"/>
    <w:rsid w:val="00FE7E9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C4B5"/>
  <w15:chartTrackingRefBased/>
  <w15:docId w15:val="{D090DC8A-97D7-4E66-925F-2A0E2F83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DF4"/>
    <w:pPr>
      <w:spacing w:before="120" w:after="0" w:line="264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00D49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DF4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4838"/>
    <w:pPr>
      <w:spacing w:before="120" w:after="0" w:line="264" w:lineRule="auto"/>
      <w:jc w:val="both"/>
    </w:pPr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A00D49"/>
    <w:rPr>
      <w:rFonts w:ascii="Arial" w:eastAsiaTheme="majorEastAsia" w:hAnsi="Arial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5DF4"/>
    <w:rPr>
      <w:rFonts w:ascii="Arial" w:eastAsiaTheme="majorEastAsia" w:hAnsi="Arial" w:cstheme="majorBidi"/>
      <w:b/>
      <w:szCs w:val="26"/>
    </w:rPr>
  </w:style>
  <w:style w:type="paragraph" w:styleId="Zhlav">
    <w:name w:val="header"/>
    <w:basedOn w:val="Normln"/>
    <w:link w:val="ZhlavChar"/>
    <w:uiPriority w:val="99"/>
    <w:unhideWhenUsed/>
    <w:rsid w:val="004B5DF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DF4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B5DF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DF4"/>
    <w:rPr>
      <w:rFonts w:ascii="Arial" w:hAnsi="Arial"/>
    </w:rPr>
  </w:style>
  <w:style w:type="paragraph" w:styleId="Odstavecseseznamem">
    <w:name w:val="List Paragraph"/>
    <w:aliases w:val="Bullet Number,Bullet List,FooterText,numbered,Paragraphe de liste1,Bulletr List Paragraph,列出段落,列出段落1,List Paragraph2,List Paragraph21,Listeafsnit1,Parágrafo da Lista1,Párrafo de lista1,リスト段落1,Bullet list,Table of contents numbered"/>
    <w:basedOn w:val="Normln"/>
    <w:link w:val="OdstavecseseznamemChar"/>
    <w:uiPriority w:val="34"/>
    <w:qFormat/>
    <w:rsid w:val="00A00D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6DD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DD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0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09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090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909"/>
    <w:rPr>
      <w:rFonts w:ascii="Arial" w:hAnsi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1842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Bullet Number Char,Bullet List Char,FooterText Char,numbered Char,Paragraphe de liste1 Char,Bulletr List Paragraph Char,列出段落 Char,列出段落1 Char,List Paragraph2 Char,List Paragraph21 Char,Listeafsnit1 Char,Parágrafo da Lista1 Char"/>
    <w:link w:val="Odstavecseseznamem"/>
    <w:uiPriority w:val="34"/>
    <w:qFormat/>
    <w:locked/>
    <w:rsid w:val="00415257"/>
    <w:rPr>
      <w:rFonts w:ascii="Arial" w:hAnsi="Arial"/>
    </w:rPr>
  </w:style>
  <w:style w:type="paragraph" w:styleId="Revize">
    <w:name w:val="Revision"/>
    <w:hidden/>
    <w:uiPriority w:val="99"/>
    <w:semiHidden/>
    <w:rsid w:val="001C0252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ln"/>
    <w:rsid w:val="005F7DE3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cs-CZ"/>
    </w:rPr>
  </w:style>
  <w:style w:type="character" w:customStyle="1" w:styleId="cf01">
    <w:name w:val="cf01"/>
    <w:basedOn w:val="Standardnpsmoodstavce"/>
    <w:rsid w:val="005F7D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7351EB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Default">
    <w:name w:val="Default"/>
    <w:link w:val="DefaultChar"/>
    <w:qFormat/>
    <w:rsid w:val="00087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53E31"/>
    <w:rPr>
      <w:color w:val="605E5C"/>
      <w:shd w:val="clear" w:color="auto" w:fill="E1DFDD"/>
    </w:rPr>
  </w:style>
  <w:style w:type="character" w:customStyle="1" w:styleId="DefaultChar">
    <w:name w:val="Default Char"/>
    <w:basedOn w:val="Standardnpsmoodstavce"/>
    <w:link w:val="Default"/>
    <w:rsid w:val="001603F5"/>
    <w:rPr>
      <w:rFonts w:ascii="Arial" w:hAnsi="Arial" w:cs="Arial"/>
      <w:color w:val="000000"/>
      <w:sz w:val="24"/>
      <w:szCs w:val="24"/>
    </w:rPr>
  </w:style>
  <w:style w:type="paragraph" w:customStyle="1" w:styleId="elementtoproof1">
    <w:name w:val="elementtoproof1"/>
    <w:basedOn w:val="Normln"/>
    <w:rsid w:val="008B74D3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cs-CZ"/>
    </w:rPr>
  </w:style>
  <w:style w:type="paragraph" w:customStyle="1" w:styleId="elementtoproof2">
    <w:name w:val="elementtoproof2"/>
    <w:basedOn w:val="Normln"/>
    <w:rsid w:val="008B74D3"/>
    <w:pPr>
      <w:spacing w:before="0" w:line="240" w:lineRule="auto"/>
      <w:jc w:val="left"/>
    </w:pPr>
    <w:rPr>
      <w:rFonts w:ascii="Calibri" w:hAnsi="Calibri" w:cs="Calibri"/>
      <w:lang w:eastAsia="cs-CZ"/>
    </w:rPr>
  </w:style>
  <w:style w:type="character" w:customStyle="1" w:styleId="elementtoproof">
    <w:name w:val="elementtoproof"/>
    <w:basedOn w:val="Standardnpsmoodstavce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a7f5c7-e93d-4dac-8033-86d875b8bc9a">
      <Terms xmlns="http://schemas.microsoft.com/office/infopath/2007/PartnerControls"/>
    </lcf76f155ced4ddcb4097134ff3c332f>
    <TaxCatchAll xmlns="f5ddfdc0-90ff-4d23-b914-27c8a699b4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5E28FE22229459B848CC57D260D16" ma:contentTypeVersion="12" ma:contentTypeDescription="Vytvoří nový dokument" ma:contentTypeScope="" ma:versionID="cbaad62f59f0a51dc6b756e7930d121e">
  <xsd:schema xmlns:xsd="http://www.w3.org/2001/XMLSchema" xmlns:xs="http://www.w3.org/2001/XMLSchema" xmlns:p="http://schemas.microsoft.com/office/2006/metadata/properties" xmlns:ns2="c7a7f5c7-e93d-4dac-8033-86d875b8bc9a" xmlns:ns3="f5ddfdc0-90ff-4d23-b914-27c8a699b4d9" targetNamespace="http://schemas.microsoft.com/office/2006/metadata/properties" ma:root="true" ma:fieldsID="63f0292a6547676e93a811942329b549" ns2:_="" ns3:_="">
    <xsd:import namespace="c7a7f5c7-e93d-4dac-8033-86d875b8bc9a"/>
    <xsd:import namespace="f5ddfdc0-90ff-4d23-b914-27c8a699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7f5c7-e93d-4dac-8033-86d875b8b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dfdc0-90ff-4d23-b914-27c8a699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17628b-2da6-43dc-b125-e00204800acd}" ma:internalName="TaxCatchAll" ma:showField="CatchAllData" ma:web="f5ddfdc0-90ff-4d23-b914-27c8a699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CE367-9ECA-472C-B776-B13AC1B7205B}">
  <ds:schemaRefs>
    <ds:schemaRef ds:uri="http://schemas.microsoft.com/office/2006/metadata/properties"/>
    <ds:schemaRef ds:uri="http://schemas.microsoft.com/office/infopath/2007/PartnerControls"/>
    <ds:schemaRef ds:uri="c7a7f5c7-e93d-4dac-8033-86d875b8bc9a"/>
    <ds:schemaRef ds:uri="f5ddfdc0-90ff-4d23-b914-27c8a699b4d9"/>
  </ds:schemaRefs>
</ds:datastoreItem>
</file>

<file path=customXml/itemProps2.xml><?xml version="1.0" encoding="utf-8"?>
<ds:datastoreItem xmlns:ds="http://schemas.openxmlformats.org/officeDocument/2006/customXml" ds:itemID="{4A390F92-086A-45F1-A058-916350CD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7f5c7-e93d-4dac-8033-86d875b8bc9a"/>
    <ds:schemaRef ds:uri="f5ddfdc0-90ff-4d23-b914-27c8a699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16A65-2077-46A6-BFF6-140744DDC6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1815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Kocourková</dc:creator>
  <cp:keywords/>
  <dc:description/>
  <cp:lastModifiedBy>Divišová Kateřina</cp:lastModifiedBy>
  <cp:revision>18</cp:revision>
  <dcterms:created xsi:type="dcterms:W3CDTF">2023-12-29T14:07:00Z</dcterms:created>
  <dcterms:modified xsi:type="dcterms:W3CDTF">2023-12-30T10:22:00Z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93618dc,5a25d01e,6cc8b582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0x010100D3D5E28FE22229459B848CC57D260D16</vt:lpwstr>
  </property>
  <property fmtid="{D5CDD505-2E9C-101B-9397-08002B2CF9AE}" pid="6" name="MediaServiceImageTags">
    <vt:lpwstr/>
  </property>
</Properties>
</file>