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2" w:after="0" w:line="240"/>
        <w:ind w:right="185" w:left="186" w:firstLine="18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DOHODA O NAROVNÁNÍ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4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k Provád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ěc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í smlouv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ě č. 3 k 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ámcové smlouv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ě (dohodě), kterou se ujedn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ávají podmínky týkající se pln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í ve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é zakázky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ZAJI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ŠTĚN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Í ROZ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ŠIŘUJ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ÍCÍ VÝUKY AJ KVALIFIKOVANÝMI RODILÝMI MLUV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ÍMI A KVALIFIKOVANÝMI LEKTORY PRO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ÁKY A PEDAGOGY ZÁKLADNÍCH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ŠKOL ZŘIZOVAN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ÝCH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 PRAHA 3 PRO OBDOB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Í 05/2022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08/2024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ze dne 29. 4. 2022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Ní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že uveden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ého dne,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ěs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íce a roku smluvní strany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1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ěstsk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á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ást Praha 3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240" w:leader="none"/>
        </w:tabs>
        <w:spacing w:before="70" w:after="0" w:line="240"/>
        <w:ind w:right="0" w:left="1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Sídlo: Havlí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čkovo 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ám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ěst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í 700/9, Praha 3, 130 00</w:t>
      </w:r>
    </w:p>
    <w:p>
      <w:pPr>
        <w:tabs>
          <w:tab w:val="left" w:pos="2240" w:leader="none"/>
        </w:tabs>
        <w:spacing w:before="70" w:after="0" w:line="240"/>
        <w:ind w:right="0" w:left="1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Č: 00063517</w:t>
      </w:r>
    </w:p>
    <w:p>
      <w:pPr>
        <w:tabs>
          <w:tab w:val="left" w:pos="2240" w:leader="none"/>
        </w:tabs>
        <w:spacing w:before="70" w:after="0" w:line="240"/>
        <w:ind w:right="0" w:left="11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Č: CZ00063517</w:t>
      </w:r>
    </w:p>
    <w:p>
      <w:pPr>
        <w:tabs>
          <w:tab w:val="left" w:pos="2240" w:leader="none"/>
        </w:tabs>
        <w:spacing w:before="70" w:after="0" w:line="240"/>
        <w:ind w:right="4394" w:left="113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zastoupena: Filipem Málkem, místostarostou</w:t>
      </w:r>
    </w:p>
    <w:p>
      <w:pPr>
        <w:tabs>
          <w:tab w:val="left" w:pos="2240" w:leader="none"/>
        </w:tabs>
        <w:spacing w:before="70" w:after="0" w:line="240"/>
        <w:ind w:right="4394" w:left="113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Bankovní spojení: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Česk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á spo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řitelna, a.s.</w:t>
      </w:r>
    </w:p>
    <w:p>
      <w:pPr>
        <w:tabs>
          <w:tab w:val="left" w:pos="2240" w:leader="none"/>
        </w:tabs>
        <w:spacing w:before="70" w:after="0" w:line="240"/>
        <w:ind w:right="0" w:left="11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íslo 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čtu: 27-2000781379/0800</w:t>
      </w:r>
    </w:p>
    <w:p>
      <w:pPr>
        <w:tabs>
          <w:tab w:val="left" w:pos="2240" w:leader="none"/>
        </w:tabs>
        <w:spacing w:before="70" w:after="0" w:line="240"/>
        <w:ind w:right="0" w:left="11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(dále jen "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Objednatel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") </w:t>
      </w:r>
    </w:p>
    <w:p>
      <w:pPr>
        <w:tabs>
          <w:tab w:val="left" w:pos="2240" w:leader="none"/>
        </w:tabs>
        <w:spacing w:before="0" w:after="0" w:line="240"/>
        <w:ind w:right="0" w:left="11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719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</w:p>
    <w:p>
      <w:pPr>
        <w:spacing w:before="0" w:after="0" w:line="240"/>
        <w:ind w:right="719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1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ĚV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ČEK vzděl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ávací centrum s.r.o.</w:t>
      </w:r>
    </w:p>
    <w:p>
      <w:pPr>
        <w:tabs>
          <w:tab w:val="left" w:pos="2240" w:leader="none"/>
        </w:tabs>
        <w:spacing w:before="70" w:after="0" w:line="240"/>
        <w:ind w:right="1849" w:left="116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zapsaná v obchodním rejst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íku vedeném u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ěstsk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ého soudu v Praze, oddíl C, vlo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žka 71367 </w:t>
      </w:r>
    </w:p>
    <w:p>
      <w:pPr>
        <w:tabs>
          <w:tab w:val="left" w:pos="2240" w:leader="none"/>
        </w:tabs>
        <w:spacing w:before="70" w:after="0" w:line="240"/>
        <w:ind w:right="1848" w:left="113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Sídlo: Praha 6, nám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ěst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í Na Santince 1554/2, PS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Č 160 00</w:t>
      </w:r>
    </w:p>
    <w:p>
      <w:pPr>
        <w:tabs>
          <w:tab w:val="left" w:pos="2240" w:leader="none"/>
        </w:tabs>
        <w:spacing w:before="3" w:after="0" w:line="240"/>
        <w:ind w:right="3105" w:left="116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Č: 25799789</w:t>
      </w:r>
    </w:p>
    <w:p>
      <w:pPr>
        <w:tabs>
          <w:tab w:val="left" w:pos="2240" w:leader="none"/>
        </w:tabs>
        <w:spacing w:before="3" w:after="0" w:line="240"/>
        <w:ind w:right="0" w:left="11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Č: CZ25799789</w:t>
      </w:r>
    </w:p>
    <w:p>
      <w:pPr>
        <w:tabs>
          <w:tab w:val="left" w:pos="2240" w:leader="none"/>
        </w:tabs>
        <w:spacing w:before="70" w:after="0" w:line="240"/>
        <w:ind w:right="5284" w:left="113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Zastoupen: Ing. Ji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ím Sp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ěv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čkem </w:t>
      </w:r>
    </w:p>
    <w:p>
      <w:pPr>
        <w:tabs>
          <w:tab w:val="left" w:pos="2240" w:leader="none"/>
        </w:tabs>
        <w:spacing w:before="70" w:after="0" w:line="240"/>
        <w:ind w:right="5286" w:left="116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Bankovní spojení: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ČSOB a.s., Praha 1 </w:t>
      </w:r>
    </w:p>
    <w:p>
      <w:pPr>
        <w:tabs>
          <w:tab w:val="left" w:pos="2240" w:leader="none"/>
        </w:tabs>
        <w:spacing w:before="70" w:after="0" w:line="240"/>
        <w:ind w:right="5286" w:left="116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íslo 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čtu: 209934322/0300</w:t>
      </w:r>
    </w:p>
    <w:p>
      <w:pPr>
        <w:spacing w:before="70" w:after="0" w:line="240"/>
        <w:ind w:right="1309" w:left="116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(dále jen "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Poskytovatel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")</w:t>
      </w:r>
    </w:p>
    <w:p>
      <w:pPr>
        <w:spacing w:before="70" w:after="0" w:line="240"/>
        <w:ind w:right="1309" w:left="116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122" w:after="0" w:line="240"/>
        <w:ind w:right="0" w:left="11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(Objednatel a Poskytovatel dále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čně jen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Smluvn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í strany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“, jednotliv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Smluvn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í strana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“)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2" w:after="0" w:line="240"/>
        <w:ind w:right="113" w:left="11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Uzavírají tuto dohodu o narovnání sporných práv a povinností vzniklých v souvislosti s pln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ím Provád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ěc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í smlouvy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č. 3 (d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ále jen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Prov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ád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ěc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í smlouva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“) k Rámcové smlouv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ě (dohodě), kterou se ujedn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ávají podmínky týkající se pln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í ve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řejn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é zakázky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ZAJI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ŠTĚN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Í ROZ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ŠIŘUJ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ÍCÍ VÝUKY AJ KVALIFIKOVANÝMI RODILÝMI MLUV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ÍMI A KVALIFIKOVANÝMI LEKTORY PRO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ÁKY A PEDAGOGY ZÁKLADNÍCH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ŠKOL ZŘIZOVAN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ÝCH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Č PRAHA 3 PRO OBDOB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Í 05/2022 - 08/2024“ ze dne 29. 4. 2022,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č. 2022/00667/OŠ (d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ále jen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ámcová dohoda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“)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0" w:after="0" w:line="240"/>
        <w:ind w:right="190" w:left="11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I.</w:t>
      </w:r>
    </w:p>
    <w:p>
      <w:pPr>
        <w:spacing w:before="111" w:after="0" w:line="240"/>
        <w:ind w:right="190" w:left="186" w:firstLine="18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Úvodní ustanovení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22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1. Na základ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ě Prov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ád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ěc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í smlouvy poskytl Poskytovatel Objednateli sjednané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žby, a to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ýuku anglického jazyka v období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íjen 2022 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ž červen 2023 v rozsahu specifikovan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ém v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íloze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č. 1 prov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ád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ěc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í smlouvy. Sou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ástí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ěchto služeb bylo mimo jin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é 23 prezen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ích kurz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ů anglick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ého jazyka s kvalifikovanými rodilými mluv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ími pro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ěti v rozsahu 1x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ýdn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ě 45 min.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122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2. V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čl. I. odst. 2 Prov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ád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ěc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í smlouvy byl jako maximální a nep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řekročiteln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ý rozsah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žeb stanoven na 1 050 člověkohodin v rozsahu čtyřiceti pěti (45) minut dle č. 4.2. 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ámcové dohody. V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čl. III. odst. 1 Prov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ád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ěc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í smlouvy se smluvní strany dohodly,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že maxim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ální nep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řekročiteln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á cena za poskytnutí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žeb ve sjednan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ém rozsahu je 672 000,00 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č bez DPH, tj. 812 700,00 Kč včetně DPH.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122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3. Po úhrad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ě služeb na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áklad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ě faktur Poskytovatele bylo zjištěno, že Poskytovatel poskytoval a fakturoval služby prezenčn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ích kurz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ů anglick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ého jazyka pro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ěti v rozsahu 1x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ýdn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ě v 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élce 60 minut namísto 45 minut. S ohledem na tuto skute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čnost byla Poskytovateli ze strany Objednatele uhrazena nad 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ámec sjednaného maximálního rozsahu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žeb a maxim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ální smluvní ceny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ástka celkov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ě ve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ši 117 857,76 Kč včetně DPH. </w:t>
      </w:r>
    </w:p>
    <w:p>
      <w:pPr>
        <w:numPr>
          <w:ilvl w:val="0"/>
          <w:numId w:val="36"/>
        </w:num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190" w:left="7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II.</w:t>
      </w:r>
    </w:p>
    <w:p>
      <w:pPr>
        <w:spacing w:before="114" w:after="0" w:line="240"/>
        <w:ind w:right="190" w:left="186" w:firstLine="18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Narovnání</w:t>
      </w:r>
    </w:p>
    <w:p>
      <w:pPr>
        <w:spacing w:before="0" w:after="0" w:line="240"/>
        <w:ind w:right="113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122" w:after="0" w:line="240"/>
        <w:ind w:right="113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1. Mezi stranami je sporné, zda Poskytovatel byl oprávn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ěn Objednateli fakturovat služby poskytnut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é nad rámec sjednaného rozsahu a zda mu vzniklo právo na jejich úhradu, a to i s ohledem na skute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čnost, že v př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íloze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č. 1 prov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ád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ěc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í smlouvy byl sice sjednán rozsahu kurz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ů pro děti v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élce 45 minut, av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šak v přiložen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é tabulce rozvrhu ji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ž bylo uvedeno časov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é rozmezí kurz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ů v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  <w:t xml:space="preserve">élce 60 minut.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2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 Poskytnutí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žeb v 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ásti kurz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 pro děti nad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ámec sjednaného rozsahu 45 minut poskytovatel 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ůvodňuje mimo jin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slo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žitost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zaji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štěn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kvalitních a kvalifikovaných rodilých mluv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í, kte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by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ěli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ájem o poskytnutí prezen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ích kurz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 pouze v rozsahu 45 minut. Za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čelem dodržen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žadovan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kvality lektor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 i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ýuky tak Poskytovatel zajistil kurzy v rozsahu 60 minut. Vzhledem k tomu,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že Poskytovatel skutečně služby nad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ámec sjednaného rozsahu objektivn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poskytl a kurzy byly prostřednictv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ím kvalifikovaných rodilých mluv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ích 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škol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ách skute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čně odučeny a jejich beneficienty byly děti v 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ěvkov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ých organizacích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ízených Objednatelem, jsou tímto v rámci narovnání sporných práv Objednatelem poskytnuté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žby nad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ámec sjednaného rozsahu uznány jako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proveden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vícepráce, za jejich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 poskytnut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má Poskytovatel právo na úhradu. Jako úhradu za takto poskytnuté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žby nad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ámec smlouvy smluvní strany uznávají 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 proveden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platby ze strany Objednatele v celkové vý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ši 117 857,76 Kč včetně DPH.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2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 Uzav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ím této dohody tak jsou 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šker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 sporná práva a povinnosti vzniklé v souvislosti s rozsahem kurz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 aglick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ého jazyka pro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ěti dle Prov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smouvy narovnány a zanikají.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2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 Smluvní strany potvrzují,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že s ohledem na nezbytnost zachov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ání finan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ího limitu 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dle Rámcové dohody 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 mus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být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žby na podkladě dalš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ích provád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ích smluv ve vztahu ke kurz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ům pro děti poskytov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ány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ždy v rozsahu maxim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1x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ýdn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45 minut. Budou-li 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kurzy poskytnuté ve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ětš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ím rozsahu, nevzniká Poskytovateli právo na úhradu takového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řekročen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0" w:after="0" w:line="240"/>
        <w:ind w:right="190" w:left="29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III.</w:t>
      </w:r>
    </w:p>
    <w:p>
      <w:pPr>
        <w:spacing w:before="111" w:after="0" w:line="240"/>
        <w:ind w:right="187" w:left="186" w:firstLine="18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Záv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ěrečn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á ujednání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77" w:leader="none"/>
        </w:tabs>
        <w:spacing w:before="122" w:after="0" w:line="240"/>
        <w:ind w:right="12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 Tato dohoda nabývá platnosti dnem jejího podpisu 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ěma Smluvn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ími stranami a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činnosti dnem jej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ího zve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řejněn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v souladu se zákonem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č. 340/2015 Sb., o zvl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ích podmínkách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činnosti někter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ých smluv, uve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řejňov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ání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ěchto smluv a o registru smluv (z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ákon o registru smluv), v registru smluv.</w:t>
      </w:r>
    </w:p>
    <w:p>
      <w:pPr>
        <w:tabs>
          <w:tab w:val="left" w:pos="477" w:leader="none"/>
        </w:tabs>
        <w:spacing w:before="122" w:after="0" w:line="240"/>
        <w:ind w:right="123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 Tato dohoda je vyhotovena ve 3 stejnopisech, z nich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 Objednatel obdrž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dv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a Poskytovatel jedno vyhotoven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í. </w:t>
      </w:r>
    </w:p>
    <w:p>
      <w:pPr>
        <w:tabs>
          <w:tab w:val="left" w:pos="477" w:leader="none"/>
        </w:tabs>
        <w:spacing w:before="122" w:after="0" w:line="240"/>
        <w:ind w:right="12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 Na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ůkaz toho, že Smluvn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strany s obsahem této dohody souhlasí, rozumí jí a zavazují se k jejímu 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í,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řipojuj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své podpisy a prohla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že tato dohoda byla uzavřena podle jejich svobodn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a vá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ůle prost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tísn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ě.</w:t>
      </w:r>
    </w:p>
    <w:p>
      <w:pPr>
        <w:spacing w:before="58" w:after="0" w:line="240"/>
        <w:ind w:right="1481" w:left="110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58" w:after="0" w:line="240"/>
        <w:ind w:right="1481" w:left="110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58" w:after="0" w:line="240"/>
        <w:ind w:right="148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 Praze dne……..………                                                        V Praze dne…………..</w:t>
      </w:r>
    </w:p>
    <w:p>
      <w:pPr>
        <w:spacing w:before="58" w:after="0" w:line="240"/>
        <w:ind w:right="148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58" w:after="0" w:line="240"/>
        <w:ind w:right="148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58" w:after="0" w:line="240"/>
        <w:ind w:right="148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58" w:after="0" w:line="240"/>
        <w:ind w:right="148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…………………………………..                           …………………………………..</w:t>
      </w:r>
    </w:p>
    <w:p>
      <w:pPr>
        <w:spacing w:before="58" w:after="0" w:line="240"/>
        <w:ind w:right="148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Filip Málek, místostarosta                                       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ček, jednatel</w:t>
      </w:r>
    </w:p>
    <w:p>
      <w:pPr>
        <w:spacing w:before="58" w:after="0" w:line="240"/>
        <w:ind w:right="148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58" w:after="0" w:line="240"/>
        <w:ind w:right="148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58" w:after="0" w:line="240"/>
        <w:ind w:right="148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58" w:after="0" w:line="240"/>
        <w:ind w:right="148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10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žka dle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§ 43 odst. 1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č. 131/2000 Sb., o hlavn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ím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ěstě Praze, ve zněn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ředpisů, potvrzuj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ící spln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podmínek pro platnost právního jednání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ěstsk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ásti Praha 3. Uzav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této dohody bylo schváleno rozhodnutím RM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 Praha 3, a to usnesen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ím ze dne 20. 12. 2023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č. 904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58" w:after="0" w:line="240"/>
        <w:ind w:right="148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