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01F" w:rsidRDefault="0015301F" w:rsidP="0015301F">
      <w:pPr>
        <w:ind w:left="1560"/>
        <w:rPr>
          <w:b/>
          <w:bCs/>
          <w:sz w:val="32"/>
          <w:szCs w:val="32"/>
        </w:rPr>
      </w:pPr>
      <w:r>
        <w:rPr>
          <w:b/>
          <w:bCs/>
          <w:sz w:val="32"/>
          <w:szCs w:val="32"/>
        </w:rPr>
        <w:t>Městský úřad Domažlice</w:t>
      </w:r>
    </w:p>
    <w:p w:rsidR="0015301F" w:rsidRDefault="0015301F" w:rsidP="0015301F">
      <w:pPr>
        <w:spacing w:after="60"/>
        <w:ind w:left="1559"/>
        <w:rPr>
          <w:b/>
          <w:bCs/>
          <w:sz w:val="24"/>
          <w:szCs w:val="24"/>
        </w:rPr>
      </w:pPr>
      <w:r>
        <w:rPr>
          <w:b/>
          <w:bCs/>
          <w:sz w:val="24"/>
          <w:szCs w:val="24"/>
        </w:rPr>
        <w:t>Odbor výstavby a územního plánování</w:t>
      </w:r>
    </w:p>
    <w:p w:rsidR="0015301F" w:rsidRDefault="0015301F" w:rsidP="0015301F">
      <w:pPr>
        <w:ind w:left="1560"/>
        <w:rPr>
          <w:sz w:val="20"/>
          <w:szCs w:val="20"/>
        </w:rPr>
      </w:pPr>
      <w:r>
        <w:rPr>
          <w:sz w:val="20"/>
          <w:szCs w:val="20"/>
        </w:rPr>
        <w:t>náměstí Míru 1, 344 20 Domažlice</w:t>
      </w:r>
    </w:p>
    <w:tbl>
      <w:tblPr>
        <w:tblW w:w="0" w:type="auto"/>
        <w:tblLayout w:type="fixed"/>
        <w:tblCellMar>
          <w:left w:w="70" w:type="dxa"/>
          <w:right w:w="70" w:type="dxa"/>
        </w:tblCellMar>
        <w:tblLook w:val="0000" w:firstRow="0" w:lastRow="0" w:firstColumn="0" w:lastColumn="0" w:noHBand="0" w:noVBand="0"/>
      </w:tblPr>
      <w:tblGrid>
        <w:gridCol w:w="1492"/>
        <w:gridCol w:w="3256"/>
        <w:gridCol w:w="257"/>
        <w:gridCol w:w="4008"/>
        <w:gridCol w:w="256"/>
        <w:gridCol w:w="169"/>
      </w:tblGrid>
      <w:tr w:rsidR="0015301F" w:rsidTr="00B81691">
        <w:tc>
          <w:tcPr>
            <w:tcW w:w="9438" w:type="dxa"/>
            <w:gridSpan w:val="6"/>
            <w:tcBorders>
              <w:top w:val="single" w:sz="4" w:space="0" w:color="000000"/>
            </w:tcBorders>
            <w:shd w:val="clear" w:color="auto" w:fill="auto"/>
          </w:tcPr>
          <w:p w:rsidR="0015301F" w:rsidRDefault="0015301F" w:rsidP="00B81691">
            <w:pPr>
              <w:snapToGrid w:val="0"/>
              <w:jc w:val="center"/>
              <w:rPr>
                <w:sz w:val="16"/>
                <w:szCs w:val="16"/>
              </w:rPr>
            </w:pPr>
          </w:p>
        </w:tc>
      </w:tr>
      <w:tr w:rsidR="0015301F" w:rsidTr="00B81691">
        <w:tblPrEx>
          <w:tblCellMar>
            <w:left w:w="0" w:type="dxa"/>
            <w:right w:w="0" w:type="dxa"/>
          </w:tblCellMar>
        </w:tblPrEx>
        <w:tc>
          <w:tcPr>
            <w:tcW w:w="1492" w:type="dxa"/>
            <w:shd w:val="clear" w:color="auto" w:fill="auto"/>
          </w:tcPr>
          <w:p w:rsidR="0015301F" w:rsidRDefault="0015301F" w:rsidP="00B81691">
            <w:pPr>
              <w:snapToGrid w:val="0"/>
              <w:spacing w:line="240" w:lineRule="atLeast"/>
              <w:rPr>
                <w:sz w:val="18"/>
                <w:szCs w:val="18"/>
              </w:rPr>
            </w:pPr>
            <w:r>
              <w:rPr>
                <w:sz w:val="18"/>
                <w:szCs w:val="18"/>
              </w:rPr>
              <w:t>SPIS. ZN.:</w:t>
            </w:r>
          </w:p>
        </w:tc>
        <w:tc>
          <w:tcPr>
            <w:tcW w:w="3256" w:type="dxa"/>
            <w:shd w:val="clear" w:color="auto" w:fill="auto"/>
          </w:tcPr>
          <w:p w:rsidR="0015301F" w:rsidRDefault="0015301F" w:rsidP="00B81691">
            <w:pPr>
              <w:snapToGrid w:val="0"/>
              <w:spacing w:line="240" w:lineRule="atLeast"/>
              <w:ind w:left="68"/>
            </w:pPr>
            <w:r>
              <w:t>OVÚP-9763/2022</w:t>
            </w:r>
          </w:p>
        </w:tc>
        <w:tc>
          <w:tcPr>
            <w:tcW w:w="257" w:type="dxa"/>
            <w:shd w:val="clear" w:color="auto" w:fill="auto"/>
          </w:tcPr>
          <w:p w:rsidR="0015301F" w:rsidRDefault="0015301F" w:rsidP="00B81691">
            <w:pPr>
              <w:snapToGrid w:val="0"/>
              <w:spacing w:line="240" w:lineRule="atLeast"/>
            </w:pPr>
          </w:p>
        </w:tc>
        <w:tc>
          <w:tcPr>
            <w:tcW w:w="4008" w:type="dxa"/>
            <w:shd w:val="clear" w:color="auto" w:fill="auto"/>
          </w:tcPr>
          <w:p w:rsidR="0015301F" w:rsidRDefault="0015301F" w:rsidP="00B81691">
            <w:pPr>
              <w:snapToGrid w:val="0"/>
              <w:spacing w:line="240" w:lineRule="atLeast"/>
            </w:pPr>
          </w:p>
        </w:tc>
        <w:tc>
          <w:tcPr>
            <w:tcW w:w="256" w:type="dxa"/>
            <w:shd w:val="clear" w:color="auto" w:fill="auto"/>
          </w:tcPr>
          <w:p w:rsidR="0015301F" w:rsidRDefault="0015301F" w:rsidP="00B81691">
            <w:pPr>
              <w:snapToGrid w:val="0"/>
              <w:spacing w:line="240" w:lineRule="atLeast"/>
            </w:pPr>
          </w:p>
        </w:tc>
        <w:tc>
          <w:tcPr>
            <w:tcW w:w="169" w:type="dxa"/>
            <w:shd w:val="clear" w:color="auto" w:fill="auto"/>
          </w:tcPr>
          <w:p w:rsidR="0015301F" w:rsidRDefault="0015301F" w:rsidP="00B81691">
            <w:pPr>
              <w:snapToGrid w:val="0"/>
            </w:pPr>
          </w:p>
        </w:tc>
      </w:tr>
      <w:tr w:rsidR="0015301F" w:rsidTr="00B81691">
        <w:tblPrEx>
          <w:tblCellMar>
            <w:left w:w="0" w:type="dxa"/>
            <w:right w:w="0" w:type="dxa"/>
          </w:tblCellMar>
        </w:tblPrEx>
        <w:trPr>
          <w:cantSplit/>
        </w:trPr>
        <w:tc>
          <w:tcPr>
            <w:tcW w:w="1492" w:type="dxa"/>
            <w:shd w:val="clear" w:color="auto" w:fill="auto"/>
          </w:tcPr>
          <w:p w:rsidR="0015301F" w:rsidRDefault="0015301F" w:rsidP="00B81691">
            <w:pPr>
              <w:snapToGrid w:val="0"/>
              <w:spacing w:line="240" w:lineRule="atLeast"/>
              <w:rPr>
                <w:sz w:val="18"/>
                <w:szCs w:val="18"/>
              </w:rPr>
            </w:pPr>
            <w:r>
              <w:rPr>
                <w:sz w:val="18"/>
                <w:szCs w:val="18"/>
              </w:rPr>
              <w:t>Č.J.:</w:t>
            </w:r>
          </w:p>
        </w:tc>
        <w:tc>
          <w:tcPr>
            <w:tcW w:w="3256" w:type="dxa"/>
            <w:shd w:val="clear" w:color="auto" w:fill="auto"/>
          </w:tcPr>
          <w:p w:rsidR="0015301F" w:rsidRDefault="0015301F" w:rsidP="0015301F">
            <w:pPr>
              <w:snapToGrid w:val="0"/>
              <w:spacing w:line="240" w:lineRule="atLeast"/>
              <w:ind w:left="68"/>
            </w:pPr>
            <w:r>
              <w:t>MeDO-11995/2023***</w:t>
            </w:r>
          </w:p>
        </w:tc>
        <w:tc>
          <w:tcPr>
            <w:tcW w:w="257" w:type="dxa"/>
            <w:vMerge w:val="restart"/>
            <w:shd w:val="clear" w:color="auto" w:fill="auto"/>
          </w:tcPr>
          <w:p w:rsidR="0015301F" w:rsidRDefault="0015301F" w:rsidP="00B81691">
            <w:pPr>
              <w:snapToGrid w:val="0"/>
              <w:spacing w:line="240" w:lineRule="atLeast"/>
            </w:pPr>
          </w:p>
        </w:tc>
        <w:tc>
          <w:tcPr>
            <w:tcW w:w="4008" w:type="dxa"/>
            <w:vMerge w:val="restart"/>
            <w:shd w:val="clear" w:color="auto" w:fill="auto"/>
          </w:tcPr>
          <w:p w:rsidR="0015301F" w:rsidRDefault="0015301F" w:rsidP="00B81691">
            <w:pPr>
              <w:snapToGrid w:val="0"/>
              <w:spacing w:line="240" w:lineRule="atLeast"/>
              <w:jc w:val="center"/>
            </w:pPr>
          </w:p>
          <w:p w:rsidR="0015301F" w:rsidRDefault="0015301F" w:rsidP="00B81691">
            <w:pPr>
              <w:spacing w:line="240" w:lineRule="atLeast"/>
              <w:jc w:val="center"/>
            </w:pPr>
          </w:p>
          <w:p w:rsidR="0015301F" w:rsidRDefault="0015301F" w:rsidP="00B81691">
            <w:pPr>
              <w:spacing w:line="240" w:lineRule="atLeast"/>
              <w:jc w:val="center"/>
            </w:pPr>
            <w:bookmarkStart w:id="0" w:name="_GoBack"/>
            <w:bookmarkEnd w:id="0"/>
          </w:p>
        </w:tc>
        <w:tc>
          <w:tcPr>
            <w:tcW w:w="256" w:type="dxa"/>
            <w:vMerge w:val="restart"/>
            <w:shd w:val="clear" w:color="auto" w:fill="auto"/>
          </w:tcPr>
          <w:p w:rsidR="0015301F" w:rsidRDefault="0015301F" w:rsidP="00B81691">
            <w:pPr>
              <w:snapToGrid w:val="0"/>
              <w:spacing w:line="240" w:lineRule="atLeast"/>
            </w:pPr>
          </w:p>
        </w:tc>
        <w:tc>
          <w:tcPr>
            <w:tcW w:w="169" w:type="dxa"/>
            <w:shd w:val="clear" w:color="auto" w:fill="auto"/>
          </w:tcPr>
          <w:p w:rsidR="0015301F" w:rsidRDefault="0015301F" w:rsidP="00B81691">
            <w:pPr>
              <w:snapToGrid w:val="0"/>
            </w:pPr>
          </w:p>
        </w:tc>
      </w:tr>
      <w:tr w:rsidR="0015301F" w:rsidTr="00B81691">
        <w:tblPrEx>
          <w:tblCellMar>
            <w:left w:w="0" w:type="dxa"/>
            <w:right w:w="0" w:type="dxa"/>
          </w:tblCellMar>
        </w:tblPrEx>
        <w:trPr>
          <w:cantSplit/>
          <w:trHeight w:val="945"/>
        </w:trPr>
        <w:tc>
          <w:tcPr>
            <w:tcW w:w="1492" w:type="dxa"/>
            <w:shd w:val="clear" w:color="auto" w:fill="auto"/>
          </w:tcPr>
          <w:p w:rsidR="0015301F" w:rsidRDefault="0015301F" w:rsidP="00B81691">
            <w:pPr>
              <w:snapToGrid w:val="0"/>
              <w:spacing w:line="240" w:lineRule="atLeast"/>
              <w:rPr>
                <w:sz w:val="18"/>
                <w:szCs w:val="18"/>
              </w:rPr>
            </w:pPr>
            <w:r>
              <w:rPr>
                <w:sz w:val="18"/>
                <w:szCs w:val="18"/>
              </w:rPr>
              <w:t>VYŘIZUJE:</w:t>
            </w:r>
            <w:r>
              <w:rPr>
                <w:sz w:val="18"/>
                <w:szCs w:val="18"/>
              </w:rPr>
              <w:br/>
              <w:t>TEL.:</w:t>
            </w:r>
            <w:r>
              <w:rPr>
                <w:sz w:val="18"/>
                <w:szCs w:val="18"/>
              </w:rPr>
              <w:br/>
              <w:t>E-MAIL:</w:t>
            </w:r>
          </w:p>
        </w:tc>
        <w:tc>
          <w:tcPr>
            <w:tcW w:w="3256" w:type="dxa"/>
            <w:shd w:val="clear" w:color="auto" w:fill="auto"/>
          </w:tcPr>
          <w:p w:rsidR="0015301F" w:rsidRDefault="0015301F" w:rsidP="00B81691">
            <w:pPr>
              <w:snapToGrid w:val="0"/>
              <w:spacing w:line="240" w:lineRule="atLeast"/>
              <w:ind w:left="68"/>
            </w:pPr>
            <w:r>
              <w:t>***</w:t>
            </w:r>
          </w:p>
          <w:p w:rsidR="0015301F" w:rsidRDefault="0015301F" w:rsidP="00B81691">
            <w:pPr>
              <w:snapToGrid w:val="0"/>
              <w:spacing w:line="240" w:lineRule="atLeast"/>
              <w:ind w:left="68"/>
            </w:pPr>
            <w:r>
              <w:t>379 719 111</w:t>
            </w:r>
          </w:p>
          <w:p w:rsidR="0015301F" w:rsidRDefault="0015301F" w:rsidP="00B81691">
            <w:pPr>
              <w:snapToGrid w:val="0"/>
              <w:spacing w:line="240" w:lineRule="atLeast"/>
              <w:ind w:left="68"/>
            </w:pPr>
            <w:r>
              <w:t>podatelna@mesto-domazlice.cz</w:t>
            </w:r>
          </w:p>
        </w:tc>
        <w:tc>
          <w:tcPr>
            <w:tcW w:w="257" w:type="dxa"/>
            <w:vMerge/>
            <w:shd w:val="clear" w:color="auto" w:fill="auto"/>
          </w:tcPr>
          <w:p w:rsidR="0015301F" w:rsidRDefault="0015301F" w:rsidP="00B81691">
            <w:pPr>
              <w:snapToGrid w:val="0"/>
              <w:spacing w:line="240" w:lineRule="atLeast"/>
            </w:pPr>
          </w:p>
        </w:tc>
        <w:tc>
          <w:tcPr>
            <w:tcW w:w="4008" w:type="dxa"/>
            <w:vMerge/>
            <w:shd w:val="clear" w:color="auto" w:fill="auto"/>
          </w:tcPr>
          <w:p w:rsidR="0015301F" w:rsidRDefault="0015301F" w:rsidP="00B81691">
            <w:pPr>
              <w:snapToGrid w:val="0"/>
              <w:spacing w:line="240" w:lineRule="atLeast"/>
              <w:jc w:val="center"/>
            </w:pPr>
          </w:p>
        </w:tc>
        <w:tc>
          <w:tcPr>
            <w:tcW w:w="256" w:type="dxa"/>
            <w:vMerge/>
            <w:shd w:val="clear" w:color="auto" w:fill="auto"/>
          </w:tcPr>
          <w:p w:rsidR="0015301F" w:rsidRDefault="0015301F" w:rsidP="00B81691">
            <w:pPr>
              <w:snapToGrid w:val="0"/>
              <w:spacing w:line="240" w:lineRule="atLeast"/>
            </w:pPr>
          </w:p>
        </w:tc>
        <w:tc>
          <w:tcPr>
            <w:tcW w:w="169" w:type="dxa"/>
            <w:shd w:val="clear" w:color="auto" w:fill="auto"/>
          </w:tcPr>
          <w:p w:rsidR="0015301F" w:rsidRDefault="0015301F" w:rsidP="00B81691">
            <w:pPr>
              <w:snapToGrid w:val="0"/>
            </w:pPr>
          </w:p>
        </w:tc>
      </w:tr>
      <w:tr w:rsidR="0015301F" w:rsidTr="00B81691">
        <w:tblPrEx>
          <w:tblCellMar>
            <w:left w:w="0" w:type="dxa"/>
            <w:right w:w="0" w:type="dxa"/>
          </w:tblCellMar>
        </w:tblPrEx>
        <w:tc>
          <w:tcPr>
            <w:tcW w:w="1492" w:type="dxa"/>
            <w:shd w:val="clear" w:color="auto" w:fill="auto"/>
          </w:tcPr>
          <w:p w:rsidR="0015301F" w:rsidRDefault="0015301F" w:rsidP="00B81691">
            <w:pPr>
              <w:snapToGrid w:val="0"/>
              <w:spacing w:line="240" w:lineRule="atLeast"/>
              <w:rPr>
                <w:sz w:val="18"/>
                <w:szCs w:val="18"/>
              </w:rPr>
            </w:pPr>
            <w:r>
              <w:rPr>
                <w:sz w:val="18"/>
                <w:szCs w:val="18"/>
              </w:rPr>
              <w:t>DATUM:</w:t>
            </w:r>
          </w:p>
        </w:tc>
        <w:tc>
          <w:tcPr>
            <w:tcW w:w="3256" w:type="dxa"/>
            <w:shd w:val="clear" w:color="auto" w:fill="auto"/>
          </w:tcPr>
          <w:p w:rsidR="0015301F" w:rsidRDefault="0015301F" w:rsidP="00B81691">
            <w:pPr>
              <w:snapToGrid w:val="0"/>
              <w:spacing w:line="240" w:lineRule="atLeast"/>
              <w:ind w:left="68"/>
            </w:pPr>
            <w:r>
              <w:t>01.03.2023</w:t>
            </w:r>
          </w:p>
        </w:tc>
        <w:tc>
          <w:tcPr>
            <w:tcW w:w="257" w:type="dxa"/>
            <w:shd w:val="clear" w:color="auto" w:fill="auto"/>
          </w:tcPr>
          <w:p w:rsidR="0015301F" w:rsidRDefault="0015301F" w:rsidP="00B81691">
            <w:pPr>
              <w:snapToGrid w:val="0"/>
              <w:spacing w:line="240" w:lineRule="atLeast"/>
            </w:pPr>
          </w:p>
        </w:tc>
        <w:tc>
          <w:tcPr>
            <w:tcW w:w="4008" w:type="dxa"/>
            <w:shd w:val="clear" w:color="auto" w:fill="auto"/>
          </w:tcPr>
          <w:p w:rsidR="0015301F" w:rsidRDefault="0015301F" w:rsidP="00B81691">
            <w:pPr>
              <w:snapToGrid w:val="0"/>
              <w:spacing w:line="240" w:lineRule="atLeast"/>
            </w:pPr>
          </w:p>
        </w:tc>
        <w:tc>
          <w:tcPr>
            <w:tcW w:w="256" w:type="dxa"/>
            <w:shd w:val="clear" w:color="auto" w:fill="auto"/>
          </w:tcPr>
          <w:p w:rsidR="0015301F" w:rsidRDefault="0015301F" w:rsidP="00B81691">
            <w:pPr>
              <w:snapToGrid w:val="0"/>
              <w:spacing w:line="240" w:lineRule="atLeast"/>
            </w:pPr>
          </w:p>
        </w:tc>
        <w:tc>
          <w:tcPr>
            <w:tcW w:w="169" w:type="dxa"/>
            <w:shd w:val="clear" w:color="auto" w:fill="auto"/>
          </w:tcPr>
          <w:p w:rsidR="0015301F" w:rsidRDefault="0015301F" w:rsidP="00B81691">
            <w:pPr>
              <w:snapToGrid w:val="0"/>
            </w:pPr>
          </w:p>
        </w:tc>
      </w:tr>
    </w:tbl>
    <w:p w:rsidR="0015301F" w:rsidRDefault="0015301F" w:rsidP="0015301F"/>
    <w:p w:rsidR="0015301F" w:rsidRPr="00C00888" w:rsidRDefault="0015301F" w:rsidP="0015301F">
      <w:pPr>
        <w:jc w:val="center"/>
        <w:rPr>
          <w:sz w:val="24"/>
          <w:szCs w:val="24"/>
        </w:rPr>
      </w:pPr>
    </w:p>
    <w:p w:rsidR="0015301F" w:rsidRPr="00C00888" w:rsidRDefault="0015301F" w:rsidP="0015301F">
      <w:pPr>
        <w:pStyle w:val="Nadpis1"/>
      </w:pPr>
      <w:r w:rsidRPr="00C00888">
        <w:t>ROZHODNUTÍ</w:t>
      </w:r>
    </w:p>
    <w:p w:rsidR="0015301F" w:rsidRPr="00C00888" w:rsidRDefault="0015301F" w:rsidP="0015301F">
      <w:pPr>
        <w:spacing w:before="120"/>
        <w:jc w:val="center"/>
        <w:rPr>
          <w:b/>
        </w:rPr>
      </w:pPr>
      <w:r w:rsidRPr="00C00888">
        <w:rPr>
          <w:b/>
        </w:rPr>
        <w:t>DODATEČNÉ POVOLENÍ STAVBY</w:t>
      </w:r>
    </w:p>
    <w:p w:rsidR="0015301F" w:rsidRPr="00C00888" w:rsidRDefault="0015301F" w:rsidP="0015301F">
      <w:pPr>
        <w:spacing w:before="120"/>
      </w:pPr>
    </w:p>
    <w:p w:rsidR="0015301F" w:rsidRPr="00C00888" w:rsidRDefault="0015301F" w:rsidP="0015301F">
      <w:pPr>
        <w:spacing w:before="120"/>
        <w:rPr>
          <w:b/>
        </w:rPr>
      </w:pPr>
      <w:r w:rsidRPr="00C00888">
        <w:rPr>
          <w:b/>
        </w:rPr>
        <w:t>Výroková část:</w:t>
      </w:r>
    </w:p>
    <w:p w:rsidR="0015301F" w:rsidRPr="00C00888" w:rsidRDefault="0015301F" w:rsidP="0015301F">
      <w:pPr>
        <w:spacing w:before="120"/>
        <w:jc w:val="both"/>
      </w:pPr>
      <w:r>
        <w:t>Městský úřad Domažlice, odbor výstavby a územního plánování</w:t>
      </w:r>
      <w:r w:rsidRPr="00C00888">
        <w:t xml:space="preserve">, jako silniční správní úřad příslušný podle </w:t>
      </w:r>
      <w:r>
        <w:t>§ 40 odst. 4 písm. a)</w:t>
      </w:r>
      <w:r w:rsidRPr="00C00888">
        <w:t xml:space="preserve"> </w:t>
      </w:r>
      <w:r>
        <w:t>zákona č. 13/1997 Sb., o pozemních komunikacích, ve znění pozdějších předpisů</w:t>
      </w:r>
      <w:r w:rsidRPr="00C00888">
        <w:t xml:space="preserve"> (dále jen </w:t>
      </w:r>
      <w:r>
        <w:t>"</w:t>
      </w:r>
      <w:r w:rsidRPr="00C00888">
        <w:t>zákon o pozemních komunikacích</w:t>
      </w:r>
      <w:r>
        <w:t>"</w:t>
      </w:r>
      <w:r w:rsidRPr="00C00888">
        <w:t xml:space="preserve">) a speciální stavební úřad příslušný podle </w:t>
      </w:r>
      <w:r>
        <w:t>§ 16 odst. 1 a § 40 odst. 4 písm. a) zákona o pozemních komunikacích,</w:t>
      </w:r>
      <w:r w:rsidRPr="00C00888">
        <w:t xml:space="preserve"> a </w:t>
      </w:r>
      <w:r>
        <w:t>§ 15 odst. 1</w:t>
      </w:r>
      <w:r w:rsidRPr="00C00888">
        <w:t xml:space="preserve"> </w:t>
      </w:r>
      <w:r>
        <w:t>zákona č. 183/2006 Sb., o územním plánování a stavebním řádu (stavební zákon), ve znění pozdějších předpisů</w:t>
      </w:r>
      <w:r w:rsidRPr="00C00888">
        <w:t xml:space="preserve"> (dále jen </w:t>
      </w:r>
      <w:r>
        <w:t>"</w:t>
      </w:r>
      <w:r w:rsidRPr="00C00888">
        <w:t>stavební zákon</w:t>
      </w:r>
      <w:r>
        <w:t>"</w:t>
      </w:r>
      <w:r w:rsidRPr="00C00888">
        <w:t>)</w:t>
      </w:r>
      <w:r>
        <w:t>,</w:t>
      </w:r>
      <w:r w:rsidRPr="00C00888">
        <w:t xml:space="preserve"> přezkoumal podle § 129 odst. 2 a 3 a § 111 až 114 </w:t>
      </w:r>
      <w:r>
        <w:t>stavebního zákona</w:t>
      </w:r>
      <w:r w:rsidRPr="00C00888">
        <w:t xml:space="preserve"> žádost o dodatečné povolení stavby, kterou dne </w:t>
      </w:r>
      <w:r>
        <w:t>06.10.2022</w:t>
      </w:r>
      <w:r w:rsidRPr="00C00888">
        <w:t xml:space="preserve"> podal</w:t>
      </w:r>
      <w:r>
        <w:t xml:space="preserve"> pan</w:t>
      </w:r>
    </w:p>
    <w:p w:rsidR="0015301F" w:rsidRPr="00C00888" w:rsidRDefault="0015301F" w:rsidP="0015301F">
      <w:pPr>
        <w:spacing w:before="120"/>
        <w:ind w:left="440" w:hanging="1"/>
        <w:rPr>
          <w:b/>
          <w:bCs/>
        </w:rPr>
      </w:pPr>
      <w:r>
        <w:rPr>
          <w:b/>
          <w:bCs/>
        </w:rPr>
        <w:t>***</w:t>
      </w:r>
    </w:p>
    <w:p w:rsidR="0015301F" w:rsidRPr="00C00888" w:rsidRDefault="0015301F" w:rsidP="0015301F">
      <w:pPr>
        <w:spacing w:before="120"/>
        <w:jc w:val="both"/>
      </w:pPr>
      <w:r w:rsidRPr="00C00888">
        <w:t xml:space="preserve">(dále jen </w:t>
      </w:r>
      <w:r>
        <w:t>"</w:t>
      </w:r>
      <w:r w:rsidRPr="00C00888">
        <w:t>stavebník</w:t>
      </w:r>
      <w:r>
        <w:t>"</w:t>
      </w:r>
      <w:r w:rsidRPr="00C00888">
        <w:t>), a na základě tohoto přezkoumání:</w:t>
      </w:r>
    </w:p>
    <w:p w:rsidR="0015301F" w:rsidRPr="00C00888" w:rsidRDefault="0015301F" w:rsidP="0015301F">
      <w:pPr>
        <w:spacing w:before="120"/>
        <w:jc w:val="both"/>
      </w:pPr>
    </w:p>
    <w:p w:rsidR="0015301F" w:rsidRPr="00C00888" w:rsidRDefault="0015301F" w:rsidP="0015301F">
      <w:pPr>
        <w:spacing w:before="120"/>
        <w:jc w:val="both"/>
        <w:rPr>
          <w:b/>
          <w:bCs/>
        </w:rPr>
      </w:pPr>
      <w:r w:rsidRPr="00C00888">
        <w:rPr>
          <w:b/>
        </w:rPr>
        <w:t>Vydává</w:t>
      </w:r>
      <w:r w:rsidRPr="00C00888">
        <w:t xml:space="preserve"> podle § 129 odst. 3 a § 115 </w:t>
      </w:r>
      <w:r>
        <w:t>stavebního zákona</w:t>
      </w:r>
      <w:r>
        <w:rPr>
          <w:color w:val="000000"/>
        </w:rPr>
        <w:t xml:space="preserve"> a § 18c</w:t>
      </w:r>
      <w:r>
        <w:t xml:space="preserve"> vyhlášky č. 503/2006 Sb., o podrobnější úpravě územního rozhodování, územního opatření a stavebního řádu</w:t>
      </w:r>
    </w:p>
    <w:p w:rsidR="0015301F" w:rsidRPr="00C00888" w:rsidRDefault="0015301F" w:rsidP="0015301F">
      <w:pPr>
        <w:spacing w:before="120"/>
        <w:jc w:val="center"/>
        <w:rPr>
          <w:b/>
          <w:bCs/>
        </w:rPr>
      </w:pPr>
      <w:r>
        <w:rPr>
          <w:b/>
          <w:bCs/>
        </w:rPr>
        <w:t>d o d a t e č n é   p o v o l e n í</w:t>
      </w:r>
    </w:p>
    <w:p w:rsidR="0015301F" w:rsidRPr="00C00888" w:rsidRDefault="0015301F" w:rsidP="0015301F">
      <w:pPr>
        <w:spacing w:before="120"/>
        <w:jc w:val="both"/>
      </w:pPr>
      <w:r w:rsidRPr="00C00888">
        <w:t>na stavbu:</w:t>
      </w:r>
    </w:p>
    <w:p w:rsidR="0015301F" w:rsidRDefault="0015301F" w:rsidP="0015301F">
      <w:pPr>
        <w:spacing w:before="120"/>
        <w:jc w:val="center"/>
        <w:rPr>
          <w:b/>
          <w:bCs/>
        </w:rPr>
      </w:pPr>
      <w:r>
        <w:rPr>
          <w:b/>
          <w:bCs/>
        </w:rPr>
        <w:t>chodník Domažlice - Havlovice I. etapa</w:t>
      </w:r>
      <w:r>
        <w:rPr>
          <w:b/>
          <w:bCs/>
        </w:rPr>
        <w:br/>
      </w:r>
    </w:p>
    <w:p w:rsidR="0015301F" w:rsidRPr="00C00888" w:rsidRDefault="0015301F" w:rsidP="0015301F">
      <w:pPr>
        <w:spacing w:before="120"/>
        <w:jc w:val="both"/>
      </w:pPr>
      <w:r w:rsidRPr="00C00888">
        <w:t xml:space="preserve">(dále jen </w:t>
      </w:r>
      <w:r>
        <w:t>"</w:t>
      </w:r>
      <w:r w:rsidRPr="00C00888">
        <w:t>stavba</w:t>
      </w:r>
      <w:r>
        <w:t>"</w:t>
      </w:r>
      <w:r w:rsidRPr="00C00888">
        <w:t xml:space="preserve">) na pozemku </w:t>
      </w:r>
      <w:r>
        <w:t>parc. č. 2592/2, 2592/3, 2592/8, 2592/10, 4807/1 v katastrálním území Domažlice</w:t>
      </w:r>
      <w:r w:rsidRPr="00C00888">
        <w:t>.</w:t>
      </w:r>
    </w:p>
    <w:p w:rsidR="0015301F" w:rsidRPr="00C00888" w:rsidRDefault="0015301F" w:rsidP="0015301F">
      <w:pPr>
        <w:spacing w:before="120"/>
      </w:pPr>
    </w:p>
    <w:p w:rsidR="0015301F" w:rsidRPr="00C00888" w:rsidRDefault="0015301F" w:rsidP="0015301F">
      <w:pPr>
        <w:spacing w:before="120"/>
        <w:rPr>
          <w:bCs/>
        </w:rPr>
      </w:pPr>
      <w:r w:rsidRPr="00C00888">
        <w:rPr>
          <w:bCs/>
        </w:rPr>
        <w:t>Stavba obsahuje:</w:t>
      </w:r>
    </w:p>
    <w:p w:rsidR="0015301F" w:rsidRDefault="0015301F" w:rsidP="0015301F">
      <w:pPr>
        <w:numPr>
          <w:ilvl w:val="0"/>
          <w:numId w:val="5"/>
        </w:numPr>
        <w:suppressAutoHyphens/>
        <w:autoSpaceDN/>
        <w:spacing w:before="60"/>
        <w:ind w:left="440" w:hanging="440"/>
      </w:pPr>
      <w:r>
        <w:t>SO 101 - komunikace</w:t>
      </w:r>
    </w:p>
    <w:p w:rsidR="0015301F" w:rsidRDefault="0015301F" w:rsidP="0015301F">
      <w:pPr>
        <w:spacing w:before="60"/>
        <w:jc w:val="both"/>
      </w:pPr>
      <w:r>
        <w:t>Směrové vedení chodníku je dáno především stávajícím průběhem silnice II/193. Trasa je navržena</w:t>
      </w:r>
      <w:r>
        <w:br/>
        <w:t>i s ohledem na průběh vlastnických hranic okolních pozemků tak, aby nedošlo k záboru přilehlých parcel. Dále je trasa chodníku upravena s ohledem na stávající průběh podzemních inženýrských sítí a zařízení vyskytujících se v zájmovém území. Podélný Sklon nivelety nového chodníku je přizpůsoben podélnému proﬁlu přilehlé komunikace (silnice II/193) a je navržen s ohledem na napojovaná místa. Základní šířka chodníku je 1,50 m, sklon krytu 2 %. Přesné vedení nového chodníku je patrno z přiložené situace a z dalších výkresových příloh. Kryt chodníku je navržen z betonové tvarovky, dlážděná plocha bude lemována beton. záhonovým obrubníkem uloženým do beton. lože C 12/15 s boční opěrou. Celková délka je cca 100 m.</w:t>
      </w:r>
    </w:p>
    <w:p w:rsidR="0015301F" w:rsidRDefault="0015301F" w:rsidP="0015301F">
      <w:pPr>
        <w:spacing w:before="60"/>
        <w:jc w:val="both"/>
      </w:pPr>
    </w:p>
    <w:p w:rsidR="0015301F" w:rsidRDefault="0015301F" w:rsidP="0015301F">
      <w:pPr>
        <w:spacing w:before="60"/>
        <w:jc w:val="both"/>
      </w:pPr>
    </w:p>
    <w:p w:rsidR="0015301F" w:rsidRDefault="0015301F" w:rsidP="0015301F">
      <w:pPr>
        <w:numPr>
          <w:ilvl w:val="0"/>
          <w:numId w:val="5"/>
        </w:numPr>
        <w:suppressAutoHyphens/>
        <w:autoSpaceDN/>
        <w:spacing w:before="60"/>
        <w:ind w:left="440" w:hanging="440"/>
      </w:pPr>
      <w:r>
        <w:t>SO 300 - odvodnění</w:t>
      </w:r>
    </w:p>
    <w:p w:rsidR="0015301F" w:rsidRDefault="0015301F" w:rsidP="0015301F">
      <w:pPr>
        <w:spacing w:before="60"/>
        <w:jc w:val="both"/>
      </w:pPr>
      <w:r>
        <w:lastRenderedPageBreak/>
        <w:t>Odvodnění navrženého chodníku bude provedeno do souběžného silničního příkopu. Dno příkopu bude upraveno tak, aby bylo min 200 mm pod plání silničního tělesa a byl zajištěn plynulý odtok vody. Ve staničení km 0,075 bude zřízena uliční vpusť s odlážděním dlažbou z lomového kamene. Převedení vody pod navrženým chodníkem bude zajištěno PVC potrubím DN 150, vyústění bude provedeno do stávajícího silničního příkopu.</w:t>
      </w:r>
    </w:p>
    <w:p w:rsidR="0015301F" w:rsidRDefault="0015301F" w:rsidP="0015301F">
      <w:pPr>
        <w:numPr>
          <w:ilvl w:val="0"/>
          <w:numId w:val="5"/>
        </w:numPr>
        <w:suppressAutoHyphens/>
        <w:autoSpaceDN/>
        <w:spacing w:before="60"/>
        <w:ind w:left="440" w:hanging="440"/>
      </w:pPr>
      <w:r>
        <w:t>SO 401 - veřejné osvětlení</w:t>
      </w:r>
    </w:p>
    <w:p w:rsidR="0015301F" w:rsidRDefault="0015301F" w:rsidP="0015301F">
      <w:pPr>
        <w:spacing w:before="60"/>
        <w:jc w:val="both"/>
      </w:pPr>
      <w:r>
        <w:t xml:space="preserve">V návrhu jsou použita svítidla Philips s teplou bílou barvou, osvětlovací stožáry výšky 6 m budou bez vyložení. Připojení svítidel bude provedeno kabelem CYKY-J 4x10. Uzemnění bude zajištěno zemním vodičem </w:t>
      </w:r>
      <w:proofErr w:type="spellStart"/>
      <w:r>
        <w:t>FeZn</w:t>
      </w:r>
      <w:proofErr w:type="spellEnd"/>
      <w:r>
        <w:t xml:space="preserve"> 10, který povede společně s kabelem. Budou umístěny dvě nová svítidla se stožárem 6 m bez vyložení. Celková délka je cca 140 m.</w:t>
      </w:r>
    </w:p>
    <w:p w:rsidR="0015301F" w:rsidRPr="00C00888" w:rsidRDefault="0015301F" w:rsidP="0015301F">
      <w:pPr>
        <w:spacing w:before="120"/>
      </w:pPr>
    </w:p>
    <w:p w:rsidR="0015301F" w:rsidRPr="00C00888" w:rsidRDefault="0015301F" w:rsidP="0015301F">
      <w:pPr>
        <w:spacing w:before="120"/>
        <w:rPr>
          <w:b/>
          <w:bCs/>
        </w:rPr>
      </w:pPr>
      <w:r w:rsidRPr="00C00888">
        <w:rPr>
          <w:b/>
          <w:bCs/>
        </w:rPr>
        <w:t>Stanoví podmínky pro dokončení stavby</w:t>
      </w:r>
      <w:r w:rsidRPr="00C00888">
        <w:rPr>
          <w:bCs/>
        </w:rPr>
        <w:t>:</w:t>
      </w:r>
    </w:p>
    <w:p w:rsidR="0015301F" w:rsidRPr="00EA0912" w:rsidRDefault="0015301F" w:rsidP="0015301F">
      <w:pPr>
        <w:numPr>
          <w:ilvl w:val="0"/>
          <w:numId w:val="3"/>
        </w:numPr>
        <w:suppressAutoHyphens/>
        <w:autoSpaceDN/>
        <w:spacing w:before="60"/>
        <w:jc w:val="both"/>
      </w:pPr>
      <w:r>
        <w:t xml:space="preserve">Stavba bude dokončena </w:t>
      </w:r>
      <w:r w:rsidRPr="00EA0912">
        <w:t xml:space="preserve">podle projektové dokumentace zpracované zodpovědným projektantem: </w:t>
      </w:r>
      <w:r>
        <w:rPr>
          <w:rFonts w:eastAsia="Times-Roman" w:cs="Times-Roman"/>
          <w:bCs/>
        </w:rPr>
        <w:t>***</w:t>
      </w:r>
      <w:r w:rsidRPr="00EA0912">
        <w:rPr>
          <w:rFonts w:eastAsia="Times-Roman" w:cs="Times-Roman"/>
          <w:bCs/>
        </w:rPr>
        <w:t xml:space="preserve"> nazvanou: „CHODNÍK DOMAŽLICE – HAVLOVICE I.ETAPA“ datum: IV/2022, zakázka: neuvedena, stupe</w:t>
      </w:r>
      <w:r w:rsidRPr="00EA0912">
        <w:rPr>
          <w:rFonts w:eastAsia="TimesNewRoman-OneByteIdentityH" w:cs="TimesNewRoman-OneByteIdentityH"/>
          <w:bCs/>
        </w:rPr>
        <w:t>ň</w:t>
      </w:r>
      <w:r w:rsidRPr="00EA0912">
        <w:rPr>
          <w:rFonts w:eastAsia="Times-Roman" w:cs="Times-Roman"/>
          <w:bCs/>
        </w:rPr>
        <w:t>: DSP; která obsahuje výkres sou</w:t>
      </w:r>
      <w:r w:rsidRPr="00EA0912">
        <w:rPr>
          <w:rFonts w:eastAsia="TimesNewRoman-OneByteIdentityH" w:cs="TimesNewRoman-OneByteIdentityH"/>
          <w:bCs/>
        </w:rPr>
        <w:t>č</w:t>
      </w:r>
      <w:r w:rsidRPr="00EA0912">
        <w:rPr>
          <w:rFonts w:eastAsia="Times-Roman" w:cs="Times-Roman"/>
          <w:bCs/>
        </w:rPr>
        <w:t>asného stavu území v m</w:t>
      </w:r>
      <w:r w:rsidRPr="00EA0912">
        <w:rPr>
          <w:rFonts w:eastAsia="TimesNewRoman-OneByteIdentityH" w:cs="TimesNewRoman-OneByteIdentityH"/>
          <w:bCs/>
        </w:rPr>
        <w:t>ěř</w:t>
      </w:r>
      <w:r w:rsidRPr="00EA0912">
        <w:rPr>
          <w:rFonts w:eastAsia="Times-Roman" w:cs="Times-Roman"/>
          <w:bCs/>
        </w:rPr>
        <w:t>ítku M 1:500</w:t>
      </w:r>
      <w:r w:rsidRPr="00EA0912">
        <w:t>; případné změny nesmí být provedeny bez předchozího povolení speciálního stavebního úřadu.</w:t>
      </w:r>
    </w:p>
    <w:p w:rsidR="0015301F" w:rsidRPr="00C00888" w:rsidRDefault="0015301F" w:rsidP="0015301F">
      <w:pPr>
        <w:numPr>
          <w:ilvl w:val="0"/>
          <w:numId w:val="3"/>
        </w:numPr>
        <w:tabs>
          <w:tab w:val="clear" w:pos="360"/>
        </w:tabs>
        <w:spacing w:before="60"/>
        <w:ind w:left="440" w:hanging="440"/>
      </w:pPr>
      <w:r w:rsidRPr="00EA0912">
        <w:t>Stavebník oznámí speciálnímu</w:t>
      </w:r>
      <w:r w:rsidRPr="00C00888">
        <w:t xml:space="preserve"> stavebnímu úřadu tyto fáze výstavby pro kontrolní prohlídky stavby:</w:t>
      </w:r>
    </w:p>
    <w:p w:rsidR="0015301F" w:rsidRPr="00DD0A1B" w:rsidRDefault="0015301F" w:rsidP="0015301F">
      <w:pPr>
        <w:numPr>
          <w:ilvl w:val="1"/>
          <w:numId w:val="3"/>
        </w:numPr>
        <w:tabs>
          <w:tab w:val="left" w:pos="720"/>
        </w:tabs>
        <w:suppressAutoHyphens/>
        <w:autoSpaceDN/>
        <w:spacing w:before="60"/>
        <w:jc w:val="both"/>
      </w:pPr>
      <w:r>
        <w:rPr>
          <w:color w:val="000000"/>
        </w:rPr>
        <w:t xml:space="preserve">Po dokončení stavby </w:t>
      </w:r>
      <w:r w:rsidRPr="00DD0A1B">
        <w:t>před jejím užíváním.</w:t>
      </w:r>
    </w:p>
    <w:p w:rsidR="0015301F" w:rsidRPr="00DD0A1B" w:rsidRDefault="0015301F" w:rsidP="0015301F">
      <w:pPr>
        <w:numPr>
          <w:ilvl w:val="0"/>
          <w:numId w:val="3"/>
        </w:numPr>
        <w:tabs>
          <w:tab w:val="clear" w:pos="360"/>
        </w:tabs>
        <w:spacing w:before="60"/>
        <w:ind w:left="440" w:hanging="440"/>
      </w:pPr>
      <w:r w:rsidRPr="00DD0A1B">
        <w:t>Stavba bude dokončena do 31.12.2023.</w:t>
      </w:r>
    </w:p>
    <w:p w:rsidR="0015301F" w:rsidRDefault="0015301F" w:rsidP="0015301F">
      <w:pPr>
        <w:numPr>
          <w:ilvl w:val="0"/>
          <w:numId w:val="3"/>
        </w:numPr>
        <w:suppressAutoHyphens/>
        <w:autoSpaceDN/>
        <w:spacing w:before="60"/>
        <w:jc w:val="both"/>
        <w:rPr>
          <w:color w:val="FF0000"/>
        </w:rPr>
      </w:pPr>
      <w:r w:rsidRPr="00DD0A1B">
        <w:t xml:space="preserve">Stavba bude prováděna stavebním podnikatelem: </w:t>
      </w:r>
      <w:r>
        <w:t>***</w:t>
      </w:r>
    </w:p>
    <w:p w:rsidR="0015301F" w:rsidRPr="003B05F7" w:rsidRDefault="0015301F" w:rsidP="0015301F">
      <w:pPr>
        <w:numPr>
          <w:ilvl w:val="0"/>
          <w:numId w:val="3"/>
        </w:numPr>
        <w:suppressAutoHyphens/>
        <w:autoSpaceDN/>
        <w:spacing w:before="60"/>
        <w:jc w:val="both"/>
      </w:pPr>
      <w:r>
        <w:t xml:space="preserve">Bude </w:t>
      </w:r>
      <w:r w:rsidRPr="003B05F7">
        <w:rPr>
          <w:color w:val="000000"/>
        </w:rPr>
        <w:t xml:space="preserve">dodržena podmínka stanoviska </w:t>
      </w:r>
      <w:r>
        <w:t>***</w:t>
      </w:r>
    </w:p>
    <w:p w:rsidR="0015301F" w:rsidRPr="003B05F7" w:rsidRDefault="0015301F" w:rsidP="0015301F">
      <w:pPr>
        <w:numPr>
          <w:ilvl w:val="0"/>
          <w:numId w:val="5"/>
        </w:numPr>
        <w:suppressAutoHyphens/>
        <w:autoSpaceDN/>
        <w:spacing w:before="60"/>
        <w:ind w:hanging="76"/>
        <w:jc w:val="both"/>
      </w:pPr>
      <w:r w:rsidRPr="003B05F7">
        <w:t xml:space="preserve"> Požadujeme nerealizovat přemístění dopravních značek označujících začátek a konec města Domažlice tak, jak to dopravní inspektorát požadoval ve svém stanovisku č.j. KRPP-53239-1/ČJ-2018</w:t>
      </w:r>
      <w:r>
        <w:t>-030106 ze dne 02.05.2018 pro stavbu „Tenisový klub Domažlice – komunikace, parkovací stání</w:t>
      </w:r>
      <w:r w:rsidRPr="003B05F7">
        <w:t xml:space="preserve">, chodníky“ s ohledem na skutečnost, že oproti původnímu návrhu je chodník realizován za silničním příkopem a nedojde tak stavebně k rozšíření </w:t>
      </w:r>
      <w:proofErr w:type="spellStart"/>
      <w:r w:rsidRPr="003B05F7">
        <w:t>intravilánového</w:t>
      </w:r>
      <w:proofErr w:type="spellEnd"/>
      <w:r w:rsidRPr="003B05F7">
        <w:t xml:space="preserve"> profilu sil. II/193.</w:t>
      </w:r>
    </w:p>
    <w:p w:rsidR="0015301F" w:rsidRDefault="0015301F" w:rsidP="0015301F">
      <w:pPr>
        <w:numPr>
          <w:ilvl w:val="0"/>
          <w:numId w:val="3"/>
        </w:numPr>
        <w:suppressAutoHyphens/>
        <w:autoSpaceDN/>
        <w:spacing w:before="60"/>
        <w:jc w:val="both"/>
        <w:rPr>
          <w:color w:val="000000"/>
        </w:rPr>
      </w:pPr>
      <w:r w:rsidRPr="003B05F7">
        <w:t>Stavbu</w:t>
      </w:r>
      <w:r>
        <w:t xml:space="preserve"> lze užívat jen na základě kolaudačního souhlasu. Spolu s žádostí stavebník zajistí, aby byly před započetím užívání </w:t>
      </w:r>
      <w:r>
        <w:rPr>
          <w:color w:val="000000"/>
        </w:rPr>
        <w:t>stavby provedeny a vyhodnoceny zkoušky předepsané zvláštními právními předpisy a jejich kopie předloží stavebnímu úřadu společně s žádostí o vydání kolaudačního souhlasu.</w:t>
      </w:r>
    </w:p>
    <w:p w:rsidR="0015301F" w:rsidRDefault="0015301F" w:rsidP="0015301F">
      <w:pPr>
        <w:numPr>
          <w:ilvl w:val="0"/>
          <w:numId w:val="3"/>
        </w:numPr>
        <w:suppressAutoHyphens/>
        <w:autoSpaceDN/>
        <w:spacing w:before="60"/>
        <w:jc w:val="both"/>
      </w:pPr>
      <w:r>
        <w:t>Stavebník předloží stavebnímu úřadu spolu s žádostí o vydání kolaudačního souhlasu dokumentaci skutečného provedení stavby, pokud při jejím provádění došlo k nepodstatným odchylkám oproti vydanému stavebnímu povolení nebo ověřené projektové dokumentaci. Pokud je stavba předmětem evidence v katastru nemovitostí, doloží stavebník též vyhotovení geometrického plánu na tuto stavbu.</w:t>
      </w:r>
    </w:p>
    <w:p w:rsidR="0015301F" w:rsidRPr="00C00888" w:rsidRDefault="0015301F" w:rsidP="0015301F">
      <w:pPr>
        <w:spacing w:before="120"/>
      </w:pPr>
    </w:p>
    <w:p w:rsidR="0015301F" w:rsidRPr="00C00888" w:rsidRDefault="0015301F" w:rsidP="0015301F">
      <w:pPr>
        <w:spacing w:before="120"/>
      </w:pPr>
      <w:r w:rsidRPr="00C00888">
        <w:t>Ú</w:t>
      </w:r>
      <w:r>
        <w:t>častníci řízení, na něž</w:t>
      </w:r>
      <w:r w:rsidRPr="00C00888">
        <w:t xml:space="preserve"> se vztahuje rozhodnutí správního orgánu:</w:t>
      </w:r>
    </w:p>
    <w:p w:rsidR="0015301F" w:rsidRDefault="0015301F" w:rsidP="0015301F">
      <w:pPr>
        <w:spacing w:before="120"/>
      </w:pPr>
      <w:r>
        <w:t>***</w:t>
      </w:r>
    </w:p>
    <w:p w:rsidR="0015301F" w:rsidRPr="00C00888" w:rsidRDefault="0015301F" w:rsidP="0015301F">
      <w:pPr>
        <w:spacing w:before="120"/>
      </w:pPr>
    </w:p>
    <w:p w:rsidR="0015301F" w:rsidRPr="00C00888" w:rsidRDefault="0015301F" w:rsidP="0015301F">
      <w:pPr>
        <w:spacing w:before="120"/>
        <w:rPr>
          <w:b/>
          <w:bCs/>
        </w:rPr>
      </w:pPr>
      <w:r w:rsidRPr="00C00888">
        <w:rPr>
          <w:b/>
          <w:bCs/>
        </w:rPr>
        <w:t>Odůvodnění:</w:t>
      </w:r>
    </w:p>
    <w:p w:rsidR="0015301F" w:rsidRDefault="0015301F" w:rsidP="0015301F">
      <w:pPr>
        <w:spacing w:before="120"/>
        <w:jc w:val="both"/>
      </w:pPr>
      <w:r>
        <w:t>Speciální stavební úřad při výkonu stavebního dozoru dne 06.09.2022 zjistil, že stavebník provádí stavbu bez rozhodnutí nebo opatření speciálního stavebního úřadu, a proto dne 06.09.2022 zahájil řízení podle § 129 odst. 1 písm. b) stavebního zákona o nařízení odstranění stavby. Stavebník požádal dne 06.10.2022 podle § 129 odst. 2 stavebního zákona o dodatečné povolení stavby. Vzhledem k tomu, že stavebník podal žádost o dodatečné povolen í stavby, speciální stavební úřad dne 17.10.2022 podle § 129 odst. 2 stavebního zákona přerušil řízení o odstranění stavby a vedl řízení o podané žádosti.</w:t>
      </w:r>
    </w:p>
    <w:p w:rsidR="0015301F" w:rsidRDefault="0015301F" w:rsidP="0015301F">
      <w:pPr>
        <w:spacing w:before="120"/>
        <w:jc w:val="both"/>
      </w:pPr>
      <w:r>
        <w:t xml:space="preserve">Protože žádost nebyla úplná a nebyla doložena všemi podklady a stanovisky potřebnými pro její řádné posouzení, byl stavebník dne 17.10.2022 vyzván k doplnění žádosti a řízení bylo přerušeno. Žádost byla stavebníkem doplněna dne 05.12.2022. </w:t>
      </w:r>
    </w:p>
    <w:p w:rsidR="0015301F" w:rsidRPr="003B05F7" w:rsidRDefault="0015301F" w:rsidP="0015301F">
      <w:pPr>
        <w:spacing w:before="120"/>
        <w:jc w:val="both"/>
      </w:pPr>
      <w:r w:rsidRPr="003B05F7">
        <w:t>Chodník by za řádného umístění vyžadoval rozhodnutí o umístění stavby podle § 79 a 92 stavebního zákona a pro řádné povolení by vyžadoval podle § 115 stavebního zákona stavební povolení, popř. společné povolení podle § 94p stavebního zákona.</w:t>
      </w:r>
    </w:p>
    <w:p w:rsidR="0015301F" w:rsidRDefault="0015301F" w:rsidP="0015301F">
      <w:pPr>
        <w:spacing w:before="120"/>
        <w:jc w:val="both"/>
      </w:pPr>
      <w:r w:rsidRPr="003B05F7">
        <w:lastRenderedPageBreak/>
        <w:t xml:space="preserve">Speciální stavební úřad oznámil dne 12.12.2022 podle § 129 odst. 2 a 3 a § 112 odst. 1 stavebního zákona zahájení řízení o dodatečném povolení stavby a současně nařídil k projednání žádosti ústní jednání spojené s ohledáním na místě na den 12.01.2023 v 10:00 hodin se schůzkou pozvaných v místě stavby. </w:t>
      </w:r>
    </w:p>
    <w:p w:rsidR="0015301F" w:rsidRPr="003B05F7" w:rsidRDefault="0015301F" w:rsidP="0015301F">
      <w:pPr>
        <w:spacing w:before="120"/>
        <w:jc w:val="both"/>
      </w:pPr>
      <w:r>
        <w:t xml:space="preserve">Dne 04.01.2023 obdržel speciální stavební úřad sdělení od ***, že přebírá právní zastoupení účastníka řízení ***. </w:t>
      </w:r>
      <w:r w:rsidRPr="003B05F7">
        <w:t xml:space="preserve">Při ústním jednání spojené s ohledáním na místě dne 12.01.2023 byl pořízen protokol. </w:t>
      </w:r>
    </w:p>
    <w:p w:rsidR="0015301F" w:rsidRPr="00EA0912" w:rsidRDefault="0015301F" w:rsidP="0015301F">
      <w:pPr>
        <w:spacing w:before="120"/>
        <w:jc w:val="both"/>
      </w:pPr>
      <w:r w:rsidRPr="00EA0912">
        <w:t>Stavební úřad umožnil účastníkům řízení i dotčeným orgánům nahlédnout do dokumentace a podkladů rozhodnutí, a to předem na Městském úřadu Domažlice odboru výstavby a územního plánování.</w:t>
      </w:r>
    </w:p>
    <w:p w:rsidR="0015301F" w:rsidRPr="00EA0912" w:rsidRDefault="0015301F" w:rsidP="0015301F">
      <w:pPr>
        <w:spacing w:before="120"/>
        <w:jc w:val="both"/>
      </w:pPr>
      <w:r w:rsidRPr="00EA0912">
        <w:t xml:space="preserve">Jednotlivá stanoviska dotčených orgánů uplatněná ve stavebním řízení byla zvážena a využita při stanovení podmínek tohoto rozhodnutí. </w:t>
      </w:r>
    </w:p>
    <w:p w:rsidR="0015301F" w:rsidRPr="00EA0912" w:rsidRDefault="0015301F" w:rsidP="0015301F">
      <w:pPr>
        <w:overflowPunct w:val="0"/>
        <w:spacing w:before="120" w:line="240" w:lineRule="atLeast"/>
        <w:jc w:val="both"/>
        <w:textAlignment w:val="baseline"/>
        <w:rPr>
          <w:rStyle w:val="Siln"/>
          <w:rFonts w:eastAsia="Times-Roman" w:cs="Times-Roman"/>
          <w:b w:val="0"/>
          <w:bCs w:val="0"/>
        </w:rPr>
      </w:pPr>
      <w:r w:rsidRPr="00EA0912">
        <w:rPr>
          <w:rStyle w:val="Siln"/>
          <w:rFonts w:eastAsia="Times-Roman" w:cs="Times-Roman"/>
          <w:b w:val="0"/>
          <w:bCs w:val="0"/>
        </w:rPr>
        <w:t xml:space="preserve">Městský úřad Domažlice, odbor výstavby a územního plánování prostřednictvím koordinovaného závazného stanoviska Městského úřadu Domažlice ze dne </w:t>
      </w:r>
      <w:r>
        <w:rPr>
          <w:rStyle w:val="Siln"/>
          <w:rFonts w:eastAsia="Times-Roman" w:cs="Times-Roman"/>
          <w:b w:val="0"/>
          <w:bCs w:val="0"/>
        </w:rPr>
        <w:t>01</w:t>
      </w:r>
      <w:r w:rsidRPr="00EA0912">
        <w:rPr>
          <w:rStyle w:val="Siln"/>
          <w:rFonts w:eastAsia="Times-Roman" w:cs="Times-Roman"/>
          <w:b w:val="0"/>
          <w:bCs w:val="0"/>
        </w:rPr>
        <w:t>.</w:t>
      </w:r>
      <w:r>
        <w:rPr>
          <w:rStyle w:val="Siln"/>
          <w:rFonts w:eastAsia="Times-Roman" w:cs="Times-Roman"/>
          <w:b w:val="0"/>
          <w:bCs w:val="0"/>
        </w:rPr>
        <w:t>11</w:t>
      </w:r>
      <w:r w:rsidRPr="00EA0912">
        <w:rPr>
          <w:rStyle w:val="Siln"/>
          <w:rFonts w:eastAsia="Times-Roman" w:cs="Times-Roman"/>
          <w:b w:val="0"/>
          <w:bCs w:val="0"/>
        </w:rPr>
        <w:t>.2022 č.j. MeDO-</w:t>
      </w:r>
      <w:r>
        <w:rPr>
          <w:rStyle w:val="Siln"/>
          <w:rFonts w:eastAsia="Times-Roman" w:cs="Times-Roman"/>
          <w:b w:val="0"/>
          <w:bCs w:val="0"/>
        </w:rPr>
        <w:t>65854</w:t>
      </w:r>
      <w:r w:rsidRPr="00EA0912">
        <w:rPr>
          <w:rStyle w:val="Siln"/>
          <w:rFonts w:eastAsia="Times-Roman" w:cs="Times-Roman"/>
          <w:b w:val="0"/>
          <w:bCs w:val="0"/>
        </w:rPr>
        <w:t>/2022-</w:t>
      </w:r>
      <w:r>
        <w:rPr>
          <w:rStyle w:val="Siln"/>
          <w:rFonts w:eastAsia="Times-Roman" w:cs="Times-Roman"/>
          <w:b w:val="0"/>
          <w:bCs w:val="0"/>
        </w:rPr>
        <w:t>***</w:t>
      </w:r>
      <w:r w:rsidRPr="00EA0912">
        <w:rPr>
          <w:rStyle w:val="Siln"/>
          <w:rFonts w:eastAsia="Times-Roman" w:cs="Times-Roman"/>
          <w:b w:val="0"/>
          <w:bCs w:val="0"/>
        </w:rPr>
        <w:t xml:space="preserve"> uvedl ve svém závazném stanovisku, že záměr je přípustný za podmínky, že bude-li umístěn podle „Koordinační situační výkres“, který je přílohou tohoto stanoviska. Speciální stavební úřad si ověřil, že situace ze závazného stanoviska orgánu územního plánování se shoduje se situací, kterou má speciální stavební úřad v projektové dokumentaci </w:t>
      </w:r>
      <w:r>
        <w:rPr>
          <w:rStyle w:val="Siln"/>
          <w:rFonts w:eastAsia="Times-Roman" w:cs="Times-Roman"/>
          <w:b w:val="0"/>
          <w:bCs w:val="0"/>
        </w:rPr>
        <w:t>***</w:t>
      </w:r>
      <w:r w:rsidRPr="00EA0912">
        <w:rPr>
          <w:rStyle w:val="Siln"/>
          <w:rFonts w:eastAsia="Times-Roman" w:cs="Times-Roman"/>
          <w:b w:val="0"/>
          <w:bCs w:val="0"/>
        </w:rPr>
        <w:t>. Podmínka orgánu územního plánování je  podmínka č. 1.</w:t>
      </w:r>
    </w:p>
    <w:p w:rsidR="0015301F" w:rsidRPr="00DA2095" w:rsidRDefault="0015301F" w:rsidP="0015301F">
      <w:pPr>
        <w:overflowPunct w:val="0"/>
        <w:spacing w:before="120" w:line="240" w:lineRule="atLeast"/>
        <w:jc w:val="both"/>
        <w:textAlignment w:val="baseline"/>
        <w:rPr>
          <w:rFonts w:eastAsia="Times-Roman" w:cs="Times-Roman"/>
        </w:rPr>
      </w:pPr>
      <w:r w:rsidRPr="00DA2095">
        <w:rPr>
          <w:rFonts w:eastAsia="Times-Roman" w:cs="Times-Roman"/>
        </w:rPr>
        <w:t>Zpracovanou projektovou dokumentaci speciální stavební úřad zkoumal zda je v souladu s ustanovením</w:t>
      </w:r>
      <w:r w:rsidRPr="00DA2095">
        <w:rPr>
          <w:rFonts w:eastAsia="Times-Roman" w:cs="Times-Roman"/>
        </w:rPr>
        <w:br/>
        <w:t>§ 2 odst. 1 písm. h) vyhlášky č. 146/2008 Sb., o rozsahu a obsahu projektové dokumentace dopravních staveb, tj. podle Přílohy č. 8, která stanoví rozsah a obsah projektové dokumentace staveb dálnic, silnic, místních komunikací a veřejně přístupných účelových komunikací (dále jen pozemních komunikací) pro vydání stavebního povolení nebo k oznámení stavby ve zkráceném stavebním řízení. Speciální stavební úřad došel k závěru, že zpracovaná projektová dokumentace je úplná, přehledná a odpovídající míře jsou řešeny obecné požadavky na výstavbu.</w:t>
      </w:r>
    </w:p>
    <w:p w:rsidR="0015301F" w:rsidRPr="00DA2095" w:rsidRDefault="0015301F" w:rsidP="0015301F">
      <w:pPr>
        <w:overflowPunct w:val="0"/>
        <w:spacing w:before="120" w:line="240" w:lineRule="atLeast"/>
        <w:jc w:val="both"/>
        <w:textAlignment w:val="baseline"/>
        <w:rPr>
          <w:rFonts w:eastAsia="Times-Roman"/>
        </w:rPr>
      </w:pPr>
      <w:r w:rsidRPr="00DA2095">
        <w:rPr>
          <w:rFonts w:eastAsia="Times-Roman"/>
        </w:rPr>
        <w:t>Navržená stavba je v souladu s ustanovením § 111 stavebního zákona.</w:t>
      </w:r>
    </w:p>
    <w:p w:rsidR="0015301F" w:rsidRPr="00DA2095" w:rsidRDefault="0015301F" w:rsidP="0015301F">
      <w:pPr>
        <w:overflowPunct w:val="0"/>
        <w:spacing w:before="120" w:line="240" w:lineRule="atLeast"/>
        <w:jc w:val="both"/>
        <w:textAlignment w:val="baseline"/>
        <w:rPr>
          <w:rFonts w:eastAsia="Times-Roman"/>
          <w:lang w:eastAsia="ar-SA"/>
        </w:rPr>
      </w:pPr>
      <w:r w:rsidRPr="00DA2095">
        <w:rPr>
          <w:rFonts w:eastAsia="Times-Roman"/>
          <w:lang w:eastAsia="ar-SA"/>
        </w:rPr>
        <w:t>V dodatečném povolení stavby je posuzováno umístění a provedení stavby a vymezení účastníků řízení je ve smyslu § 85 a § 109 stavebního zákona:</w:t>
      </w:r>
    </w:p>
    <w:p w:rsidR="0015301F" w:rsidRDefault="0015301F" w:rsidP="0015301F">
      <w:pPr>
        <w:spacing w:before="120"/>
        <w:jc w:val="both"/>
      </w:pPr>
      <w:r w:rsidRPr="00DA2095">
        <w:rPr>
          <w:lang w:eastAsia="ar-SA"/>
        </w:rPr>
        <w:t>Jako účastníci byli zařazeni ve smyslu § 85 odst. 1 písm. a), § 109 písm. a) stavebního zákona – stavebník:</w:t>
      </w:r>
      <w:r w:rsidRPr="00DA2095">
        <w:rPr>
          <w:lang w:eastAsia="ar-SA"/>
        </w:rPr>
        <w:br/>
      </w:r>
      <w:r>
        <w:t>***</w:t>
      </w:r>
    </w:p>
    <w:p w:rsidR="0015301F" w:rsidRDefault="0015301F" w:rsidP="0015301F">
      <w:pPr>
        <w:spacing w:before="120"/>
        <w:jc w:val="both"/>
      </w:pPr>
      <w:r w:rsidRPr="00DA2095">
        <w:rPr>
          <w:rFonts w:eastAsia="Times-Roman"/>
          <w:lang w:eastAsia="ar-SA"/>
        </w:rPr>
        <w:t>ve smyslu § 85 odst. 1 písm. b) stavebního zákona - obec, na jejímž území má být požadovaný záměr uskutečněn:</w:t>
      </w:r>
      <w:r w:rsidRPr="00DA2095">
        <w:rPr>
          <w:rFonts w:eastAsia="Times-Roman"/>
          <w:lang w:eastAsia="ar-SA"/>
        </w:rPr>
        <w:br/>
      </w:r>
      <w:r>
        <w:t>***</w:t>
      </w:r>
    </w:p>
    <w:p w:rsidR="0015301F" w:rsidRDefault="0015301F" w:rsidP="0015301F">
      <w:pPr>
        <w:spacing w:before="120"/>
        <w:jc w:val="both"/>
      </w:pPr>
      <w:r w:rsidRPr="00DA2095">
        <w:rPr>
          <w:lang w:eastAsia="ar-SA"/>
        </w:rPr>
        <w:t>ve smyslu § 85 odst. 2 písm. b), § 109 písm. e) stavebního zákona – vlastník sousedního pozemku nebo stavby na něm, může-li být jeho vlastnické právo prováděním stavby přímo dotčeno:</w:t>
      </w:r>
      <w:r w:rsidRPr="00DA2095">
        <w:rPr>
          <w:lang w:eastAsia="ar-SA"/>
        </w:rPr>
        <w:tab/>
      </w:r>
      <w:r w:rsidRPr="00DA2095">
        <w:rPr>
          <w:lang w:eastAsia="ar-SA"/>
        </w:rPr>
        <w:br/>
      </w:r>
      <w:r>
        <w:t>***</w:t>
      </w:r>
    </w:p>
    <w:p w:rsidR="0015301F" w:rsidRPr="00DA2095" w:rsidRDefault="0015301F" w:rsidP="0015301F">
      <w:pPr>
        <w:spacing w:before="120"/>
        <w:jc w:val="both"/>
        <w:rPr>
          <w:rFonts w:eastAsia="Times-Roman"/>
          <w:lang w:eastAsia="ar-SA"/>
        </w:rPr>
      </w:pPr>
      <w:r w:rsidRPr="00DA2095">
        <w:rPr>
          <w:rFonts w:eastAsia="Times-Roman"/>
          <w:lang w:eastAsia="ar-SA"/>
        </w:rPr>
        <w:t xml:space="preserve">Speciální stavební úřad zahrnul všechny výše uvedené účastníky z důvodu přímé dotčenosti </w:t>
      </w:r>
      <w:r w:rsidRPr="00DA2095">
        <w:rPr>
          <w:rFonts w:eastAsia="Times-Roman"/>
        </w:rPr>
        <w:t xml:space="preserve">a dále zahrnul speciální stavební úřad účastníky řízení nejbližší vlastníky pozemků a staveb, kteří by mohli být záměrem přímo dotčeni. Vlastníci vzdálenějších sousedních pozemků a staveb nebyli za účastníky řízení pojati, protože jejich práva stavbou nemohou být přímo dotčena a to jednak z důvodu velké vzdálenosti těchto sousedních pozemků a staveb od stavby povolované a také z důvodu rozsahu umisťované a povolované stavby. </w:t>
      </w:r>
      <w:r w:rsidRPr="00DA2095">
        <w:rPr>
          <w:rFonts w:eastAsia="Times-Roman"/>
          <w:lang w:eastAsia="ar-SA"/>
        </w:rPr>
        <w:t>V průběhu dodatečného povolení speciální stavební úřad neobdržel žádnou žádost o tom, že vlastník pozemku nebo stavby, který není účastníkem řízení se považuje za účastníka řízení.</w:t>
      </w:r>
    </w:p>
    <w:p w:rsidR="0015301F" w:rsidRPr="00DA2095" w:rsidRDefault="0015301F" w:rsidP="0015301F">
      <w:pPr>
        <w:spacing w:before="120"/>
        <w:jc w:val="both"/>
      </w:pPr>
      <w:r w:rsidRPr="00DA2095">
        <w:t>Stavební úřad v provedeném řízení o dodatečném povolení stavby přezkoumal předloženou žádost z hledisek uvedených v § 110 až 115 stavebního zákona, projednal ji s účastníky řízení a s dotčenými orgány. Stavebník prokázal, že stavba není v rozporu s ustanoveními § 129 odst. 3 stavebního zákona a proto ji lze dodatečně povolit.</w:t>
      </w:r>
    </w:p>
    <w:p w:rsidR="0015301F" w:rsidRPr="0087240E" w:rsidRDefault="0015301F" w:rsidP="0015301F">
      <w:pPr>
        <w:spacing w:before="120"/>
      </w:pPr>
      <w:r w:rsidRPr="00DA2095">
        <w:t>Stanoviska sdělili:</w:t>
      </w:r>
    </w:p>
    <w:p w:rsidR="0015301F" w:rsidRPr="003B05F7" w:rsidRDefault="0015301F" w:rsidP="0015301F">
      <w:pPr>
        <w:numPr>
          <w:ilvl w:val="0"/>
          <w:numId w:val="6"/>
        </w:numPr>
        <w:suppressAutoHyphens/>
        <w:autoSpaceDN/>
        <w:spacing w:after="60"/>
      </w:pPr>
      <w:r>
        <w:t>***</w:t>
      </w:r>
    </w:p>
    <w:p w:rsidR="0015301F" w:rsidRPr="00DA2095" w:rsidRDefault="0015301F" w:rsidP="0015301F">
      <w:pPr>
        <w:spacing w:before="120"/>
        <w:jc w:val="both"/>
      </w:pPr>
      <w:r w:rsidRPr="00DA2095">
        <w:t>Speciální stavební úřad došel po provedeném dodatečném povolení stavby k závěru, že uskutečněním stavby „chodník Domažlice - Havlovice I. etapa“ nebudou ohroženy veřejné zájmy ani nepřiměřeně omezena či ohrožena práva a oprávněné zájmy účastníků řízení.</w:t>
      </w:r>
    </w:p>
    <w:p w:rsidR="0015301F" w:rsidRPr="00DA2095" w:rsidRDefault="0015301F" w:rsidP="0015301F">
      <w:pPr>
        <w:spacing w:before="120"/>
        <w:jc w:val="both"/>
      </w:pPr>
      <w:r w:rsidRPr="00DA2095">
        <w:rPr>
          <w:rStyle w:val="Siln"/>
          <w:b w:val="0"/>
          <w:bCs w:val="0"/>
        </w:rPr>
        <w:t xml:space="preserve">Do podmínek dodatečného povolení nebyly zahrnuty rovněž ty podmínky, kde povinnost jejich plnění vyplývá přímo z platných právních předpisů a ty, které se týkají soukromoprávních vztahů účastníků. </w:t>
      </w:r>
      <w:r w:rsidRPr="00DA2095">
        <w:rPr>
          <w:rStyle w:val="Siln"/>
          <w:b w:val="0"/>
          <w:bCs w:val="0"/>
        </w:rPr>
        <w:lastRenderedPageBreak/>
        <w:t>Speciální stavební úřad rozhodl, jak je uvedeno ve výroku rozhodnutí, za použití ustanovení právních předpisů ve výroku uvedených.</w:t>
      </w:r>
    </w:p>
    <w:p w:rsidR="0015301F" w:rsidRPr="00C00888" w:rsidRDefault="0015301F" w:rsidP="0015301F">
      <w:pPr>
        <w:spacing w:before="120"/>
      </w:pPr>
      <w:r w:rsidRPr="00C00888">
        <w:t>Vypořádání s návrhy a námitkami účastníků:</w:t>
      </w:r>
    </w:p>
    <w:p w:rsidR="0015301F" w:rsidRPr="00C00888" w:rsidRDefault="0015301F" w:rsidP="0015301F">
      <w:pPr>
        <w:numPr>
          <w:ilvl w:val="0"/>
          <w:numId w:val="1"/>
        </w:numPr>
        <w:tabs>
          <w:tab w:val="clear" w:pos="360"/>
        </w:tabs>
        <w:spacing w:before="60"/>
        <w:ind w:left="426" w:hanging="426"/>
      </w:pPr>
      <w:r w:rsidRPr="00C00888">
        <w:t xml:space="preserve"> Účastníci neuplatnili návrhy a námitky.</w:t>
      </w:r>
    </w:p>
    <w:p w:rsidR="0015301F" w:rsidRPr="00C00888" w:rsidRDefault="0015301F" w:rsidP="0015301F">
      <w:pPr>
        <w:spacing w:before="120"/>
      </w:pPr>
      <w:r w:rsidRPr="00C00888">
        <w:t>Vypořádání s vyjádřeními účastníků k podkladům rozhodnutí:</w:t>
      </w:r>
    </w:p>
    <w:p w:rsidR="0015301F" w:rsidRPr="00C00888" w:rsidRDefault="0015301F" w:rsidP="0015301F">
      <w:pPr>
        <w:numPr>
          <w:ilvl w:val="0"/>
          <w:numId w:val="2"/>
        </w:numPr>
        <w:tabs>
          <w:tab w:val="clear" w:pos="360"/>
        </w:tabs>
        <w:spacing w:before="60"/>
        <w:ind w:left="426" w:hanging="426"/>
      </w:pPr>
      <w:r w:rsidRPr="00C00888">
        <w:t>Účastníci se k podkladům rozhodnutí nevyjádřili.</w:t>
      </w:r>
    </w:p>
    <w:p w:rsidR="0015301F" w:rsidRPr="00C00888" w:rsidRDefault="0015301F" w:rsidP="0015301F">
      <w:pPr>
        <w:spacing w:before="120"/>
        <w:jc w:val="both"/>
      </w:pPr>
    </w:p>
    <w:p w:rsidR="0015301F" w:rsidRPr="00C00888" w:rsidRDefault="0015301F" w:rsidP="0015301F">
      <w:pPr>
        <w:spacing w:before="120"/>
        <w:rPr>
          <w:b/>
          <w:bCs/>
        </w:rPr>
      </w:pPr>
      <w:r w:rsidRPr="00C00888">
        <w:rPr>
          <w:b/>
          <w:bCs/>
        </w:rPr>
        <w:t>Poučení účastníků:</w:t>
      </w:r>
    </w:p>
    <w:p w:rsidR="0015301F" w:rsidRPr="00C00888" w:rsidRDefault="0015301F" w:rsidP="0015301F">
      <w:pPr>
        <w:spacing w:before="120"/>
        <w:jc w:val="both"/>
      </w:pPr>
      <w:r w:rsidRPr="00C00888">
        <w:t xml:space="preserve">Proti tomuto rozhodnutí </w:t>
      </w:r>
      <w:r>
        <w:t>se lze odvolat do 15 dnů ode dne jeho oznámení k</w:t>
      </w:r>
      <w:r w:rsidRPr="00C00888">
        <w:t> </w:t>
      </w:r>
      <w:r>
        <w:t>***</w:t>
      </w:r>
      <w:r w:rsidRPr="00C00888">
        <w:t xml:space="preserve"> podáním u zdejšího správního orgánu.</w:t>
      </w:r>
    </w:p>
    <w:p w:rsidR="0015301F" w:rsidRPr="00C00888" w:rsidRDefault="0015301F" w:rsidP="0015301F">
      <w:pPr>
        <w:spacing w:before="120"/>
        <w:jc w:val="both"/>
      </w:pPr>
      <w:r w:rsidRPr="00C00888">
        <w:t xml:space="preserve">Odvolání </w:t>
      </w:r>
      <w:r>
        <w:t>se podává s potřebným počtem stejnopisů</w:t>
      </w:r>
      <w:r w:rsidRPr="00C00888">
        <w:t xml:space="preserve"> tak, aby jeden stejnopis zůstal správnímu orgánu a aby každý účastník dostal jeden stejnopis. Nepodá-li účastník potřebný počet stejnopisů, vyhotoví je správní orgán na náklady účastníka. Odvoláním lze napadnout výrokovou část rozhodnutí, jednotlivý výrok nebo jeho vedlejší ustanovení. Odvolání jen proti odůvodnění rozhodnutí je nepřípustné.</w:t>
      </w:r>
    </w:p>
    <w:p w:rsidR="0015301F" w:rsidRDefault="0015301F" w:rsidP="0015301F">
      <w:pPr>
        <w:spacing w:before="120"/>
        <w:jc w:val="both"/>
      </w:pPr>
      <w:r>
        <w:t>Speciální stavební úřad p</w:t>
      </w:r>
      <w:r w:rsidRPr="00772F38">
        <w:t>o dni nabytí právní moci stavebního povolení zašle stavebníkovi jedno vyhotovení ověřené projektové dokumentace spolu se štítkem obsahujícím identifikační údaje o povolené stavbě. Další vyhotovení ověřené projektové dokumentace zašle vlastníkovi stavby, pokud není stavebníkem.</w:t>
      </w:r>
    </w:p>
    <w:p w:rsidR="0015301F" w:rsidRDefault="0015301F" w:rsidP="0015301F">
      <w:pPr>
        <w:tabs>
          <w:tab w:val="left" w:pos="709"/>
          <w:tab w:val="left" w:pos="1134"/>
        </w:tabs>
        <w:spacing w:before="120"/>
        <w:jc w:val="both"/>
      </w:pPr>
      <w:bookmarkStart w:id="1" w:name="_Hlk509208729"/>
      <w:r w:rsidRPr="00C940AA">
        <w:t>Při provádění stavby je stavebník povinen</w:t>
      </w:r>
    </w:p>
    <w:p w:rsidR="0015301F" w:rsidRPr="00C940AA" w:rsidRDefault="0015301F" w:rsidP="0015301F">
      <w:pPr>
        <w:numPr>
          <w:ilvl w:val="0"/>
          <w:numId w:val="4"/>
        </w:numPr>
        <w:tabs>
          <w:tab w:val="clear" w:pos="360"/>
        </w:tabs>
        <w:spacing w:before="60"/>
        <w:ind w:left="426" w:hanging="426"/>
        <w:jc w:val="both"/>
      </w:pPr>
      <w:r w:rsidRPr="00C940AA">
        <w:t xml:space="preserve">oznámit </w:t>
      </w:r>
      <w:r>
        <w:t xml:space="preserve">speciálnímu </w:t>
      </w:r>
      <w:r w:rsidRPr="00C940AA">
        <w:t xml:space="preserve">stavebnímu úřadu název a sídlo stavebního podnikatele, který bude stavbu provádět, u svépomocné formy výstavby jméno a příjmení stavbyvedoucího nebo osoby, která bude vykonávat stavební dozor; změny v těchto skutečnostech oznámí neprodleně </w:t>
      </w:r>
      <w:r>
        <w:t xml:space="preserve">speciálnímu </w:t>
      </w:r>
      <w:r w:rsidRPr="00C940AA">
        <w:t>stavebnímu úřadu,</w:t>
      </w:r>
    </w:p>
    <w:p w:rsidR="0015301F" w:rsidRPr="00C940AA" w:rsidRDefault="0015301F" w:rsidP="0015301F">
      <w:pPr>
        <w:numPr>
          <w:ilvl w:val="0"/>
          <w:numId w:val="4"/>
        </w:numPr>
        <w:tabs>
          <w:tab w:val="clear" w:pos="360"/>
        </w:tabs>
        <w:spacing w:before="60"/>
        <w:ind w:left="426" w:hanging="426"/>
        <w:jc w:val="both"/>
      </w:pPr>
      <w:r w:rsidRPr="00C940AA">
        <w:t>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rsidR="0015301F" w:rsidRPr="00C940AA" w:rsidRDefault="0015301F" w:rsidP="0015301F">
      <w:pPr>
        <w:numPr>
          <w:ilvl w:val="0"/>
          <w:numId w:val="4"/>
        </w:numPr>
        <w:tabs>
          <w:tab w:val="clear" w:pos="360"/>
        </w:tabs>
        <w:spacing w:before="60"/>
        <w:ind w:left="426" w:hanging="426"/>
        <w:jc w:val="both"/>
      </w:pPr>
      <w:r w:rsidRPr="00C940AA">
        <w:t>zajistit, aby na stavbě nebo na staveništi byla k dispozici ověřená dokumentace stavby a všechny doklady týkající se prováděné stavby nebo její změny, popřípadě jejich kopie,</w:t>
      </w:r>
    </w:p>
    <w:p w:rsidR="0015301F" w:rsidRPr="00C940AA" w:rsidRDefault="0015301F" w:rsidP="0015301F">
      <w:pPr>
        <w:numPr>
          <w:ilvl w:val="0"/>
          <w:numId w:val="4"/>
        </w:numPr>
        <w:tabs>
          <w:tab w:val="clear" w:pos="360"/>
        </w:tabs>
        <w:spacing w:before="60"/>
        <w:ind w:left="426" w:hanging="426"/>
        <w:jc w:val="both"/>
      </w:pPr>
      <w:r w:rsidRPr="00C940AA">
        <w:t xml:space="preserve">ohlašovat </w:t>
      </w:r>
      <w:r>
        <w:t xml:space="preserve">speciálnímu </w:t>
      </w:r>
      <w:r w:rsidRPr="00C940AA">
        <w:t>stavebnímu úřadu fáze výstavby podle plánu kontrolních prohlídek stavby, umožnit provedení kontrolní prohlídky, a pokud tomu nebrání vážné důvody, této prohlídky se zúčastnit,</w:t>
      </w:r>
    </w:p>
    <w:p w:rsidR="0015301F" w:rsidRPr="00C940AA" w:rsidRDefault="0015301F" w:rsidP="0015301F">
      <w:pPr>
        <w:numPr>
          <w:ilvl w:val="0"/>
          <w:numId w:val="4"/>
        </w:numPr>
        <w:tabs>
          <w:tab w:val="clear" w:pos="360"/>
        </w:tabs>
        <w:spacing w:before="60"/>
        <w:ind w:left="426" w:hanging="426"/>
        <w:jc w:val="both"/>
      </w:pPr>
      <w:r w:rsidRPr="00C940AA">
        <w:t xml:space="preserve">ohlásit </w:t>
      </w:r>
      <w:r>
        <w:t xml:space="preserve">speciálnímu </w:t>
      </w:r>
      <w:r w:rsidRPr="00C940AA">
        <w:t>stavebnímu úřadu neprodleně po jejich zjištění závady na stavbě, které ohrožují životy a zdraví osob, nebo bezpečnost stavby.</w:t>
      </w:r>
    </w:p>
    <w:bookmarkEnd w:id="1"/>
    <w:p w:rsidR="0015301F" w:rsidRPr="00C00888" w:rsidRDefault="0015301F" w:rsidP="0015301F">
      <w:pPr>
        <w:spacing w:before="120"/>
        <w:jc w:val="both"/>
      </w:pPr>
      <w:r w:rsidRPr="00C00888">
        <w:t xml:space="preserve">Ve stavebních pracích nesmí být pokračováno, dokud toto rozhodnutí nenabude právní moci. </w:t>
      </w:r>
      <w:r w:rsidRPr="00C00888">
        <w:rPr>
          <w:color w:val="000000"/>
        </w:rPr>
        <w:t>Po nabytí právní moci s</w:t>
      </w:r>
      <w:r w:rsidRPr="00C00888">
        <w:t>peciální s</w:t>
      </w:r>
      <w:r w:rsidRPr="00C00888">
        <w:rPr>
          <w:color w:val="000000"/>
        </w:rPr>
        <w:t>tavební úřad zastaví řízeni o nařízení odstranění stavby.</w:t>
      </w:r>
    </w:p>
    <w:p w:rsidR="0015301F" w:rsidRPr="002059FF" w:rsidRDefault="0015301F" w:rsidP="0015301F"/>
    <w:p w:rsidR="0015301F" w:rsidRPr="002059FF" w:rsidRDefault="0015301F" w:rsidP="0015301F"/>
    <w:p w:rsidR="0015301F" w:rsidRPr="002059FF" w:rsidRDefault="0015301F" w:rsidP="0015301F"/>
    <w:p w:rsidR="0015301F" w:rsidRPr="002059FF" w:rsidRDefault="0015301F" w:rsidP="0015301F">
      <w:pPr>
        <w:jc w:val="both"/>
      </w:pPr>
    </w:p>
    <w:p w:rsidR="0015301F" w:rsidRPr="002059FF" w:rsidRDefault="0015301F" w:rsidP="0015301F">
      <w:pPr>
        <w:ind w:left="2268"/>
        <w:jc w:val="center"/>
      </w:pPr>
      <w:r>
        <w:t>***</w:t>
      </w:r>
    </w:p>
    <w:p w:rsidR="0015301F" w:rsidRPr="00C00888" w:rsidRDefault="0015301F" w:rsidP="0015301F">
      <w:pPr>
        <w:ind w:left="2268"/>
        <w:jc w:val="center"/>
      </w:pPr>
      <w:r>
        <w:t>vedoucí odboru výstavby a ÚP</w:t>
      </w:r>
    </w:p>
    <w:p w:rsidR="0015301F" w:rsidRPr="00C00888" w:rsidRDefault="0015301F" w:rsidP="0015301F"/>
    <w:p w:rsidR="0015301F" w:rsidRPr="00C00888" w:rsidRDefault="0015301F" w:rsidP="0015301F">
      <w:pPr>
        <w:spacing w:after="60"/>
        <w:rPr>
          <w:b/>
          <w:bCs/>
        </w:rPr>
      </w:pPr>
      <w:r w:rsidRPr="00C00888">
        <w:rPr>
          <w:b/>
          <w:bCs/>
        </w:rPr>
        <w:t>Poplatek:</w:t>
      </w:r>
    </w:p>
    <w:p w:rsidR="0015301F" w:rsidRPr="00C00888" w:rsidRDefault="0015301F" w:rsidP="0015301F">
      <w:pPr>
        <w:jc w:val="both"/>
      </w:pPr>
      <w:r w:rsidRPr="00C00888">
        <w:t xml:space="preserve">Správní poplatek podle </w:t>
      </w:r>
      <w:r>
        <w:t>zákona č. 634/2004 Sb., o správních poplatcích, ve znění pozdějších předpisů</w:t>
      </w:r>
      <w:r w:rsidRPr="00C00888">
        <w:t xml:space="preserve"> </w:t>
      </w:r>
      <w:r>
        <w:t>položky 17 odst. 1 písm. f) ve výši 20000 Kč, položky 18 odst. 1 písm. f) ve výši 10000 Kč, položky 20 písm. a) ve výši 500 Kč, celkem 30500 Kč byl zaplacen dne 24.01.2023.</w:t>
      </w:r>
    </w:p>
    <w:p w:rsidR="0015301F" w:rsidRPr="00C00888" w:rsidRDefault="0015301F" w:rsidP="0015301F"/>
    <w:p w:rsidR="0015301F" w:rsidRPr="00C00888" w:rsidRDefault="0015301F" w:rsidP="0015301F">
      <w:pPr>
        <w:spacing w:after="60"/>
        <w:rPr>
          <w:b/>
          <w:bCs/>
        </w:rPr>
      </w:pPr>
      <w:r w:rsidRPr="00C00888">
        <w:rPr>
          <w:b/>
          <w:bCs/>
        </w:rPr>
        <w:t>Obdrží:</w:t>
      </w:r>
    </w:p>
    <w:p w:rsidR="0015301F" w:rsidRDefault="0015301F" w:rsidP="0015301F">
      <w:r>
        <w:t>***</w:t>
      </w:r>
    </w:p>
    <w:p w:rsidR="0015301F" w:rsidRPr="00C00888" w:rsidRDefault="0015301F" w:rsidP="0015301F">
      <w:r>
        <w:t>dotčené orgány</w:t>
      </w:r>
      <w:r>
        <w:br/>
        <w:t>***</w:t>
      </w:r>
    </w:p>
    <w:p w:rsidR="00DF5083" w:rsidRDefault="006E5682"/>
    <w:sectPr w:rsidR="00DF5083" w:rsidSect="0015301F">
      <w:headerReference w:type="default" r:id="rId7"/>
      <w:pgSz w:w="11906" w:h="16838"/>
      <w:pgMar w:top="851" w:right="1134" w:bottom="851" w:left="1418" w:header="709" w:footer="709"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5682">
      <w:r>
        <w:separator/>
      </w:r>
    </w:p>
  </w:endnote>
  <w:endnote w:type="continuationSeparator" w:id="0">
    <w:p w:rsidR="00000000" w:rsidRDefault="006E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Roman">
    <w:altName w:val="Times New Roman"/>
    <w:charset w:val="EE"/>
    <w:family w:val="roman"/>
    <w:pitch w:val="default"/>
  </w:font>
  <w:font w:name="TimesNewRoman-OneByteIdentityH">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5682">
      <w:r>
        <w:separator/>
      </w:r>
    </w:p>
  </w:footnote>
  <w:footnote w:type="continuationSeparator" w:id="0">
    <w:p w:rsidR="00000000" w:rsidRDefault="006E5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1F" w:rsidRPr="00CB708E" w:rsidRDefault="0015301F" w:rsidP="002D241F">
    <w:pPr>
      <w:pStyle w:val="Zhlav"/>
      <w:rPr>
        <w:rStyle w:val="slostrnky"/>
        <w:sz w:val="18"/>
        <w:szCs w:val="18"/>
      </w:rPr>
    </w:pPr>
    <w:r w:rsidRPr="00CB708E">
      <w:rPr>
        <w:sz w:val="18"/>
        <w:szCs w:val="18"/>
      </w:rPr>
      <w:t xml:space="preserve">Č.j. </w:t>
    </w:r>
    <w:r>
      <w:rPr>
        <w:sz w:val="18"/>
        <w:szCs w:val="18"/>
      </w:rPr>
      <w:t>MeDO-11995/2023</w:t>
    </w:r>
    <w:r w:rsidR="006E5682">
      <w:rPr>
        <w:sz w:val="18"/>
        <w:szCs w:val="18"/>
      </w:rPr>
      <w:t>***</w:t>
    </w:r>
    <w:r w:rsidRPr="00CB708E">
      <w:rPr>
        <w:sz w:val="18"/>
        <w:szCs w:val="18"/>
      </w:rPr>
      <w:tab/>
      <w:t xml:space="preserve">str. </w:t>
    </w:r>
    <w:r w:rsidRPr="00CB708E">
      <w:rPr>
        <w:rStyle w:val="slostrnky"/>
        <w:sz w:val="18"/>
        <w:szCs w:val="18"/>
      </w:rPr>
      <w:fldChar w:fldCharType="begin"/>
    </w:r>
    <w:r w:rsidRPr="00CB708E">
      <w:rPr>
        <w:rStyle w:val="slostrnky"/>
        <w:sz w:val="18"/>
        <w:szCs w:val="18"/>
      </w:rPr>
      <w:instrText xml:space="preserve"> PAGE </w:instrText>
    </w:r>
    <w:r w:rsidRPr="00CB708E">
      <w:rPr>
        <w:rStyle w:val="slostrnky"/>
        <w:sz w:val="18"/>
        <w:szCs w:val="18"/>
      </w:rPr>
      <w:fldChar w:fldCharType="separate"/>
    </w:r>
    <w:r w:rsidR="006E5682">
      <w:rPr>
        <w:rStyle w:val="slostrnky"/>
        <w:noProof/>
        <w:sz w:val="18"/>
        <w:szCs w:val="18"/>
      </w:rPr>
      <w:t>2</w:t>
    </w:r>
    <w:r w:rsidRPr="00CB708E">
      <w:rPr>
        <w:rStyle w:val="slostrnky"/>
      </w:rPr>
      <w:fldChar w:fldCharType="end"/>
    </w:r>
  </w:p>
  <w:p w:rsidR="002D241F" w:rsidRDefault="006E5682" w:rsidP="002D241F">
    <w:pPr>
      <w:pStyle w:val="Zhlav"/>
      <w:rPr>
        <w:sz w:val="2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77"/>
        </w:tabs>
        <w:ind w:left="720" w:hanging="363"/>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Wingdings" w:hAnsi="Wingdings" w:cs="Times New Roman"/>
      </w:rPr>
    </w:lvl>
    <w:lvl w:ilvl="6">
      <w:start w:val="1"/>
      <w:numFmt w:val="bullet"/>
      <w:lvlText w:val=""/>
      <w:lvlJc w:val="left"/>
      <w:pPr>
        <w:tabs>
          <w:tab w:val="num" w:pos="2520"/>
        </w:tabs>
        <w:ind w:left="2520" w:hanging="360"/>
      </w:pPr>
      <w:rPr>
        <w:rFonts w:ascii="Wingdings" w:hAnsi="Wingdings"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17A12737"/>
    <w:multiLevelType w:val="multilevel"/>
    <w:tmpl w:val="2B860630"/>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25334E7"/>
    <w:multiLevelType w:val="hybridMultilevel"/>
    <w:tmpl w:val="8378384E"/>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78577A"/>
    <w:multiLevelType w:val="hybridMultilevel"/>
    <w:tmpl w:val="6888C224"/>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081855"/>
    <w:multiLevelType w:val="hybridMultilevel"/>
    <w:tmpl w:val="71E28352"/>
    <w:lvl w:ilvl="0" w:tplc="D36A2226">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1F"/>
    <w:rsid w:val="0015301F"/>
    <w:rsid w:val="0024018D"/>
    <w:rsid w:val="006E5682"/>
    <w:rsid w:val="00963BA6"/>
    <w:rsid w:val="00FD76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A5FB"/>
  <w15:chartTrackingRefBased/>
  <w15:docId w15:val="{220CF63B-C51B-4A09-8F2C-467EA4E1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01F"/>
    <w:pPr>
      <w:autoSpaceDE w:val="0"/>
      <w:autoSpaceDN w:val="0"/>
      <w:spacing w:before="0" w:beforeAutospacing="0"/>
    </w:pPr>
    <w:rPr>
      <w:rFonts w:ascii="Times New Roman" w:eastAsia="Times New Roman" w:hAnsi="Times New Roman" w:cs="Times New Roman"/>
      <w:lang w:eastAsia="cs-CZ"/>
    </w:rPr>
  </w:style>
  <w:style w:type="paragraph" w:styleId="Nadpis1">
    <w:name w:val="heading 1"/>
    <w:basedOn w:val="Normln"/>
    <w:next w:val="Normln"/>
    <w:link w:val="Nadpis1Char"/>
    <w:qFormat/>
    <w:rsid w:val="0015301F"/>
    <w:pPr>
      <w:keepNext/>
      <w:spacing w:before="120"/>
      <w:jc w:val="center"/>
      <w:outlineLvl w:val="0"/>
    </w:pPr>
    <w:rPr>
      <w:b/>
      <w:bCs/>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5301F"/>
    <w:rPr>
      <w:rFonts w:ascii="Times New Roman" w:eastAsia="Times New Roman" w:hAnsi="Times New Roman" w:cs="Times New Roman"/>
      <w:b/>
      <w:bCs/>
      <w:kern w:val="28"/>
      <w:sz w:val="28"/>
      <w:szCs w:val="28"/>
      <w:lang w:eastAsia="cs-CZ"/>
    </w:rPr>
  </w:style>
  <w:style w:type="paragraph" w:styleId="Zhlav">
    <w:name w:val="header"/>
    <w:basedOn w:val="Normln"/>
    <w:link w:val="ZhlavChar"/>
    <w:rsid w:val="0015301F"/>
    <w:pPr>
      <w:tabs>
        <w:tab w:val="center" w:pos="4536"/>
        <w:tab w:val="right" w:pos="9072"/>
      </w:tabs>
    </w:pPr>
  </w:style>
  <w:style w:type="character" w:customStyle="1" w:styleId="ZhlavChar">
    <w:name w:val="Záhlaví Char"/>
    <w:basedOn w:val="Standardnpsmoodstavce"/>
    <w:link w:val="Zhlav"/>
    <w:rsid w:val="0015301F"/>
    <w:rPr>
      <w:rFonts w:ascii="Times New Roman" w:eastAsia="Times New Roman" w:hAnsi="Times New Roman" w:cs="Times New Roman"/>
      <w:lang w:eastAsia="cs-CZ"/>
    </w:rPr>
  </w:style>
  <w:style w:type="character" w:styleId="slostrnky">
    <w:name w:val="page number"/>
    <w:basedOn w:val="Standardnpsmoodstavce"/>
    <w:rsid w:val="0015301F"/>
  </w:style>
  <w:style w:type="character" w:styleId="Siln">
    <w:name w:val="Strong"/>
    <w:qFormat/>
    <w:rsid w:val="0015301F"/>
    <w:rPr>
      <w:b/>
      <w:bCs/>
    </w:rPr>
  </w:style>
  <w:style w:type="paragraph" w:styleId="Zpat">
    <w:name w:val="footer"/>
    <w:basedOn w:val="Normln"/>
    <w:link w:val="ZpatChar"/>
    <w:uiPriority w:val="99"/>
    <w:unhideWhenUsed/>
    <w:rsid w:val="006E5682"/>
    <w:pPr>
      <w:tabs>
        <w:tab w:val="center" w:pos="4536"/>
        <w:tab w:val="right" w:pos="9072"/>
      </w:tabs>
    </w:pPr>
  </w:style>
  <w:style w:type="character" w:customStyle="1" w:styleId="ZpatChar">
    <w:name w:val="Zápatí Char"/>
    <w:basedOn w:val="Standardnpsmoodstavce"/>
    <w:link w:val="Zpat"/>
    <w:uiPriority w:val="99"/>
    <w:rsid w:val="006E5682"/>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1875</Words>
  <Characters>11068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Bauerová</dc:creator>
  <cp:keywords/>
  <dc:description/>
  <cp:lastModifiedBy>Jana Bauerová</cp:lastModifiedBy>
  <cp:revision>2</cp:revision>
  <dcterms:created xsi:type="dcterms:W3CDTF">2023-12-29T06:54:00Z</dcterms:created>
  <dcterms:modified xsi:type="dcterms:W3CDTF">2023-12-29T08:18:00Z</dcterms:modified>
</cp:coreProperties>
</file>