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2D3D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A3A4A3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93CE2C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4FD5209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E4F5BED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586799A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2F3CF02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2E592CD6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2E19CE8E" w14:textId="7D8E321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175C77">
        <w:rPr>
          <w:sz w:val="24"/>
          <w:szCs w:val="24"/>
        </w:rPr>
        <w:t xml:space="preserve">Pavlem </w:t>
      </w:r>
      <w:proofErr w:type="spellStart"/>
      <w:r w:rsidR="00175C77">
        <w:rPr>
          <w:sz w:val="24"/>
          <w:szCs w:val="24"/>
        </w:rPr>
        <w:t>Bouchnerem</w:t>
      </w:r>
      <w:proofErr w:type="spellEnd"/>
    </w:p>
    <w:p w14:paraId="2F15FBFF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79713A61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07D985CA" w14:textId="21C363AC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B500EF">
        <w:rPr>
          <w:sz w:val="24"/>
          <w:szCs w:val="24"/>
        </w:rPr>
        <w:t>xxx</w:t>
      </w:r>
      <w:proofErr w:type="spellEnd"/>
    </w:p>
    <w:p w14:paraId="3EEE553F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58493AEF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0C66D5F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02C2BB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1995FF6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2A739F75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30B91635" w14:textId="5BFDE547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 xml:space="preserve">Jitkou Fučíkovou, </w:t>
      </w:r>
    </w:p>
    <w:p w14:paraId="4795CCC4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58DD490D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3C486D5C" w14:textId="0BEB108D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  <w:r w:rsidR="00B500EF">
        <w:rPr>
          <w:sz w:val="24"/>
          <w:szCs w:val="24"/>
        </w:rPr>
        <w:t>xxx</w:t>
      </w:r>
    </w:p>
    <w:p w14:paraId="41984301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094F5C60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44978EA4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547F329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34482D9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00A789C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CC1E8B1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60896F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294FC5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68A26C4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3A1FC5B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6FF1D27A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B2484F6" w14:textId="0E09D542" w:rsidR="00B862A2" w:rsidRPr="00260BD6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 xml:space="preserve">1. </w:t>
      </w:r>
      <w:r w:rsidRPr="00B538C6">
        <w:rPr>
          <w:sz w:val="22"/>
          <w:szCs w:val="22"/>
        </w:rPr>
        <w:t>Poskytovatel podle této smlouvy poskytne za podmínek stanovených touto smlouvou příjemci</w:t>
      </w:r>
      <w:r w:rsidR="002450A6" w:rsidRPr="00B538C6">
        <w:rPr>
          <w:sz w:val="22"/>
          <w:szCs w:val="22"/>
        </w:rPr>
        <w:t xml:space="preserve"> </w:t>
      </w:r>
      <w:r w:rsidRPr="00B538C6">
        <w:rPr>
          <w:sz w:val="22"/>
          <w:szCs w:val="22"/>
        </w:rPr>
        <w:t>neinvestiční dotaci k následujícímu účelu (z žádosti): n</w:t>
      </w:r>
      <w:r w:rsidR="003A117C">
        <w:rPr>
          <w:sz w:val="22"/>
          <w:szCs w:val="22"/>
        </w:rPr>
        <w:t xml:space="preserve">áklady </w:t>
      </w:r>
      <w:r w:rsidR="00011A3D">
        <w:rPr>
          <w:sz w:val="22"/>
          <w:szCs w:val="22"/>
        </w:rPr>
        <w:t xml:space="preserve">na zpracování projektové dokumentace </w:t>
      </w:r>
      <w:r w:rsidR="00011A3D" w:rsidRPr="00260BD6">
        <w:rPr>
          <w:sz w:val="22"/>
          <w:szCs w:val="22"/>
        </w:rPr>
        <w:t>– parkoviště</w:t>
      </w:r>
      <w:r w:rsidR="00260BD6" w:rsidRPr="00260BD6">
        <w:rPr>
          <w:sz w:val="22"/>
          <w:szCs w:val="22"/>
        </w:rPr>
        <w:t>, jižní plochy u objektů Opolského 144 a Opolského 148,</w:t>
      </w:r>
      <w:r w:rsidR="00011A3D" w:rsidRPr="00260BD6">
        <w:rPr>
          <w:sz w:val="22"/>
          <w:szCs w:val="22"/>
        </w:rPr>
        <w:t xml:space="preserve"> Nová Paka.</w:t>
      </w:r>
    </w:p>
    <w:p w14:paraId="330DA7E9" w14:textId="3BD16E45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175C77">
        <w:rPr>
          <w:sz w:val="22"/>
          <w:szCs w:val="22"/>
        </w:rPr>
        <w:t>23</w:t>
      </w:r>
      <w:r>
        <w:rPr>
          <w:sz w:val="22"/>
          <w:szCs w:val="22"/>
        </w:rPr>
        <w:t>.</w:t>
      </w:r>
    </w:p>
    <w:p w14:paraId="2DEF67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Nebude-li poskytnutá dotace použita k uvedenému účelu a stanovené době, je příjemce povinen dotaci vrátit poskytovateli.</w:t>
      </w:r>
    </w:p>
    <w:p w14:paraId="5466E74C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AC432B8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23DA63B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C30E131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4A3BC9A0" w14:textId="03116746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r w:rsidR="00260BD6">
        <w:rPr>
          <w:b/>
          <w:bCs/>
          <w:color w:val="000000" w:themeColor="text1"/>
          <w:sz w:val="22"/>
          <w:szCs w:val="22"/>
        </w:rPr>
        <w:t>6</w:t>
      </w:r>
      <w:r w:rsidR="00011A3D" w:rsidRPr="00011A3D">
        <w:rPr>
          <w:b/>
          <w:bCs/>
          <w:color w:val="000000" w:themeColor="text1"/>
          <w:sz w:val="22"/>
          <w:szCs w:val="22"/>
        </w:rPr>
        <w:t>00 000</w:t>
      </w:r>
      <w:r w:rsidRPr="00011A3D">
        <w:rPr>
          <w:b/>
          <w:bCs/>
          <w:color w:val="000000" w:themeColor="text1"/>
          <w:sz w:val="22"/>
          <w:szCs w:val="22"/>
        </w:rPr>
        <w:t>,-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260BD6">
        <w:rPr>
          <w:color w:val="000000" w:themeColor="text1"/>
          <w:sz w:val="22"/>
          <w:szCs w:val="22"/>
        </w:rPr>
        <w:t>šest set</w:t>
      </w:r>
      <w:r w:rsidR="00173503">
        <w:rPr>
          <w:color w:val="000000" w:themeColor="text1"/>
          <w:sz w:val="22"/>
          <w:szCs w:val="22"/>
        </w:rPr>
        <w:t xml:space="preserve">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="00011A3D">
        <w:rPr>
          <w:color w:val="000000" w:themeColor="text1"/>
          <w:sz w:val="22"/>
          <w:szCs w:val="22"/>
        </w:rPr>
        <w:t xml:space="preserve"> </w:t>
      </w:r>
      <w:r w:rsidRPr="00827B45">
        <w:rPr>
          <w:color w:val="000000" w:themeColor="text1"/>
          <w:sz w:val="22"/>
          <w:szCs w:val="22"/>
        </w:rPr>
        <w:t>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72B2DB2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528DA9A7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FB240B7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1469662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2A81A0F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4A081A2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3E0843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473D0C58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C0F680F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4617C3FE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8C6B82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A9256B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7B15F2C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140F10D6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2105AE19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462AAC25" w14:textId="77777777" w:rsidR="003A117C" w:rsidRDefault="003A117C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1F4AC14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27A618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3BFCE91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7086D7CB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01168AE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36E99E4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B69ACB6" w14:textId="77777777" w:rsidR="00B862A2" w:rsidRDefault="00B862A2" w:rsidP="00B862A2">
      <w:pPr>
        <w:pStyle w:val="Standard"/>
        <w:jc w:val="both"/>
      </w:pPr>
    </w:p>
    <w:p w14:paraId="60139BF4" w14:textId="77777777" w:rsidR="00B862A2" w:rsidRDefault="00B862A2" w:rsidP="00B862A2">
      <w:pPr>
        <w:pStyle w:val="Standard"/>
        <w:jc w:val="both"/>
      </w:pPr>
    </w:p>
    <w:p w14:paraId="6B52D7AC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428E13C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F55AF7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6539149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59D7ACB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209A36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6CD6AE0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189D46A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6FA6B375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93F7E3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3DB22B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48CF623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56F746A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675F0FE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4F1B51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07BDC2C0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Spory z právních poměrů při poskytnutí dotace dle této smlouvy rozhoduje podle správního řádu Krajský úřad Královéhradeckého kraje.</w:t>
      </w:r>
    </w:p>
    <w:p w14:paraId="15E4EF7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AC41036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EAEA8E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2D91A1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46F1269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C62A86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5FE2612F" w14:textId="552A64B6" w:rsidR="00B862A2" w:rsidRPr="00162983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 w:themeColor="text1"/>
        </w:rPr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175C77">
        <w:rPr>
          <w:color w:val="000000" w:themeColor="text1"/>
          <w:sz w:val="22"/>
          <w:szCs w:val="22"/>
        </w:rPr>
        <w:t xml:space="preserve">usnesením číslo </w:t>
      </w:r>
      <w:r w:rsidR="0068490D">
        <w:rPr>
          <w:color w:val="000000" w:themeColor="text1"/>
          <w:sz w:val="22"/>
          <w:szCs w:val="22"/>
        </w:rPr>
        <w:t>175</w:t>
      </w:r>
      <w:r w:rsidR="00175C77">
        <w:rPr>
          <w:color w:val="000000" w:themeColor="text1"/>
          <w:sz w:val="22"/>
          <w:szCs w:val="22"/>
        </w:rPr>
        <w:t xml:space="preserve"> </w:t>
      </w:r>
      <w:r w:rsidR="00162983" w:rsidRPr="00162983">
        <w:rPr>
          <w:color w:val="000000" w:themeColor="text1"/>
          <w:sz w:val="22"/>
          <w:szCs w:val="22"/>
        </w:rPr>
        <w:t xml:space="preserve">na svém zasedání </w:t>
      </w:r>
      <w:proofErr w:type="gramStart"/>
      <w:r w:rsidR="00162983" w:rsidRPr="00162983">
        <w:rPr>
          <w:color w:val="000000" w:themeColor="text1"/>
          <w:sz w:val="22"/>
          <w:szCs w:val="22"/>
        </w:rPr>
        <w:t xml:space="preserve">dne </w:t>
      </w:r>
      <w:r w:rsidR="00260BD6">
        <w:rPr>
          <w:color w:val="000000" w:themeColor="text1"/>
          <w:sz w:val="22"/>
          <w:szCs w:val="22"/>
        </w:rPr>
        <w:t xml:space="preserve"> 11.12.2023.</w:t>
      </w:r>
      <w:proofErr w:type="gramEnd"/>
    </w:p>
    <w:p w14:paraId="0AB74103" w14:textId="77777777" w:rsidR="00B862A2" w:rsidRPr="00162983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  <w:color w:val="000000" w:themeColor="text1"/>
        </w:rPr>
      </w:pPr>
    </w:p>
    <w:p w14:paraId="3345CA03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63983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2D3B951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6F7946DE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5852EA7F" w14:textId="6FF6B9EA" w:rsidR="00175C77" w:rsidRPr="00175C77" w:rsidRDefault="00162983" w:rsidP="00175C77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C94EE4">
        <w:rPr>
          <w:sz w:val="22"/>
          <w:szCs w:val="22"/>
        </w:rPr>
        <w:t>15.12.2023</w:t>
      </w:r>
    </w:p>
    <w:p w14:paraId="2078F846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5BD95E8F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D0D789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48D79D6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BF72BC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55A14DBE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28305BC0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623C938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8F4F73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BCC9E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9A835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BADE4D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931018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81416F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5C2F9A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3F0140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C3CDEED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6412581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C48A5F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1A150334" w14:textId="60B56A1C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75C77">
        <w:rPr>
          <w:sz w:val="22"/>
          <w:szCs w:val="22"/>
        </w:rPr>
        <w:t xml:space="preserve"> Pavel Bouchner </w:t>
      </w:r>
      <w:r>
        <w:rPr>
          <w:sz w:val="22"/>
          <w:szCs w:val="22"/>
        </w:rPr>
        <w:t xml:space="preserve">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3289405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36C34B26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7D26C7A5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53C5F2C9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6BFFEDF2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4585074" w14:textId="77777777" w:rsidR="00B862A2" w:rsidRDefault="00B862A2" w:rsidP="00B862A2">
      <w:pPr>
        <w:pStyle w:val="Standard"/>
      </w:pPr>
    </w:p>
    <w:p w14:paraId="5B134F93" w14:textId="77777777" w:rsidR="00B862A2" w:rsidRDefault="00B862A2" w:rsidP="00B862A2"/>
    <w:p w14:paraId="0EE0A7A7" w14:textId="77777777" w:rsidR="00B862A2" w:rsidRDefault="00B862A2" w:rsidP="00B862A2"/>
    <w:p w14:paraId="5B8C5EB3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11A3D"/>
    <w:rsid w:val="0015451C"/>
    <w:rsid w:val="00162983"/>
    <w:rsid w:val="00173503"/>
    <w:rsid w:val="00175C77"/>
    <w:rsid w:val="001B20D6"/>
    <w:rsid w:val="002450A6"/>
    <w:rsid w:val="00260BD6"/>
    <w:rsid w:val="002B4F7E"/>
    <w:rsid w:val="003A117C"/>
    <w:rsid w:val="004463E8"/>
    <w:rsid w:val="004E6F3F"/>
    <w:rsid w:val="004F1E58"/>
    <w:rsid w:val="005A5ADA"/>
    <w:rsid w:val="005C7E96"/>
    <w:rsid w:val="005D0B95"/>
    <w:rsid w:val="005E7260"/>
    <w:rsid w:val="00606F8F"/>
    <w:rsid w:val="0068490D"/>
    <w:rsid w:val="006E5732"/>
    <w:rsid w:val="007445E6"/>
    <w:rsid w:val="00827B45"/>
    <w:rsid w:val="00922972"/>
    <w:rsid w:val="00993110"/>
    <w:rsid w:val="00A81695"/>
    <w:rsid w:val="00B500EF"/>
    <w:rsid w:val="00B538C6"/>
    <w:rsid w:val="00B862A2"/>
    <w:rsid w:val="00B94361"/>
    <w:rsid w:val="00C4210B"/>
    <w:rsid w:val="00C85895"/>
    <w:rsid w:val="00C94EE4"/>
    <w:rsid w:val="00D36F7A"/>
    <w:rsid w:val="00D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55"/>
  <w15:docId w15:val="{28213587-0C19-450B-8DE6-9AB3424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1273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2023-12-28T09:07:00Z</cp:lastPrinted>
  <dcterms:created xsi:type="dcterms:W3CDTF">2023-12-28T09:11:00Z</dcterms:created>
  <dcterms:modified xsi:type="dcterms:W3CDTF">2023-12-28T09:11:00Z</dcterms:modified>
</cp:coreProperties>
</file>