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3144" w:right="3148"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7221100168</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KV2</w:t>
      </w:r>
      <w:r>
        <w:rPr>
          <w:spacing w:val="-6"/>
        </w:rPr>
        <w:t> </w:t>
      </w:r>
      <w:r>
        <w:rPr/>
        <w:t>Audio</w:t>
      </w:r>
      <w:r>
        <w:rPr>
          <w:spacing w:val="-5"/>
        </w:rPr>
        <w:t> </w:t>
      </w:r>
      <w:r>
        <w:rPr/>
        <w:t>International</w:t>
      </w:r>
      <w:r>
        <w:rPr>
          <w:spacing w:val="-4"/>
        </w:rPr>
        <w:t> </w:t>
      </w:r>
      <w:r>
        <w:rPr/>
        <w:t>spol.</w:t>
      </w:r>
      <w:r>
        <w:rPr>
          <w:spacing w:val="-5"/>
        </w:rPr>
        <w:t> </w:t>
      </w:r>
      <w:r>
        <w:rPr/>
        <w:t>s</w:t>
      </w:r>
      <w:r>
        <w:rPr>
          <w:spacing w:val="-4"/>
        </w:rPr>
        <w:t> r.o.</w:t>
      </w:r>
    </w:p>
    <w:p>
      <w:pPr>
        <w:pStyle w:val="BodyText"/>
        <w:ind w:left="102"/>
      </w:pPr>
      <w:r>
        <w:rPr/>
        <w:t>obchodní společnost zapsaná v obchodním rejstříku vedeném Krajským soudem v Českých Budějovicích,, oddíl C, vložka 11239</w:t>
      </w:r>
    </w:p>
    <w:p>
      <w:pPr>
        <w:pStyle w:val="BodyText"/>
        <w:tabs>
          <w:tab w:pos="2982" w:val="left" w:leader="none"/>
        </w:tabs>
        <w:spacing w:line="265" w:lineRule="exact"/>
        <w:ind w:left="102"/>
      </w:pPr>
      <w:r>
        <w:rPr/>
        <w:t>se</w:t>
      </w:r>
      <w:r>
        <w:rPr>
          <w:spacing w:val="-5"/>
        </w:rPr>
        <w:t> </w:t>
      </w:r>
      <w:r>
        <w:rPr>
          <w:spacing w:val="-2"/>
        </w:rPr>
        <w:t>sídlem:</w:t>
      </w:r>
      <w:r>
        <w:rPr/>
        <w:tab/>
        <w:t>Nádražní</w:t>
      </w:r>
      <w:r>
        <w:rPr>
          <w:spacing w:val="-6"/>
        </w:rPr>
        <w:t> </w:t>
      </w:r>
      <w:r>
        <w:rPr/>
        <w:t>936,</w:t>
      </w:r>
      <w:r>
        <w:rPr>
          <w:spacing w:val="-5"/>
        </w:rPr>
        <w:t> </w:t>
      </w:r>
      <w:r>
        <w:rPr/>
        <w:t>399</w:t>
      </w:r>
      <w:r>
        <w:rPr>
          <w:spacing w:val="-2"/>
        </w:rPr>
        <w:t> </w:t>
      </w:r>
      <w:r>
        <w:rPr/>
        <w:t>01</w:t>
      </w:r>
      <w:r>
        <w:rPr>
          <w:spacing w:val="-4"/>
        </w:rPr>
        <w:t> </w:t>
      </w:r>
      <w:r>
        <w:rPr>
          <w:spacing w:val="-2"/>
        </w:rPr>
        <w:t>Milevsko</w:t>
      </w:r>
    </w:p>
    <w:p>
      <w:pPr>
        <w:pStyle w:val="BodyText"/>
        <w:tabs>
          <w:tab w:pos="2982" w:val="left" w:leader="none"/>
        </w:tabs>
        <w:ind w:left="102"/>
      </w:pPr>
      <w:r>
        <w:rPr>
          <w:spacing w:val="-4"/>
        </w:rPr>
        <w:t>IČO:</w:t>
      </w:r>
      <w:r>
        <w:rPr>
          <w:rFonts w:ascii="Times New Roman" w:hAnsi="Times New Roman"/>
        </w:rPr>
        <w:tab/>
      </w:r>
      <w:r>
        <w:rPr>
          <w:spacing w:val="-2"/>
        </w:rPr>
        <w:t>26051591</w:t>
      </w:r>
    </w:p>
    <w:p>
      <w:pPr>
        <w:pStyle w:val="BodyText"/>
        <w:tabs>
          <w:tab w:pos="2982" w:val="left" w:leader="none"/>
        </w:tabs>
        <w:spacing w:before="1"/>
        <w:ind w:left="102"/>
      </w:pPr>
      <w:r>
        <w:rPr>
          <w:spacing w:val="-2"/>
        </w:rPr>
        <w:t>zastoupená:</w:t>
      </w:r>
      <w:r>
        <w:rPr/>
        <w:tab/>
        <w:t>Jiřím</w:t>
      </w:r>
      <w:r>
        <w:rPr>
          <w:spacing w:val="-1"/>
        </w:rPr>
        <w:t> </w:t>
      </w:r>
      <w:r>
        <w:rPr/>
        <w:t>K</w:t>
      </w:r>
      <w:r>
        <w:rPr>
          <w:spacing w:val="-1"/>
        </w:rPr>
        <w:t> </w:t>
      </w:r>
      <w:r>
        <w:rPr/>
        <w:t>r</w:t>
      </w:r>
      <w:r>
        <w:rPr>
          <w:spacing w:val="52"/>
        </w:rPr>
        <w:t> </w:t>
      </w:r>
      <w:r>
        <w:rPr/>
        <w:t>a</w:t>
      </w:r>
      <w:r>
        <w:rPr>
          <w:spacing w:val="-2"/>
        </w:rPr>
        <w:t> </w:t>
      </w:r>
      <w:r>
        <w:rPr/>
        <w:t>m</w:t>
      </w:r>
      <w:r>
        <w:rPr>
          <w:spacing w:val="-1"/>
        </w:rPr>
        <w:t> </w:t>
      </w:r>
      <w:r>
        <w:rPr/>
        <w:t>p</w:t>
      </w:r>
      <w:r>
        <w:rPr>
          <w:spacing w:val="-1"/>
        </w:rPr>
        <w:t> </w:t>
      </w:r>
      <w:r>
        <w:rPr/>
        <w:t>e</w:t>
      </w:r>
      <w:r>
        <w:rPr>
          <w:spacing w:val="-2"/>
        </w:rPr>
        <w:t> </w:t>
      </w:r>
      <w:r>
        <w:rPr/>
        <w:t>r</w:t>
      </w:r>
      <w:r>
        <w:rPr>
          <w:spacing w:val="-1"/>
        </w:rPr>
        <w:t> </w:t>
      </w:r>
      <w:r>
        <w:rPr/>
        <w:t>o</w:t>
      </w:r>
      <w:r>
        <w:rPr>
          <w:spacing w:val="-1"/>
        </w:rPr>
        <w:t> </w:t>
      </w:r>
      <w:r>
        <w:rPr/>
        <w:t>u,</w:t>
      </w:r>
      <w:r>
        <w:rPr>
          <w:spacing w:val="-3"/>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Československá</w:t>
      </w:r>
      <w:r>
        <w:rPr>
          <w:spacing w:val="-12"/>
        </w:rPr>
        <w:t> </w:t>
      </w:r>
      <w:r>
        <w:rPr/>
        <w:t>obchodní</w:t>
      </w:r>
      <w:r>
        <w:rPr>
          <w:spacing w:val="-12"/>
        </w:rPr>
        <w:t> </w:t>
      </w:r>
      <w:r>
        <w:rPr/>
        <w:t>banka,</w:t>
      </w:r>
      <w:r>
        <w:rPr>
          <w:spacing w:val="-9"/>
        </w:rPr>
        <w:t> </w:t>
      </w:r>
      <w:r>
        <w:rPr>
          <w:spacing w:val="-4"/>
        </w:rPr>
        <w:t>a.s.</w:t>
      </w:r>
    </w:p>
    <w:p>
      <w:pPr>
        <w:pStyle w:val="BodyText"/>
        <w:tabs>
          <w:tab w:pos="2982" w:val="left" w:leader="none"/>
        </w:tabs>
        <w:spacing w:before="1"/>
        <w:ind w:left="102"/>
      </w:pPr>
      <w:r>
        <w:rPr/>
        <w:t>číslo</w:t>
      </w:r>
      <w:r>
        <w:rPr>
          <w:spacing w:val="-8"/>
        </w:rPr>
        <w:t> </w:t>
      </w:r>
      <w:r>
        <w:rPr>
          <w:spacing w:val="-2"/>
        </w:rPr>
        <w:t>účtu:</w:t>
      </w:r>
      <w:r>
        <w:rPr/>
        <w:tab/>
      </w:r>
      <w:r>
        <w:rPr>
          <w:w w:val="95"/>
        </w:rPr>
        <w:t>000000-</w:t>
      </w:r>
      <w:r>
        <w:rPr>
          <w:spacing w:val="-2"/>
        </w:rPr>
        <w:t>0179999714/0300</w:t>
      </w:r>
    </w:p>
    <w:p>
      <w:pPr>
        <w:pStyle w:val="BodyText"/>
      </w:pPr>
    </w:p>
    <w:p>
      <w:pPr>
        <w:pStyle w:val="BodyText"/>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ind w:left="3139" w:right="3148"/>
      </w:pPr>
      <w:r>
        <w:rPr>
          <w:spacing w:val="-5"/>
        </w:rPr>
        <w:t>I.</w:t>
      </w:r>
    </w:p>
    <w:p>
      <w:pPr>
        <w:pStyle w:val="Heading2"/>
        <w:ind w:right="1060"/>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spacing w:before="1"/>
        <w:ind w:left="385" w:right="109"/>
        <w:jc w:val="both"/>
      </w:pPr>
      <w:r>
        <w:rPr/>
        <w:t>„Smlouva“) se uzavírá na základě Rozhodnutí ministra životního prostředí č. 7221100168 o poskytnutí finančních prostředků ze Státního fondu životního prostředí ČR ze dne 22.11.2023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69"/>
        <w:jc w:val="left"/>
      </w:pPr>
      <w:r>
        <w:rPr/>
        <w:t>„FVE</w:t>
      </w:r>
      <w:r>
        <w:rPr>
          <w:spacing w:val="-8"/>
        </w:rPr>
        <w:t> </w:t>
      </w:r>
      <w:r>
        <w:rPr/>
        <w:t>KV2</w:t>
      </w:r>
      <w:r>
        <w:rPr>
          <w:spacing w:val="-4"/>
        </w:rPr>
        <w:t> </w:t>
      </w:r>
      <w:r>
        <w:rPr/>
        <w:t>Audio</w:t>
      </w:r>
      <w:r>
        <w:rPr>
          <w:spacing w:val="-6"/>
        </w:rPr>
        <w:t> </w:t>
      </w:r>
      <w:r>
        <w:rPr>
          <w:spacing w:val="-2"/>
        </w:rPr>
        <w:t>International“</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 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0"/>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0"/>
          <w:sz w:val="20"/>
        </w:rPr>
        <w:t> </w:t>
      </w:r>
      <w:r>
        <w:rPr>
          <w:sz w:val="20"/>
        </w:rPr>
        <w:t>v</w:t>
      </w:r>
      <w:r>
        <w:rPr>
          <w:spacing w:val="-11"/>
          <w:sz w:val="20"/>
        </w:rPr>
        <w:t> </w:t>
      </w:r>
      <w:r>
        <w:rPr>
          <w:sz w:val="20"/>
        </w:rPr>
        <w:t>Úředním</w:t>
      </w:r>
      <w:r>
        <w:rPr>
          <w:spacing w:val="-10"/>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right="703"/>
      </w:pPr>
      <w:r>
        <w:rPr>
          <w:spacing w:val="-5"/>
        </w:rPr>
        <w:t>II.</w:t>
      </w:r>
    </w:p>
    <w:p>
      <w:pPr>
        <w:pStyle w:val="Heading2"/>
        <w:ind w:right="702"/>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2"/>
          <w:sz w:val="20"/>
        </w:rPr>
        <w:t> </w:t>
      </w:r>
      <w:r>
        <w:rPr>
          <w:b/>
          <w:sz w:val="20"/>
        </w:rPr>
        <w:t>667</w:t>
      </w:r>
      <w:r>
        <w:rPr>
          <w:b/>
          <w:spacing w:val="-2"/>
          <w:sz w:val="20"/>
        </w:rPr>
        <w:t> </w:t>
      </w:r>
      <w:r>
        <w:rPr>
          <w:b/>
          <w:sz w:val="20"/>
        </w:rPr>
        <w:t>627,20 Kč </w:t>
      </w:r>
      <w:r>
        <w:rPr>
          <w:sz w:val="20"/>
        </w:rPr>
        <w:t>(slovy: jeden milion šest set šedesát sedm tisíc šest set dvacet sedm korun českých a dvacet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5 840 500,00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spacing w:before="1"/>
        <w:ind w:left="385"/>
        <w:jc w:val="both"/>
      </w:pPr>
      <w:r>
        <w:rPr/>
        <w:t>10</w:t>
      </w:r>
      <w:r>
        <w:rPr>
          <w:spacing w:val="-3"/>
        </w:rPr>
        <w:t> </w:t>
      </w:r>
      <w:r>
        <w:rPr>
          <w:spacing w:val="-2"/>
        </w:rPr>
        <w:t>Výzvy.</w:t>
      </w:r>
    </w:p>
    <w:p>
      <w:pPr>
        <w:pStyle w:val="BodyText"/>
      </w:pPr>
    </w:p>
    <w:p>
      <w:pPr>
        <w:pStyle w:val="Heading1"/>
        <w:spacing w:before="1"/>
        <w:ind w:right="1060"/>
      </w:pPr>
      <w:r>
        <w:rPr>
          <w:spacing w:val="-4"/>
        </w:rPr>
        <w:t>III.</w:t>
      </w:r>
    </w:p>
    <w:p>
      <w:pPr>
        <w:pStyle w:val="Heading2"/>
        <w:ind w:right="1060"/>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65" w:lineRule="exact" w:before="1"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0"/>
          <w:sz w:val="20"/>
        </w:rPr>
        <w:t> </w:t>
      </w:r>
      <w:r>
        <w:rPr>
          <w:sz w:val="20"/>
        </w:rPr>
        <w:t>bankovním</w:t>
      </w:r>
      <w:r>
        <w:rPr>
          <w:spacing w:val="22"/>
          <w:sz w:val="20"/>
        </w:rPr>
        <w:t> </w:t>
      </w:r>
      <w:r>
        <w:rPr>
          <w:sz w:val="20"/>
        </w:rPr>
        <w:t>převodem</w:t>
      </w:r>
      <w:r>
        <w:rPr>
          <w:spacing w:val="21"/>
          <w:sz w:val="20"/>
        </w:rPr>
        <w:t> </w:t>
      </w:r>
      <w:r>
        <w:rPr>
          <w:sz w:val="20"/>
        </w:rPr>
        <w:t>peněžních</w:t>
      </w:r>
      <w:r>
        <w:rPr>
          <w:spacing w:val="21"/>
          <w:sz w:val="20"/>
        </w:rPr>
        <w:t> </w:t>
      </w:r>
      <w:r>
        <w:rPr>
          <w:sz w:val="20"/>
        </w:rPr>
        <w:t>prostředků</w:t>
      </w:r>
      <w:r>
        <w:rPr>
          <w:spacing w:val="20"/>
          <w:sz w:val="20"/>
        </w:rPr>
        <w:t> </w:t>
      </w:r>
      <w:r>
        <w:rPr>
          <w:sz w:val="20"/>
        </w:rPr>
        <w:t>z</w:t>
      </w:r>
      <w:r>
        <w:rPr>
          <w:spacing w:val="21"/>
          <w:sz w:val="20"/>
        </w:rPr>
        <w:t> </w:t>
      </w:r>
      <w:r>
        <w:rPr>
          <w:sz w:val="20"/>
        </w:rPr>
        <w:t>bankovního</w:t>
      </w:r>
      <w:r>
        <w:rPr>
          <w:spacing w:val="21"/>
          <w:sz w:val="20"/>
        </w:rPr>
        <w:t> </w:t>
      </w:r>
      <w:r>
        <w:rPr>
          <w:sz w:val="20"/>
        </w:rPr>
        <w:t>účtu</w:t>
      </w:r>
      <w:r>
        <w:rPr>
          <w:spacing w:val="19"/>
          <w:sz w:val="20"/>
        </w:rPr>
        <w:t> </w:t>
      </w:r>
      <w:r>
        <w:rPr>
          <w:sz w:val="20"/>
        </w:rPr>
        <w:t>Fondu</w:t>
      </w:r>
      <w:r>
        <w:rPr>
          <w:spacing w:val="24"/>
          <w:sz w:val="20"/>
        </w:rPr>
        <w:t> </w:t>
      </w:r>
      <w:r>
        <w:rPr>
          <w:spacing w:val="-5"/>
          <w:sz w:val="20"/>
        </w:rPr>
        <w:t>na</w:t>
      </w:r>
    </w:p>
    <w:p>
      <w:pPr>
        <w:pStyle w:val="BodyText"/>
        <w:spacing w:line="265" w:lineRule="exact"/>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pPr>
      <w:r>
        <w:rPr>
          <w:spacing w:val="-5"/>
        </w:rPr>
        <w:t>IV.</w:t>
      </w:r>
    </w:p>
    <w:p>
      <w:pPr>
        <w:pStyle w:val="Heading2"/>
        <w:ind w:right="1058"/>
      </w:pPr>
      <w:r>
        <w:rPr/>
        <w:t>Základní</w:t>
      </w:r>
      <w:r>
        <w:rPr>
          <w:spacing w:val="-7"/>
        </w:rPr>
        <w:t> </w:t>
      </w:r>
      <w:r>
        <w:rPr/>
        <w:t>závazky</w:t>
      </w:r>
      <w:r>
        <w:rPr>
          <w:spacing w:val="-7"/>
        </w:rPr>
        <w:t> </w:t>
      </w:r>
      <w:r>
        <w:rPr/>
        <w:t>a</w:t>
      </w:r>
      <w:r>
        <w:rPr>
          <w:spacing w:val="-7"/>
        </w:rPr>
        <w:t> </w:t>
      </w:r>
      <w:r>
        <w:rPr/>
        <w:t>další</w:t>
      </w:r>
      <w:r>
        <w:rPr>
          <w:spacing w:val="-4"/>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w:t>
      </w:r>
      <w:r>
        <w:rPr>
          <w:spacing w:val="29"/>
          <w:sz w:val="20"/>
        </w:rPr>
        <w:t> </w:t>
      </w:r>
      <w:r>
        <w:rPr>
          <w:sz w:val="20"/>
        </w:rPr>
        <w:t>účel</w:t>
      </w:r>
      <w:r>
        <w:rPr>
          <w:spacing w:val="29"/>
          <w:sz w:val="20"/>
        </w:rPr>
        <w:t> </w:t>
      </w:r>
      <w:r>
        <w:rPr>
          <w:sz w:val="20"/>
        </w:rPr>
        <w:t>akce</w:t>
      </w:r>
      <w:r>
        <w:rPr>
          <w:spacing w:val="29"/>
          <w:sz w:val="20"/>
        </w:rPr>
        <w:t> </w:t>
      </w:r>
      <w:r>
        <w:rPr>
          <w:sz w:val="20"/>
        </w:rPr>
        <w:t>„FVE</w:t>
      </w:r>
      <w:r>
        <w:rPr>
          <w:spacing w:val="30"/>
          <w:sz w:val="20"/>
        </w:rPr>
        <w:t> </w:t>
      </w:r>
      <w:r>
        <w:rPr>
          <w:sz w:val="20"/>
        </w:rPr>
        <w:t>KV2</w:t>
      </w:r>
      <w:r>
        <w:rPr>
          <w:spacing w:val="28"/>
          <w:sz w:val="20"/>
        </w:rPr>
        <w:t> </w:t>
      </w:r>
      <w:r>
        <w:rPr>
          <w:sz w:val="20"/>
        </w:rPr>
        <w:t>Audio</w:t>
      </w:r>
      <w:r>
        <w:rPr>
          <w:spacing w:val="30"/>
          <w:sz w:val="20"/>
        </w:rPr>
        <w:t> </w:t>
      </w:r>
      <w:r>
        <w:rPr>
          <w:sz w:val="20"/>
        </w:rPr>
        <w:t>International“</w:t>
      </w:r>
      <w:r>
        <w:rPr>
          <w:spacing w:val="29"/>
          <w:sz w:val="20"/>
        </w:rPr>
        <w:t> </w:t>
      </w:r>
      <w:r>
        <w:rPr>
          <w:sz w:val="20"/>
        </w:rPr>
        <w:t>tím,</w:t>
      </w:r>
      <w:r>
        <w:rPr>
          <w:spacing w:val="30"/>
          <w:sz w:val="20"/>
        </w:rPr>
        <w:t> </w:t>
      </w:r>
      <w:r>
        <w:rPr>
          <w:sz w:val="20"/>
        </w:rPr>
        <w:t>že</w:t>
      </w:r>
      <w:r>
        <w:rPr>
          <w:spacing w:val="29"/>
          <w:sz w:val="20"/>
        </w:rPr>
        <w:t> </w:t>
      </w:r>
      <w:r>
        <w:rPr>
          <w:sz w:val="20"/>
        </w:rPr>
        <w:t>akce</w:t>
      </w:r>
      <w:r>
        <w:rPr>
          <w:spacing w:val="29"/>
          <w:sz w:val="20"/>
        </w:rPr>
        <w:t> </w:t>
      </w:r>
      <w:r>
        <w:rPr>
          <w:sz w:val="20"/>
        </w:rPr>
        <w:t>bude</w:t>
      </w:r>
      <w:r>
        <w:rPr>
          <w:spacing w:val="29"/>
          <w:sz w:val="20"/>
        </w:rPr>
        <w:t> </w:t>
      </w:r>
      <w:r>
        <w:rPr>
          <w:sz w:val="20"/>
        </w:rPr>
        <w:t>provedena</w:t>
      </w:r>
      <w:r>
        <w:rPr>
          <w:spacing w:val="29"/>
          <w:sz w:val="20"/>
        </w:rPr>
        <w:t> </w:t>
      </w:r>
      <w:r>
        <w:rPr>
          <w:sz w:val="20"/>
        </w:rPr>
        <w:t>v souladu</w:t>
      </w:r>
      <w:r>
        <w:rPr>
          <w:spacing w:val="29"/>
          <w:sz w:val="20"/>
        </w:rPr>
        <w:t> </w:t>
      </w:r>
      <w:r>
        <w:rPr>
          <w:sz w:val="20"/>
        </w:rPr>
        <w:t>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1" w:after="0"/>
        <w:ind w:left="745" w:right="10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w:t>
      </w:r>
      <w:r>
        <w:rPr>
          <w:spacing w:val="-14"/>
          <w:sz w:val="20"/>
        </w:rPr>
        <w:t> </w:t>
      </w:r>
      <w:r>
        <w:rPr>
          <w:sz w:val="20"/>
        </w:rPr>
        <w:t>výkonem</w:t>
      </w:r>
      <w:r>
        <w:rPr>
          <w:spacing w:val="-14"/>
          <w:sz w:val="20"/>
        </w:rPr>
        <w:t> </w:t>
      </w:r>
      <w:r>
        <w:rPr>
          <w:sz w:val="20"/>
        </w:rPr>
        <w:t>10,8</w:t>
      </w:r>
      <w:r>
        <w:rPr>
          <w:spacing w:val="-14"/>
          <w:sz w:val="20"/>
        </w:rPr>
        <w:t> </w:t>
      </w:r>
      <w:r>
        <w:rPr>
          <w:sz w:val="20"/>
        </w:rPr>
        <w:t>kWp,</w:t>
      </w:r>
      <w:r>
        <w:rPr>
          <w:spacing w:val="-13"/>
          <w:sz w:val="20"/>
        </w:rPr>
        <w:t> </w:t>
      </w:r>
      <w:r>
        <w:rPr>
          <w:sz w:val="20"/>
        </w:rPr>
        <w:t>dále</w:t>
      </w:r>
      <w:r>
        <w:rPr>
          <w:spacing w:val="-14"/>
          <w:sz w:val="20"/>
        </w:rPr>
        <w:t> </w:t>
      </w:r>
      <w:r>
        <w:rPr>
          <w:sz w:val="20"/>
        </w:rPr>
        <w:t>se</w:t>
      </w:r>
      <w:r>
        <w:rPr>
          <w:spacing w:val="-14"/>
          <w:sz w:val="20"/>
        </w:rPr>
        <w:t> </w:t>
      </w:r>
      <w:r>
        <w:rPr>
          <w:sz w:val="20"/>
        </w:rPr>
        <w:t>střešní</w:t>
      </w:r>
      <w:r>
        <w:rPr>
          <w:spacing w:val="-14"/>
          <w:sz w:val="20"/>
        </w:rPr>
        <w:t> </w:t>
      </w:r>
      <w:r>
        <w:rPr>
          <w:sz w:val="20"/>
        </w:rPr>
        <w:t>instalací</w:t>
      </w:r>
      <w:r>
        <w:rPr>
          <w:spacing w:val="-14"/>
          <w:sz w:val="20"/>
        </w:rPr>
        <w:t> </w:t>
      </w:r>
      <w:r>
        <w:rPr>
          <w:sz w:val="20"/>
        </w:rPr>
        <w:t>s</w:t>
      </w:r>
      <w:r>
        <w:rPr>
          <w:spacing w:val="-13"/>
          <w:sz w:val="20"/>
        </w:rPr>
        <w:t> </w:t>
      </w:r>
      <w:r>
        <w:rPr>
          <w:sz w:val="20"/>
        </w:rPr>
        <w:t>předpokládaným</w:t>
      </w:r>
      <w:r>
        <w:rPr>
          <w:spacing w:val="-14"/>
          <w:sz w:val="20"/>
        </w:rPr>
        <w:t> </w:t>
      </w:r>
      <w:r>
        <w:rPr>
          <w:sz w:val="20"/>
        </w:rPr>
        <w:t>výkonem</w:t>
      </w:r>
      <w:r>
        <w:rPr>
          <w:spacing w:val="-14"/>
          <w:sz w:val="20"/>
        </w:rPr>
        <w:t> </w:t>
      </w:r>
      <w:r>
        <w:rPr>
          <w:sz w:val="20"/>
        </w:rPr>
        <w:t>197,1</w:t>
      </w:r>
      <w:r>
        <w:rPr>
          <w:spacing w:val="-13"/>
          <w:sz w:val="20"/>
        </w:rPr>
        <w:t> </w:t>
      </w:r>
      <w:r>
        <w:rPr>
          <w:sz w:val="20"/>
        </w:rPr>
        <w:t>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Pr>
                <w:b/>
                <w:sz w:val="20"/>
              </w:rPr>
            </w:pPr>
            <w:r>
              <w:rPr>
                <w:b/>
                <w:spacing w:val="-2"/>
                <w:sz w:val="20"/>
              </w:rPr>
              <w:t>Výchozí</w:t>
            </w:r>
          </w:p>
          <w:p>
            <w:pPr>
              <w:pStyle w:val="TableParagraph"/>
              <w:ind w:left="106"/>
              <w:rPr>
                <w:b/>
                <w:sz w:val="20"/>
              </w:rPr>
            </w:pPr>
            <w:r>
              <w:rPr>
                <w:b/>
                <w:spacing w:val="-2"/>
                <w:sz w:val="20"/>
              </w:rPr>
              <w:t>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207.90</w:t>
            </w:r>
          </w:p>
        </w:tc>
      </w:tr>
      <w:tr>
        <w:trPr>
          <w:trHeight w:val="506" w:hRule="atLeast"/>
        </w:trPr>
        <w:tc>
          <w:tcPr>
            <w:tcW w:w="3749"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172.03</w:t>
            </w:r>
          </w:p>
        </w:tc>
      </w:tr>
      <w:tr>
        <w:trPr>
          <w:trHeight w:val="532" w:hRule="atLeast"/>
        </w:trPr>
        <w:tc>
          <w:tcPr>
            <w:tcW w:w="3749"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442.15</w:t>
            </w:r>
          </w:p>
        </w:tc>
      </w:tr>
      <w:tr>
        <w:trPr>
          <w:trHeight w:val="505" w:hRule="atLeast"/>
        </w:trPr>
        <w:tc>
          <w:tcPr>
            <w:tcW w:w="3749"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170.60</w:t>
            </w:r>
          </w:p>
        </w:tc>
      </w:tr>
    </w:tbl>
    <w:p>
      <w:pPr>
        <w:pStyle w:val="ListParagraph"/>
        <w:numPr>
          <w:ilvl w:val="1"/>
          <w:numId w:val="4"/>
        </w:numPr>
        <w:tabs>
          <w:tab w:pos="746" w:val="left" w:leader="none"/>
        </w:tabs>
        <w:spacing w:line="276" w:lineRule="auto" w:before="123"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2"/>
        <w:jc w:val="both"/>
      </w:pPr>
      <w:r>
        <w:rPr/>
        <w:t>(stavební</w:t>
      </w:r>
      <w:r>
        <w:rPr>
          <w:spacing w:val="-10"/>
        </w:rPr>
        <w:t> </w:t>
      </w:r>
      <w:r>
        <w:rPr/>
        <w:t>zákon),</w:t>
      </w:r>
      <w:r>
        <w:rPr>
          <w:spacing w:val="-10"/>
        </w:rPr>
        <w:t> </w:t>
      </w:r>
      <w:r>
        <w:rPr/>
        <w:t>ve</w:t>
      </w:r>
      <w:r>
        <w:rPr>
          <w:spacing w:val="-11"/>
        </w:rPr>
        <w:t> </w:t>
      </w:r>
      <w:r>
        <w:rPr/>
        <w:t>znění</w:t>
      </w:r>
      <w:r>
        <w:rPr>
          <w:spacing w:val="-9"/>
        </w:rPr>
        <w:t> </w:t>
      </w:r>
      <w:r>
        <w:rPr/>
        <w:t>pozdějších</w:t>
      </w:r>
      <w:r>
        <w:rPr>
          <w:spacing w:val="-10"/>
        </w:rPr>
        <w:t> </w:t>
      </w:r>
      <w:r>
        <w:rPr/>
        <w:t>předpisů,</w:t>
      </w:r>
      <w:r>
        <w:rPr>
          <w:spacing w:val="-8"/>
        </w:rPr>
        <w:t> </w:t>
      </w:r>
      <w:r>
        <w:rPr/>
        <w:t>nebo</w:t>
      </w:r>
      <w:r>
        <w:rPr>
          <w:spacing w:val="-9"/>
        </w:rPr>
        <w:t> </w:t>
      </w:r>
      <w:r>
        <w:rPr/>
        <w:t>termín</w:t>
      </w:r>
      <w:r>
        <w:rPr>
          <w:spacing w:val="-11"/>
        </w:rPr>
        <w:t> </w:t>
      </w:r>
      <w:r>
        <w:rPr/>
        <w:t>schválení</w:t>
      </w:r>
      <w:r>
        <w:rPr>
          <w:spacing w:val="-10"/>
        </w:rPr>
        <w:t> </w:t>
      </w:r>
      <w:r>
        <w:rPr/>
        <w:t>protokolu</w:t>
      </w:r>
      <w:r>
        <w:rPr>
          <w:spacing w:val="-8"/>
        </w:rPr>
        <w:t> </w:t>
      </w:r>
      <w:r>
        <w:rPr/>
        <w:t>o</w:t>
      </w:r>
      <w:r>
        <w:rPr>
          <w:spacing w:val="-8"/>
        </w:rPr>
        <w:t> </w:t>
      </w:r>
      <w:r>
        <w:rPr/>
        <w:t>předání</w:t>
      </w:r>
      <w:r>
        <w:rPr>
          <w:spacing w:val="-8"/>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0"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5"/>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6"/>
        </w:rPr>
        <w:t> </w:t>
      </w:r>
      <w:r>
        <w:rPr/>
        <w:t>stavění</w:t>
      </w:r>
      <w:r>
        <w:rPr>
          <w:spacing w:val="-5"/>
        </w:rPr>
        <w:t> </w:t>
      </w:r>
      <w:r>
        <w:rPr/>
        <w:t>běhu</w:t>
      </w:r>
      <w:r>
        <w:rPr>
          <w:spacing w:val="-5"/>
        </w:rPr>
        <w:t> </w:t>
      </w:r>
      <w:r>
        <w:rPr/>
        <w:t>lhůty</w:t>
      </w:r>
      <w:r>
        <w:rPr>
          <w:spacing w:val="-6"/>
        </w:rPr>
        <w:t> </w:t>
      </w:r>
      <w:r>
        <w:rPr/>
        <w:t>došlo</w:t>
      </w:r>
      <w:r>
        <w:rPr>
          <w:spacing w:val="-4"/>
        </w:rPr>
        <w:t> </w:t>
      </w:r>
      <w:r>
        <w:rPr/>
        <w:t>k</w:t>
      </w:r>
      <w:r>
        <w:rPr>
          <w:spacing w:val="-6"/>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37" w:lineRule="auto" w:before="123"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 související</w:t>
      </w:r>
      <w:r>
        <w:rPr>
          <w:spacing w:val="-2"/>
          <w:sz w:val="20"/>
        </w:rPr>
        <w:t> </w:t>
      </w:r>
      <w:r>
        <w:rPr>
          <w:sz w:val="20"/>
        </w:rPr>
        <w:t>s</w:t>
      </w:r>
      <w:r>
        <w:rPr>
          <w:spacing w:val="-4"/>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1"/>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spacing w:before="1"/>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18" w:after="0"/>
        <w:ind w:left="385" w:right="0" w:hanging="284"/>
        <w:jc w:val="both"/>
        <w:rPr>
          <w:sz w:val="20"/>
        </w:rPr>
      </w:pPr>
      <w:r>
        <w:rPr>
          <w:sz w:val="20"/>
        </w:rPr>
        <w:t>Porušení</w:t>
      </w:r>
      <w:r>
        <w:rPr>
          <w:spacing w:val="-1"/>
          <w:sz w:val="20"/>
        </w:rPr>
        <w:t> </w:t>
      </w:r>
      <w:r>
        <w:rPr>
          <w:sz w:val="20"/>
        </w:rPr>
        <w:t>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spacing w:before="1"/>
      </w:pPr>
    </w:p>
    <w:p>
      <w:pPr>
        <w:pStyle w:val="Heading1"/>
      </w:pPr>
      <w:r>
        <w:rPr>
          <w:spacing w:val="-5"/>
        </w:rPr>
        <w:t>VI.</w:t>
      </w:r>
    </w:p>
    <w:p>
      <w:pPr>
        <w:pStyle w:val="Heading2"/>
        <w:spacing w:before="1"/>
        <w:ind w:right="105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ind w:left="385"/>
      </w:pPr>
      <w:r>
        <w:rPr>
          <w:spacing w:val="-2"/>
        </w:rPr>
        <w:t>Smlouvou.</w:t>
      </w:r>
    </w:p>
    <w:p>
      <w:pPr>
        <w:pStyle w:val="ListParagraph"/>
        <w:numPr>
          <w:ilvl w:val="0"/>
          <w:numId w:val="6"/>
        </w:numPr>
        <w:tabs>
          <w:tab w:pos="386" w:val="left" w:leader="none"/>
        </w:tabs>
        <w:spacing w:line="237" w:lineRule="auto" w:before="123"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4"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7"/>
          <w:sz w:val="20"/>
        </w:rPr>
        <w:t> </w:t>
      </w:r>
      <w:r>
        <w:rPr>
          <w:sz w:val="20"/>
        </w:rPr>
        <w:t>v</w:t>
      </w:r>
      <w:r>
        <w:rPr>
          <w:spacing w:val="-3"/>
          <w:sz w:val="20"/>
        </w:rPr>
        <w:t> </w:t>
      </w:r>
      <w:r>
        <w:rPr>
          <w:sz w:val="20"/>
        </w:rPr>
        <w:t>Pokynech</w:t>
      </w:r>
      <w:r>
        <w:rPr>
          <w:spacing w:val="-8"/>
          <w:sz w:val="20"/>
        </w:rPr>
        <w:t> </w:t>
      </w:r>
      <w:r>
        <w:rPr>
          <w:sz w:val="20"/>
        </w:rPr>
        <w:t>pro</w:t>
      </w:r>
      <w:r>
        <w:rPr>
          <w:spacing w:val="-7"/>
          <w:sz w:val="20"/>
        </w:rPr>
        <w:t> </w:t>
      </w:r>
      <w:r>
        <w:rPr>
          <w:sz w:val="20"/>
        </w:rPr>
        <w:t>zadávání</w:t>
      </w:r>
      <w:r>
        <w:rPr>
          <w:spacing w:val="-8"/>
          <w:sz w:val="20"/>
        </w:rPr>
        <w:t> </w:t>
      </w:r>
      <w:r>
        <w:rPr>
          <w:sz w:val="20"/>
        </w:rPr>
        <w:t>zakázek</w:t>
      </w:r>
      <w:r>
        <w:rPr>
          <w:spacing w:val="-9"/>
          <w:sz w:val="20"/>
        </w:rPr>
        <w:t> </w:t>
      </w:r>
      <w:r>
        <w:rPr>
          <w:sz w:val="20"/>
        </w:rPr>
        <w:t>pro</w:t>
      </w:r>
      <w:r>
        <w:rPr>
          <w:spacing w:val="-7"/>
          <w:sz w:val="20"/>
        </w:rPr>
        <w:t> </w:t>
      </w:r>
      <w:r>
        <w:rPr>
          <w:sz w:val="20"/>
        </w:rPr>
        <w:t>programy</w:t>
      </w:r>
      <w:r>
        <w:rPr>
          <w:spacing w:val="-8"/>
          <w:sz w:val="20"/>
        </w:rPr>
        <w:t> </w:t>
      </w:r>
      <w:r>
        <w:rPr>
          <w:sz w:val="20"/>
        </w:rPr>
        <w:t>spolufinancované</w:t>
      </w:r>
      <w:r>
        <w:rPr>
          <w:spacing w:val="-9"/>
          <w:sz w:val="20"/>
        </w:rPr>
        <w:t> </w:t>
      </w:r>
      <w:r>
        <w:rPr>
          <w:sz w:val="20"/>
        </w:rPr>
        <w:t>z</w:t>
      </w:r>
      <w:r>
        <w:rPr>
          <w:spacing w:val="-7"/>
          <w:sz w:val="20"/>
        </w:rPr>
        <w:t> </w:t>
      </w:r>
      <w:r>
        <w:rPr>
          <w:sz w:val="20"/>
        </w:rPr>
        <w:t>rozpočtu</w:t>
      </w:r>
      <w:r>
        <w:rPr>
          <w:spacing w:val="-8"/>
          <w:sz w:val="20"/>
        </w:rPr>
        <w:t> </w:t>
      </w:r>
      <w:r>
        <w:rPr>
          <w:sz w:val="20"/>
        </w:rPr>
        <w:t>Fondu,</w:t>
      </w:r>
      <w:r>
        <w:rPr>
          <w:spacing w:val="-7"/>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851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307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2023-12-27T12:52:45Z</dcterms:created>
  <dcterms:modified xsi:type="dcterms:W3CDTF">2023-12-27T12:52:45Z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Word pro Microsoft 365</vt:lpwstr>
  </property>
  <property fmtid="{D5CDD505-2E9C-101B-9397-08002B2CF9AE}" pid="4" name="LastSaved">
    <vt:filetime>2023-12-27T00:00:00Z</vt:filetime>
  </property>
</Properties>
</file>