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E701" w14:textId="0449429C" w:rsidR="00780D25" w:rsidRPr="00B336D4" w:rsidRDefault="00B336D4" w:rsidP="00B336D4">
      <w:pPr>
        <w:pStyle w:val="Default"/>
        <w:jc w:val="right"/>
        <w:rPr>
          <w:rFonts w:ascii="Arial" w:hAnsi="Arial" w:cs="Arial"/>
          <w:sz w:val="18"/>
          <w:szCs w:val="18"/>
        </w:rPr>
      </w:pPr>
      <w:bookmarkStart w:id="0" w:name="_GoBack"/>
      <w:proofErr w:type="spellStart"/>
      <w:r w:rsidRPr="00B336D4">
        <w:rPr>
          <w:rFonts w:ascii="Arial" w:hAnsi="Arial" w:cs="Arial"/>
          <w:sz w:val="18"/>
          <w:szCs w:val="18"/>
        </w:rPr>
        <w:t>FSv</w:t>
      </w:r>
      <w:proofErr w:type="spellEnd"/>
      <w:r w:rsidRPr="00B336D4">
        <w:rPr>
          <w:rFonts w:ascii="Arial" w:hAnsi="Arial" w:cs="Arial"/>
          <w:sz w:val="18"/>
          <w:szCs w:val="18"/>
        </w:rPr>
        <w:t xml:space="preserve"> č. 1123000604</w:t>
      </w:r>
    </w:p>
    <w:bookmarkEnd w:id="0"/>
    <w:p w14:paraId="66EECEA7" w14:textId="77777777" w:rsidR="00687230" w:rsidRPr="007F1431" w:rsidRDefault="00687230" w:rsidP="00687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7ACCD5" w14:textId="77777777" w:rsidR="00687230" w:rsidRPr="007F1431" w:rsidRDefault="00687230" w:rsidP="00780D25">
      <w:pPr>
        <w:pStyle w:val="Default"/>
        <w:jc w:val="center"/>
        <w:rPr>
          <w:rFonts w:ascii="Times New Roman" w:hAnsi="Times New Roman" w:cs="Times New Roman"/>
          <w:b/>
        </w:rPr>
      </w:pPr>
    </w:p>
    <w:p w14:paraId="6C11045B" w14:textId="77777777" w:rsidR="00687230" w:rsidRPr="007F1431" w:rsidRDefault="00687230" w:rsidP="00780D25">
      <w:pPr>
        <w:pStyle w:val="Default"/>
        <w:jc w:val="center"/>
        <w:rPr>
          <w:rFonts w:ascii="Times New Roman" w:hAnsi="Times New Roman" w:cs="Times New Roman"/>
          <w:b/>
        </w:rPr>
      </w:pPr>
    </w:p>
    <w:p w14:paraId="63E1165C" w14:textId="77777777" w:rsidR="00780D25" w:rsidRPr="007F1431" w:rsidRDefault="00780D25" w:rsidP="00C850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31">
        <w:rPr>
          <w:rFonts w:ascii="Times New Roman" w:hAnsi="Times New Roman" w:cs="Times New Roman"/>
          <w:b/>
          <w:sz w:val="28"/>
          <w:szCs w:val="28"/>
        </w:rPr>
        <w:t>Smlouva o využití výsledků výzkumu a vývoje</w:t>
      </w:r>
    </w:p>
    <w:p w14:paraId="4D23B8A3" w14:textId="77777777" w:rsidR="00780D25" w:rsidRPr="007F1431" w:rsidRDefault="00780D25" w:rsidP="00C85056">
      <w:pPr>
        <w:pStyle w:val="Default"/>
        <w:jc w:val="center"/>
        <w:rPr>
          <w:rFonts w:ascii="Times New Roman" w:hAnsi="Times New Roman" w:cs="Times New Roman"/>
        </w:rPr>
      </w:pPr>
    </w:p>
    <w:p w14:paraId="6E6F30A9" w14:textId="77777777" w:rsidR="00780D25" w:rsidRPr="007F1431" w:rsidRDefault="00780D25" w:rsidP="006A0544">
      <w:pPr>
        <w:pStyle w:val="Default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  <w:bCs/>
        </w:rPr>
        <w:t xml:space="preserve">(dle § 1746 odst. 2 zákona č. 89/2012 Sb., občanský zákoník, ve znění pozdějších předpisů a </w:t>
      </w:r>
    </w:p>
    <w:p w14:paraId="3AAAAF5E" w14:textId="77777777" w:rsidR="00780D25" w:rsidRPr="007F1431" w:rsidRDefault="00780D25" w:rsidP="006A0544">
      <w:pPr>
        <w:pStyle w:val="Default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  <w:bCs/>
        </w:rPr>
        <w:t xml:space="preserve">zákona č. 130/2002 Sb., o podpoře výzkumu a vývoje, ve znění pozdějších předpisů) </w:t>
      </w:r>
    </w:p>
    <w:p w14:paraId="4116793F" w14:textId="77777777" w:rsidR="00780D25" w:rsidRPr="007F1431" w:rsidRDefault="00780D25" w:rsidP="00C8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64666" w14:textId="2F081A57" w:rsidR="00E40AFE" w:rsidRPr="007F1431" w:rsidRDefault="00780D25" w:rsidP="00C8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14:paraId="64E73A78" w14:textId="5E0FCD9E" w:rsidR="00CE306C" w:rsidRDefault="00CE306C" w:rsidP="00C8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35CE1" w14:textId="77777777" w:rsidR="00BA539C" w:rsidRPr="007F1431" w:rsidRDefault="00BA539C" w:rsidP="00BA539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431">
        <w:rPr>
          <w:rFonts w:ascii="Times New Roman" w:hAnsi="Times New Roman" w:cs="Times New Roman"/>
          <w:b/>
          <w:sz w:val="24"/>
          <w:szCs w:val="24"/>
        </w:rPr>
        <w:t>AVETON s.r.o. (dále jen „AVETON“)</w:t>
      </w:r>
    </w:p>
    <w:p w14:paraId="0F2F0DB1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F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Drahobejlova 1452/54</w:t>
      </w:r>
      <w:r w:rsidRPr="007F1431">
        <w:rPr>
          <w:rFonts w:ascii="Times New Roman" w:hAnsi="Times New Roman" w:cs="Times New Roman"/>
          <w:sz w:val="24"/>
          <w:szCs w:val="24"/>
        </w:rPr>
        <w:t>, 190 00 Praha 9</w:t>
      </w:r>
      <w:r>
        <w:rPr>
          <w:rFonts w:ascii="Times New Roman" w:hAnsi="Times New Roman" w:cs="Times New Roman"/>
          <w:sz w:val="24"/>
          <w:szCs w:val="24"/>
        </w:rPr>
        <w:t>-Libeň</w:t>
      </w:r>
    </w:p>
    <w:p w14:paraId="1B2CECA3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IČ:</w:t>
      </w:r>
      <w:r w:rsidRPr="007F1431">
        <w:rPr>
          <w:rFonts w:ascii="Times New Roman" w:hAnsi="Times New Roman" w:cs="Times New Roman"/>
          <w:sz w:val="24"/>
          <w:szCs w:val="24"/>
        </w:rPr>
        <w:tab/>
        <w:t>02436647</w:t>
      </w:r>
    </w:p>
    <w:p w14:paraId="257ED892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DIČ:</w:t>
      </w:r>
      <w:r w:rsidRPr="007F1431">
        <w:rPr>
          <w:rFonts w:ascii="Times New Roman" w:hAnsi="Times New Roman" w:cs="Times New Roman"/>
          <w:sz w:val="24"/>
          <w:szCs w:val="24"/>
        </w:rPr>
        <w:tab/>
        <w:t>CZ02436647</w:t>
      </w:r>
    </w:p>
    <w:p w14:paraId="0E472B17" w14:textId="77777777" w:rsidR="00BA539C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zastoupena:</w:t>
      </w:r>
      <w:r w:rsidRPr="007F1431">
        <w:rPr>
          <w:rFonts w:ascii="Times New Roman" w:hAnsi="Times New Roman" w:cs="Times New Roman"/>
          <w:sz w:val="24"/>
          <w:szCs w:val="24"/>
        </w:rPr>
        <w:tab/>
        <w:t xml:space="preserve">Ing. Michalem </w:t>
      </w:r>
      <w:proofErr w:type="spellStart"/>
      <w:r w:rsidRPr="007F1431">
        <w:rPr>
          <w:rFonts w:ascii="Times New Roman" w:hAnsi="Times New Roman" w:cs="Times New Roman"/>
          <w:sz w:val="24"/>
          <w:szCs w:val="24"/>
        </w:rPr>
        <w:t>Šitychem</w:t>
      </w:r>
      <w:proofErr w:type="spellEnd"/>
      <w:r w:rsidRPr="007F1431">
        <w:rPr>
          <w:rFonts w:ascii="Times New Roman" w:hAnsi="Times New Roman" w:cs="Times New Roman"/>
          <w:sz w:val="24"/>
          <w:szCs w:val="24"/>
        </w:rPr>
        <w:t>, jednatelem</w:t>
      </w:r>
    </w:p>
    <w:p w14:paraId="57103000" w14:textId="5E1ECFB7" w:rsidR="00A072E9" w:rsidRPr="007F1431" w:rsidRDefault="00A072E9" w:rsidP="00C8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39916" w14:textId="2CB81805" w:rsidR="00546760" w:rsidRPr="007F1431" w:rsidRDefault="00546760" w:rsidP="00C8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a</w:t>
      </w:r>
    </w:p>
    <w:p w14:paraId="04A99A4F" w14:textId="4E66A638" w:rsidR="00BA539C" w:rsidRDefault="00BA539C" w:rsidP="003E27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471C1" w14:textId="77777777" w:rsidR="00BA539C" w:rsidRPr="007F1431" w:rsidRDefault="00BA539C" w:rsidP="00BA5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431">
        <w:rPr>
          <w:rFonts w:ascii="Times New Roman" w:hAnsi="Times New Roman" w:cs="Times New Roman"/>
          <w:b/>
          <w:sz w:val="24"/>
          <w:szCs w:val="24"/>
        </w:rPr>
        <w:t>České vysoké učení technické v Praze (dále jen „ČVUT“)</w:t>
      </w:r>
    </w:p>
    <w:p w14:paraId="205CEA7B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F1431">
        <w:rPr>
          <w:rFonts w:ascii="Times New Roman" w:hAnsi="Times New Roman" w:cs="Times New Roman"/>
          <w:sz w:val="24"/>
          <w:szCs w:val="24"/>
        </w:rPr>
        <w:tab/>
        <w:t>Jugoslávských partyzánů 1580/3, 160 00 Praha 6</w:t>
      </w:r>
    </w:p>
    <w:p w14:paraId="279C43C8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IČ: </w:t>
      </w:r>
      <w:r w:rsidRPr="007F1431">
        <w:rPr>
          <w:rFonts w:ascii="Times New Roman" w:hAnsi="Times New Roman" w:cs="Times New Roman"/>
          <w:sz w:val="24"/>
          <w:szCs w:val="24"/>
        </w:rPr>
        <w:tab/>
        <w:t>68407700</w:t>
      </w:r>
    </w:p>
    <w:p w14:paraId="30E113FE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DIČ:</w:t>
      </w:r>
      <w:r w:rsidRPr="007F1431">
        <w:rPr>
          <w:rFonts w:ascii="Times New Roman" w:hAnsi="Times New Roman" w:cs="Times New Roman"/>
          <w:sz w:val="24"/>
          <w:szCs w:val="24"/>
        </w:rPr>
        <w:tab/>
        <w:t>CZ68407700</w:t>
      </w:r>
    </w:p>
    <w:p w14:paraId="45C8C3ED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statutární zástupce:</w:t>
      </w:r>
      <w:r w:rsidRPr="007F1431">
        <w:rPr>
          <w:rFonts w:ascii="Times New Roman" w:hAnsi="Times New Roman" w:cs="Times New Roman"/>
          <w:sz w:val="24"/>
          <w:szCs w:val="24"/>
        </w:rPr>
        <w:tab/>
        <w:t>doc. RNDr. Vojtěch Petráček, CSc., rektor</w:t>
      </w:r>
    </w:p>
    <w:p w14:paraId="42112DF8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58E3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řešitelské pracoviště: </w:t>
      </w:r>
      <w:r w:rsidRPr="007F1431">
        <w:rPr>
          <w:rFonts w:ascii="Times New Roman" w:hAnsi="Times New Roman" w:cs="Times New Roman"/>
          <w:sz w:val="24"/>
          <w:szCs w:val="24"/>
        </w:rPr>
        <w:tab/>
        <w:t>Fakulta stavební</w:t>
      </w:r>
    </w:p>
    <w:p w14:paraId="08E7D57C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se sídlem:</w:t>
      </w:r>
      <w:r w:rsidRPr="007F1431">
        <w:rPr>
          <w:rFonts w:ascii="Times New Roman" w:hAnsi="Times New Roman" w:cs="Times New Roman"/>
          <w:sz w:val="24"/>
          <w:szCs w:val="24"/>
        </w:rPr>
        <w:tab/>
        <w:t>Thákurova 7, 166 29 Praha 6, Česká republika</w:t>
      </w:r>
    </w:p>
    <w:p w14:paraId="40F5A16E" w14:textId="77777777" w:rsidR="00BA539C" w:rsidRPr="007F1431" w:rsidRDefault="00BA539C" w:rsidP="00BA53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zastoupena:</w:t>
      </w:r>
      <w:r w:rsidRPr="007F1431">
        <w:rPr>
          <w:rFonts w:ascii="Times New Roman" w:hAnsi="Times New Roman" w:cs="Times New Roman"/>
          <w:sz w:val="24"/>
          <w:szCs w:val="24"/>
        </w:rPr>
        <w:tab/>
        <w:t>na základě pověření prof. Ing. Jiřím Mácou, CSc., děkanem</w:t>
      </w:r>
    </w:p>
    <w:p w14:paraId="5303854A" w14:textId="77777777" w:rsidR="00BA539C" w:rsidRPr="007F1431" w:rsidRDefault="00BA539C" w:rsidP="003E27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F744D" w14:textId="20DF9B03" w:rsidR="006F79AD" w:rsidRPr="007F1431" w:rsidRDefault="006F79AD" w:rsidP="00C85056">
      <w:pPr>
        <w:pStyle w:val="Default"/>
        <w:rPr>
          <w:rFonts w:ascii="Times New Roman" w:hAnsi="Times New Roman" w:cs="Times New Roman"/>
        </w:rPr>
      </w:pPr>
    </w:p>
    <w:p w14:paraId="286D0B64" w14:textId="02A81827" w:rsidR="00780D25" w:rsidRPr="007F1431" w:rsidRDefault="00CE306C" w:rsidP="00C85056">
      <w:pPr>
        <w:pStyle w:val="Default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(dále jen</w:t>
      </w:r>
      <w:r w:rsidR="00780D25" w:rsidRPr="007F1431">
        <w:rPr>
          <w:rFonts w:ascii="Times New Roman" w:hAnsi="Times New Roman" w:cs="Times New Roman"/>
        </w:rPr>
        <w:t xml:space="preserve"> „</w:t>
      </w:r>
      <w:r w:rsidR="0041118B" w:rsidRPr="007F1431">
        <w:rPr>
          <w:rFonts w:ascii="Times New Roman" w:hAnsi="Times New Roman" w:cs="Times New Roman"/>
          <w:b/>
          <w:bCs/>
        </w:rPr>
        <w:t>S</w:t>
      </w:r>
      <w:r w:rsidR="00780D25" w:rsidRPr="007F1431">
        <w:rPr>
          <w:rFonts w:ascii="Times New Roman" w:hAnsi="Times New Roman" w:cs="Times New Roman"/>
          <w:b/>
          <w:bCs/>
        </w:rPr>
        <w:t>mluvní strany</w:t>
      </w:r>
      <w:r w:rsidR="00780D25" w:rsidRPr="007F1431">
        <w:rPr>
          <w:rFonts w:ascii="Times New Roman" w:hAnsi="Times New Roman" w:cs="Times New Roman"/>
        </w:rPr>
        <w:t xml:space="preserve">“) </w:t>
      </w:r>
    </w:p>
    <w:p w14:paraId="7A5ACEDF" w14:textId="77777777" w:rsidR="00C47345" w:rsidRPr="007F1431" w:rsidRDefault="00C47345" w:rsidP="00C85056">
      <w:pPr>
        <w:pStyle w:val="Default"/>
        <w:rPr>
          <w:rFonts w:ascii="Times New Roman" w:hAnsi="Times New Roman" w:cs="Times New Roman"/>
        </w:rPr>
      </w:pPr>
    </w:p>
    <w:p w14:paraId="08BF2F29" w14:textId="77777777" w:rsidR="00780D25" w:rsidRPr="007F1431" w:rsidRDefault="00780D25" w:rsidP="006A054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mezi sebou uzavírají níže uvedeného dne, měsíce a roku smlouvu o využití výsledků výzkumu a vývoje ve smyslu zákona č.130/2002 Sb., o podpoře výzkumu a výv</w:t>
      </w:r>
      <w:r w:rsidR="00C47345" w:rsidRPr="007F1431">
        <w:rPr>
          <w:rFonts w:ascii="Times New Roman" w:hAnsi="Times New Roman" w:cs="Times New Roman"/>
          <w:sz w:val="24"/>
          <w:szCs w:val="24"/>
        </w:rPr>
        <w:t>oje, v platném znění</w:t>
      </w:r>
      <w:r w:rsidR="00B36BEA" w:rsidRPr="007F1431">
        <w:rPr>
          <w:rFonts w:ascii="Times New Roman" w:hAnsi="Times New Roman" w:cs="Times New Roman"/>
          <w:sz w:val="24"/>
          <w:szCs w:val="24"/>
        </w:rPr>
        <w:t>.</w:t>
      </w:r>
      <w:r w:rsidR="00C47345" w:rsidRPr="007F1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0EBF9" w14:textId="77777777" w:rsidR="00440F80" w:rsidRPr="007F1431" w:rsidRDefault="00440F80" w:rsidP="00C850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E96C26" w14:textId="77777777" w:rsidR="00780D25" w:rsidRPr="007F1431" w:rsidRDefault="00780D25" w:rsidP="00C8505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I.</w:t>
      </w:r>
    </w:p>
    <w:p w14:paraId="6B438E13" w14:textId="77777777" w:rsidR="00780D25" w:rsidRPr="007F1431" w:rsidRDefault="00780D25" w:rsidP="00C8505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Předmět smlouvy</w:t>
      </w:r>
    </w:p>
    <w:p w14:paraId="19AE6B37" w14:textId="77777777" w:rsidR="00440F80" w:rsidRPr="007F1431" w:rsidRDefault="00440F80" w:rsidP="00C85056">
      <w:pPr>
        <w:pStyle w:val="Default"/>
        <w:jc w:val="center"/>
        <w:rPr>
          <w:rFonts w:ascii="Times New Roman" w:hAnsi="Times New Roman" w:cs="Times New Roman"/>
        </w:rPr>
      </w:pPr>
    </w:p>
    <w:p w14:paraId="5353CE35" w14:textId="278CB1C0" w:rsidR="00780D25" w:rsidRPr="007F1431" w:rsidRDefault="00780D25" w:rsidP="003564A9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Tato smlouva vymezuje dosažené výsledky projektu </w:t>
      </w:r>
      <w:r w:rsidR="00902648" w:rsidRPr="007F1431">
        <w:rPr>
          <w:rFonts w:ascii="Times New Roman" w:hAnsi="Times New Roman" w:cs="Times New Roman"/>
          <w:b/>
        </w:rPr>
        <w:t xml:space="preserve">ev. </w:t>
      </w:r>
      <w:r w:rsidR="00C37C8A" w:rsidRPr="007F1431">
        <w:rPr>
          <w:rFonts w:ascii="Times New Roman" w:hAnsi="Times New Roman" w:cs="Times New Roman"/>
          <w:b/>
        </w:rPr>
        <w:t>č.</w:t>
      </w:r>
      <w:r w:rsidR="00C37C8A" w:rsidRPr="007F1431">
        <w:rPr>
          <w:rFonts w:ascii="Times New Roman" w:hAnsi="Times New Roman" w:cs="Times New Roman"/>
        </w:rPr>
        <w:t xml:space="preserve"> </w:t>
      </w:r>
      <w:r w:rsidR="003564A9" w:rsidRPr="007F1431">
        <w:rPr>
          <w:rFonts w:ascii="Times New Roman" w:hAnsi="Times New Roman" w:cs="Times New Roman"/>
          <w:b/>
          <w:bCs/>
        </w:rPr>
        <w:t>FW03010173</w:t>
      </w:r>
      <w:r w:rsidR="00C37C8A" w:rsidRPr="007F1431">
        <w:rPr>
          <w:rFonts w:ascii="Times New Roman" w:hAnsi="Times New Roman" w:cs="Times New Roman"/>
          <w:b/>
          <w:bCs/>
        </w:rPr>
        <w:t xml:space="preserve"> programu </w:t>
      </w:r>
      <w:r w:rsidR="003564A9" w:rsidRPr="007F1431">
        <w:rPr>
          <w:rFonts w:ascii="Times New Roman" w:hAnsi="Times New Roman" w:cs="Times New Roman"/>
          <w:b/>
          <w:bCs/>
        </w:rPr>
        <w:t>TREND</w:t>
      </w:r>
      <w:r w:rsidR="00C37C8A" w:rsidRPr="007F1431">
        <w:rPr>
          <w:rFonts w:ascii="Times New Roman" w:hAnsi="Times New Roman" w:cs="Times New Roman"/>
          <w:b/>
          <w:bCs/>
        </w:rPr>
        <w:t xml:space="preserve"> s názvem </w:t>
      </w:r>
      <w:r w:rsidR="008C08FE" w:rsidRPr="007F1431">
        <w:rPr>
          <w:rFonts w:ascii="Times New Roman" w:hAnsi="Times New Roman" w:cs="Times New Roman"/>
          <w:b/>
          <w:bCs/>
        </w:rPr>
        <w:t>„</w:t>
      </w:r>
      <w:proofErr w:type="spellStart"/>
      <w:r w:rsidR="003564A9" w:rsidRPr="007F1431">
        <w:rPr>
          <w:rFonts w:ascii="Times New Roman" w:hAnsi="Times New Roman" w:cs="Times New Roman"/>
          <w:b/>
          <w:bCs/>
        </w:rPr>
        <w:t>Vývoj</w:t>
      </w:r>
      <w:proofErr w:type="spellEnd"/>
      <w:r w:rsidR="003564A9" w:rsidRPr="007F143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b/>
          <w:bCs/>
        </w:rPr>
        <w:t>zvukoabsorpčnı́ho</w:t>
      </w:r>
      <w:proofErr w:type="spellEnd"/>
      <w:r w:rsidR="003564A9" w:rsidRPr="007F1431">
        <w:rPr>
          <w:rFonts w:ascii="Times New Roman" w:hAnsi="Times New Roman" w:cs="Times New Roman"/>
          <w:b/>
          <w:bCs/>
        </w:rPr>
        <w:t xml:space="preserve"> betonu pro </w:t>
      </w:r>
      <w:proofErr w:type="spellStart"/>
      <w:r w:rsidR="003564A9" w:rsidRPr="007F1431">
        <w:rPr>
          <w:rFonts w:ascii="Times New Roman" w:hAnsi="Times New Roman" w:cs="Times New Roman"/>
          <w:b/>
          <w:bCs/>
        </w:rPr>
        <w:t>interiérove</w:t>
      </w:r>
      <w:proofErr w:type="spellEnd"/>
      <w:r w:rsidR="003564A9" w:rsidRPr="007F1431">
        <w:rPr>
          <w:rFonts w:ascii="Times New Roman" w:hAnsi="Times New Roman" w:cs="Times New Roman"/>
          <w:b/>
          <w:bCs/>
        </w:rPr>
        <w:t>́ aplikace</w:t>
      </w:r>
      <w:r w:rsidR="008C08FE" w:rsidRPr="007F1431">
        <w:rPr>
          <w:rFonts w:ascii="Times New Roman" w:hAnsi="Times New Roman" w:cs="Times New Roman"/>
          <w:b/>
        </w:rPr>
        <w:t>“</w:t>
      </w:r>
      <w:r w:rsidR="003564A9" w:rsidRPr="007F1431">
        <w:rPr>
          <w:rFonts w:ascii="Times New Roman" w:hAnsi="Times New Roman" w:cs="Times New Roman"/>
          <w:b/>
        </w:rPr>
        <w:t xml:space="preserve"> </w:t>
      </w:r>
      <w:r w:rsidR="003564A9" w:rsidRPr="007F1431">
        <w:rPr>
          <w:rFonts w:ascii="Times New Roman" w:hAnsi="Times New Roman" w:cs="Times New Roman"/>
        </w:rPr>
        <w:t xml:space="preserve">(dále jen </w:t>
      </w:r>
      <w:r w:rsidR="003564A9" w:rsidRPr="007F1431">
        <w:rPr>
          <w:rFonts w:ascii="Times New Roman" w:hAnsi="Times New Roman" w:cs="Times New Roman"/>
          <w:b/>
        </w:rPr>
        <w:t>„Projekt“</w:t>
      </w:r>
      <w:r w:rsidR="003564A9" w:rsidRPr="007F1431">
        <w:rPr>
          <w:rFonts w:ascii="Times New Roman" w:hAnsi="Times New Roman" w:cs="Times New Roman"/>
        </w:rPr>
        <w:t>)</w:t>
      </w:r>
      <w:r w:rsidR="00C37C8A" w:rsidRPr="007F1431">
        <w:rPr>
          <w:rFonts w:ascii="Times New Roman" w:hAnsi="Times New Roman" w:cs="Times New Roman"/>
          <w:b/>
          <w:bCs/>
        </w:rPr>
        <w:t xml:space="preserve"> </w:t>
      </w:r>
      <w:r w:rsidRPr="007F1431">
        <w:rPr>
          <w:rFonts w:ascii="Times New Roman" w:hAnsi="Times New Roman" w:cs="Times New Roman"/>
        </w:rPr>
        <w:t>a jejich srovnání s cíli projektu, dále stanoví vzájemnou úpravu vlastnických a užívacích práv k výsledkům projektu podle § 16 zákona o podpoře výzkumu a vývoje, dále stanoví způsob využití výsledk</w:t>
      </w:r>
      <w:r w:rsidR="00664198" w:rsidRPr="007F1431">
        <w:rPr>
          <w:rFonts w:ascii="Times New Roman" w:hAnsi="Times New Roman" w:cs="Times New Roman"/>
        </w:rPr>
        <w:t>ů</w:t>
      </w:r>
      <w:r w:rsidRPr="007F1431">
        <w:rPr>
          <w:rFonts w:ascii="Times New Roman" w:hAnsi="Times New Roman" w:cs="Times New Roman"/>
        </w:rPr>
        <w:t xml:space="preserve"> a dobu, ve které bud</w:t>
      </w:r>
      <w:r w:rsidR="00664198" w:rsidRPr="007F1431">
        <w:rPr>
          <w:rFonts w:ascii="Times New Roman" w:hAnsi="Times New Roman" w:cs="Times New Roman"/>
        </w:rPr>
        <w:t>ou</w:t>
      </w:r>
      <w:r w:rsidRPr="007F1431">
        <w:rPr>
          <w:rFonts w:ascii="Times New Roman" w:hAnsi="Times New Roman" w:cs="Times New Roman"/>
        </w:rPr>
        <w:t xml:space="preserve"> výsled</w:t>
      </w:r>
      <w:r w:rsidR="00664198" w:rsidRPr="007F1431">
        <w:rPr>
          <w:rFonts w:ascii="Times New Roman" w:hAnsi="Times New Roman" w:cs="Times New Roman"/>
        </w:rPr>
        <w:t>ky</w:t>
      </w:r>
      <w:r w:rsidR="00C37C8A" w:rsidRPr="007F1431">
        <w:rPr>
          <w:rFonts w:ascii="Times New Roman" w:hAnsi="Times New Roman" w:cs="Times New Roman"/>
        </w:rPr>
        <w:t xml:space="preserve"> využit</w:t>
      </w:r>
      <w:r w:rsidR="00664198" w:rsidRPr="007F1431">
        <w:rPr>
          <w:rFonts w:ascii="Times New Roman" w:hAnsi="Times New Roman" w:cs="Times New Roman"/>
        </w:rPr>
        <w:t>y</w:t>
      </w:r>
      <w:r w:rsidRPr="007F1431">
        <w:rPr>
          <w:rFonts w:ascii="Times New Roman" w:hAnsi="Times New Roman" w:cs="Times New Roman"/>
        </w:rPr>
        <w:t xml:space="preserve">, dále stanoví rozsah stupně důvěrnosti údajů a způsob nakládání s nimi a další úpravu smluvních vztahů mezi smluvními stranami při aplikaci této smlouvy. </w:t>
      </w:r>
    </w:p>
    <w:p w14:paraId="49F26FB0" w14:textId="544562E0" w:rsidR="003564A9" w:rsidRDefault="003564A9" w:rsidP="003564A9">
      <w:pPr>
        <w:pStyle w:val="Default"/>
        <w:jc w:val="both"/>
        <w:rPr>
          <w:rFonts w:ascii="Times New Roman" w:hAnsi="Times New Roman" w:cs="Times New Roman"/>
        </w:rPr>
      </w:pPr>
    </w:p>
    <w:p w14:paraId="04EF0B96" w14:textId="071AD260" w:rsidR="00932156" w:rsidRDefault="00932156" w:rsidP="003564A9">
      <w:pPr>
        <w:pStyle w:val="Default"/>
        <w:jc w:val="both"/>
        <w:rPr>
          <w:rFonts w:ascii="Times New Roman" w:hAnsi="Times New Roman" w:cs="Times New Roman"/>
        </w:rPr>
      </w:pPr>
    </w:p>
    <w:p w14:paraId="2B05679F" w14:textId="4C18185C" w:rsidR="00932156" w:rsidRDefault="00932156" w:rsidP="003564A9">
      <w:pPr>
        <w:pStyle w:val="Default"/>
        <w:jc w:val="both"/>
        <w:rPr>
          <w:rFonts w:ascii="Times New Roman" w:hAnsi="Times New Roman" w:cs="Times New Roman"/>
        </w:rPr>
      </w:pPr>
    </w:p>
    <w:p w14:paraId="536B697F" w14:textId="77777777" w:rsidR="00932156" w:rsidRPr="007F1431" w:rsidRDefault="00932156" w:rsidP="003564A9">
      <w:pPr>
        <w:pStyle w:val="Default"/>
        <w:jc w:val="both"/>
        <w:rPr>
          <w:rFonts w:ascii="Times New Roman" w:hAnsi="Times New Roman" w:cs="Times New Roman"/>
        </w:rPr>
      </w:pPr>
    </w:p>
    <w:p w14:paraId="511AAE0E" w14:textId="77777777" w:rsidR="00780D25" w:rsidRPr="007F1431" w:rsidRDefault="00780D25" w:rsidP="00C8505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7943105" w14:textId="77777777" w:rsidR="00B9048C" w:rsidRPr="007F1431" w:rsidRDefault="00B9048C" w:rsidP="00C8505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</w:p>
    <w:p w14:paraId="5B294FCD" w14:textId="77777777" w:rsidR="00B9048C" w:rsidRPr="007F1431" w:rsidRDefault="00B9048C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Základní údaje o projektu</w:t>
      </w:r>
    </w:p>
    <w:p w14:paraId="5AE75425" w14:textId="77777777" w:rsidR="00B9048C" w:rsidRPr="007F1431" w:rsidRDefault="00B9048C" w:rsidP="00C85056">
      <w:pPr>
        <w:pStyle w:val="Default"/>
        <w:ind w:left="426" w:hanging="426"/>
        <w:jc w:val="center"/>
        <w:rPr>
          <w:rFonts w:ascii="Times New Roman" w:hAnsi="Times New Roman" w:cs="Times New Roman"/>
        </w:rPr>
      </w:pPr>
    </w:p>
    <w:p w14:paraId="1E53770B" w14:textId="19205BF9" w:rsidR="00875644" w:rsidRPr="007F1431" w:rsidRDefault="003564A9" w:rsidP="00875644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S</w:t>
      </w:r>
      <w:r w:rsidR="004B5C0D" w:rsidRPr="007F1431">
        <w:rPr>
          <w:rFonts w:ascii="Times New Roman" w:hAnsi="Times New Roman" w:cs="Times New Roman"/>
        </w:rPr>
        <w:t xml:space="preserve">mluvní strany </w:t>
      </w:r>
      <w:r w:rsidR="00B9048C" w:rsidRPr="007F1431">
        <w:rPr>
          <w:rFonts w:ascii="Times New Roman" w:hAnsi="Times New Roman" w:cs="Times New Roman"/>
        </w:rPr>
        <w:t>jsou účastníky</w:t>
      </w:r>
      <w:r w:rsidR="00166F1B" w:rsidRPr="007F1431">
        <w:rPr>
          <w:rFonts w:ascii="Times New Roman" w:hAnsi="Times New Roman" w:cs="Times New Roman"/>
        </w:rPr>
        <w:t xml:space="preserve"> </w:t>
      </w:r>
      <w:r w:rsidRPr="007F1431">
        <w:rPr>
          <w:rFonts w:ascii="Times New Roman" w:hAnsi="Times New Roman" w:cs="Times New Roman"/>
        </w:rPr>
        <w:t>Projektu. Termín ukončení P</w:t>
      </w:r>
      <w:r w:rsidR="00B9048C" w:rsidRPr="007F1431">
        <w:rPr>
          <w:rFonts w:ascii="Times New Roman" w:hAnsi="Times New Roman" w:cs="Times New Roman"/>
        </w:rPr>
        <w:t>roje</w:t>
      </w:r>
      <w:r w:rsidR="00A27358" w:rsidRPr="007F1431">
        <w:rPr>
          <w:rFonts w:ascii="Times New Roman" w:hAnsi="Times New Roman" w:cs="Times New Roman"/>
        </w:rPr>
        <w:t>ktu byl stanoven na</w:t>
      </w:r>
      <w:r w:rsidR="008C08FE" w:rsidRPr="007F1431">
        <w:rPr>
          <w:rFonts w:ascii="Times New Roman" w:hAnsi="Times New Roman" w:cs="Times New Roman"/>
        </w:rPr>
        <w:t xml:space="preserve"> 31. 12. </w:t>
      </w:r>
      <w:r w:rsidR="00A27358" w:rsidRPr="007F1431">
        <w:rPr>
          <w:rFonts w:ascii="Times New Roman" w:hAnsi="Times New Roman" w:cs="Times New Roman"/>
        </w:rPr>
        <w:t>20</w:t>
      </w:r>
      <w:r w:rsidRPr="007F1431">
        <w:rPr>
          <w:rFonts w:ascii="Times New Roman" w:hAnsi="Times New Roman" w:cs="Times New Roman"/>
        </w:rPr>
        <w:t>23</w:t>
      </w:r>
      <w:r w:rsidR="00A27358" w:rsidRPr="007F1431">
        <w:rPr>
          <w:rFonts w:ascii="Times New Roman" w:hAnsi="Times New Roman" w:cs="Times New Roman"/>
        </w:rPr>
        <w:t xml:space="preserve">. </w:t>
      </w:r>
    </w:p>
    <w:p w14:paraId="3B214E68" w14:textId="77777777" w:rsidR="00875644" w:rsidRPr="007F1431" w:rsidRDefault="00875644" w:rsidP="0087564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67087F1" w14:textId="0CD775D9" w:rsidR="00902E85" w:rsidRPr="007F1431" w:rsidRDefault="00B9048C" w:rsidP="00875644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Na základě </w:t>
      </w:r>
      <w:r w:rsidR="00A27358" w:rsidRPr="007F1431">
        <w:rPr>
          <w:rFonts w:ascii="Times New Roman" w:hAnsi="Times New Roman" w:cs="Times New Roman"/>
          <w:b/>
          <w:bCs/>
        </w:rPr>
        <w:t xml:space="preserve">Smlouvy o poskytnutí podpory </w:t>
      </w:r>
      <w:r w:rsidR="003564A9" w:rsidRPr="007F1431">
        <w:rPr>
          <w:rFonts w:ascii="Times New Roman" w:hAnsi="Times New Roman" w:cs="Times New Roman"/>
          <w:b/>
          <w:bCs/>
        </w:rPr>
        <w:t>2021FW03010173</w:t>
      </w:r>
      <w:r w:rsidR="00A27358" w:rsidRPr="007F1431">
        <w:rPr>
          <w:rFonts w:ascii="Times New Roman" w:hAnsi="Times New Roman" w:cs="Times New Roman"/>
          <w:b/>
          <w:bCs/>
        </w:rPr>
        <w:t xml:space="preserve"> </w:t>
      </w:r>
      <w:r w:rsidR="003564A9" w:rsidRPr="007F1431">
        <w:rPr>
          <w:rFonts w:ascii="Times New Roman" w:hAnsi="Times New Roman" w:cs="Times New Roman"/>
        </w:rPr>
        <w:t xml:space="preserve">z roku 2021 </w:t>
      </w:r>
      <w:r w:rsidRPr="007F1431">
        <w:rPr>
          <w:rFonts w:ascii="Times New Roman" w:hAnsi="Times New Roman" w:cs="Times New Roman"/>
        </w:rPr>
        <w:t>poskytla Technologická agentura České republiky, Evropská</w:t>
      </w:r>
      <w:r w:rsidR="003564A9" w:rsidRPr="007F1431">
        <w:rPr>
          <w:rFonts w:ascii="Times New Roman" w:hAnsi="Times New Roman" w:cs="Times New Roman"/>
        </w:rPr>
        <w:t xml:space="preserve"> </w:t>
      </w:r>
      <w:r w:rsidR="006A0544" w:rsidRPr="007F1431">
        <w:rPr>
          <w:rFonts w:ascii="Times New Roman" w:hAnsi="Times New Roman" w:cs="Times New Roman"/>
        </w:rPr>
        <w:t>1692/37</w:t>
      </w:r>
      <w:r w:rsidRPr="007F1431">
        <w:rPr>
          <w:rFonts w:ascii="Times New Roman" w:hAnsi="Times New Roman" w:cs="Times New Roman"/>
        </w:rPr>
        <w:t>, 160 00 Praha 6 (dále jen „</w:t>
      </w:r>
      <w:r w:rsidR="00A27358" w:rsidRPr="007F1431">
        <w:rPr>
          <w:rFonts w:ascii="Times New Roman" w:hAnsi="Times New Roman" w:cs="Times New Roman"/>
          <w:b/>
          <w:bCs/>
        </w:rPr>
        <w:t>P</w:t>
      </w:r>
      <w:r w:rsidRPr="007F1431">
        <w:rPr>
          <w:rFonts w:ascii="Times New Roman" w:hAnsi="Times New Roman" w:cs="Times New Roman"/>
          <w:b/>
          <w:bCs/>
        </w:rPr>
        <w:t>oskytovatel</w:t>
      </w:r>
      <w:r w:rsidR="005A7EE7" w:rsidRPr="007F1431">
        <w:rPr>
          <w:rFonts w:ascii="Times New Roman" w:hAnsi="Times New Roman" w:cs="Times New Roman"/>
        </w:rPr>
        <w:t xml:space="preserve">“) </w:t>
      </w:r>
      <w:r w:rsidR="008E3661" w:rsidRPr="007F1431">
        <w:rPr>
          <w:rFonts w:ascii="Times New Roman" w:hAnsi="Times New Roman" w:cs="Times New Roman"/>
        </w:rPr>
        <w:t xml:space="preserve">finanční účelovou podporu z výdajů státního rozpočtu </w:t>
      </w:r>
      <w:r w:rsidR="00703248">
        <w:rPr>
          <w:rFonts w:ascii="Times New Roman" w:hAnsi="Times New Roman" w:cs="Times New Roman"/>
        </w:rPr>
        <w:t xml:space="preserve">ČR </w:t>
      </w:r>
      <w:r w:rsidR="008E3661" w:rsidRPr="007F1431">
        <w:rPr>
          <w:rFonts w:ascii="Times New Roman" w:hAnsi="Times New Roman" w:cs="Times New Roman"/>
        </w:rPr>
        <w:t>na výzkum, vývoj a inovace formou</w:t>
      </w:r>
      <w:r w:rsidR="00902648" w:rsidRPr="007F1431">
        <w:rPr>
          <w:rFonts w:ascii="Times New Roman" w:hAnsi="Times New Roman" w:cs="Times New Roman"/>
        </w:rPr>
        <w:t xml:space="preserve"> dotace k</w:t>
      </w:r>
      <w:r w:rsidRPr="007F1431">
        <w:rPr>
          <w:rFonts w:ascii="Times New Roman" w:hAnsi="Times New Roman" w:cs="Times New Roman"/>
        </w:rPr>
        <w:t xml:space="preserve"> využ</w:t>
      </w:r>
      <w:r w:rsidR="007817AA" w:rsidRPr="007F1431">
        <w:rPr>
          <w:rFonts w:ascii="Times New Roman" w:hAnsi="Times New Roman" w:cs="Times New Roman"/>
        </w:rPr>
        <w:t xml:space="preserve">ití </w:t>
      </w:r>
      <w:r w:rsidR="005A7EE7" w:rsidRPr="007F1431">
        <w:rPr>
          <w:rFonts w:ascii="Times New Roman" w:hAnsi="Times New Roman" w:cs="Times New Roman"/>
        </w:rPr>
        <w:t>pro</w:t>
      </w:r>
      <w:r w:rsidR="007817AA" w:rsidRPr="007F1431">
        <w:rPr>
          <w:rFonts w:ascii="Times New Roman" w:hAnsi="Times New Roman" w:cs="Times New Roman"/>
        </w:rPr>
        <w:t xml:space="preserve"> dosažení cílů</w:t>
      </w:r>
      <w:r w:rsidRPr="007F1431">
        <w:rPr>
          <w:rFonts w:ascii="Times New Roman" w:hAnsi="Times New Roman" w:cs="Times New Roman"/>
        </w:rPr>
        <w:t xml:space="preserve"> </w:t>
      </w:r>
      <w:r w:rsidRPr="007F1431">
        <w:rPr>
          <w:rFonts w:ascii="Times New Roman" w:hAnsi="Times New Roman" w:cs="Times New Roman"/>
          <w:color w:val="auto"/>
        </w:rPr>
        <w:t xml:space="preserve">stanovených </w:t>
      </w:r>
      <w:r w:rsidR="003E27C2">
        <w:rPr>
          <w:rFonts w:ascii="Times New Roman" w:hAnsi="Times New Roman" w:cs="Times New Roman"/>
          <w:color w:val="auto"/>
        </w:rPr>
        <w:t xml:space="preserve">v </w:t>
      </w:r>
      <w:r w:rsidR="003564A9" w:rsidRPr="007F1431">
        <w:rPr>
          <w:rFonts w:ascii="Times New Roman" w:hAnsi="Times New Roman" w:cs="Times New Roman"/>
          <w:color w:val="auto"/>
        </w:rPr>
        <w:t>závazný</w:t>
      </w:r>
      <w:r w:rsidR="003E27C2">
        <w:rPr>
          <w:rFonts w:ascii="Times New Roman" w:hAnsi="Times New Roman" w:cs="Times New Roman"/>
          <w:color w:val="auto"/>
        </w:rPr>
        <w:t>ch</w:t>
      </w:r>
      <w:r w:rsidR="003564A9" w:rsidRPr="007F1431">
        <w:rPr>
          <w:rFonts w:ascii="Times New Roman" w:hAnsi="Times New Roman" w:cs="Times New Roman"/>
          <w:color w:val="auto"/>
        </w:rPr>
        <w:t xml:space="preserve"> parametrech řešení </w:t>
      </w:r>
      <w:r w:rsidR="003E27C2">
        <w:rPr>
          <w:rFonts w:ascii="Times New Roman" w:hAnsi="Times New Roman" w:cs="Times New Roman"/>
          <w:color w:val="auto"/>
        </w:rPr>
        <w:t>P</w:t>
      </w:r>
      <w:r w:rsidR="003564A9" w:rsidRPr="007F1431">
        <w:rPr>
          <w:rFonts w:ascii="Times New Roman" w:hAnsi="Times New Roman" w:cs="Times New Roman"/>
          <w:color w:val="auto"/>
        </w:rPr>
        <w:t>rojektu.</w:t>
      </w:r>
    </w:p>
    <w:p w14:paraId="1DE16A7D" w14:textId="77777777" w:rsidR="003564A9" w:rsidRPr="007F1431" w:rsidRDefault="003564A9" w:rsidP="003564A9">
      <w:pPr>
        <w:pStyle w:val="Odstavecseseznamem"/>
        <w:rPr>
          <w:rFonts w:ascii="Times New Roman" w:hAnsi="Times New Roman" w:cs="Times New Roman"/>
        </w:rPr>
      </w:pPr>
    </w:p>
    <w:p w14:paraId="6CA2BBD7" w14:textId="607C72FE" w:rsidR="005A7EE7" w:rsidRPr="007F1431" w:rsidRDefault="00902E85" w:rsidP="00D124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Základní pravidla týkající se duševního vlastnictví a zajištění ochrany výsledků výzkumu a vývoje</w:t>
      </w:r>
      <w:r w:rsidR="005A7EE7" w:rsidRPr="007F1431">
        <w:rPr>
          <w:rFonts w:ascii="Times New Roman" w:hAnsi="Times New Roman" w:cs="Times New Roman"/>
          <w:sz w:val="24"/>
          <w:szCs w:val="24"/>
        </w:rPr>
        <w:t xml:space="preserve"> uskutečněných v souvislosti s p</w:t>
      </w:r>
      <w:r w:rsidRPr="007F1431">
        <w:rPr>
          <w:rFonts w:ascii="Times New Roman" w:hAnsi="Times New Roman" w:cs="Times New Roman"/>
          <w:sz w:val="24"/>
          <w:szCs w:val="24"/>
        </w:rPr>
        <w:t xml:space="preserve">rojektem jsou obsažena ve </w:t>
      </w:r>
      <w:r w:rsidRPr="007F1431">
        <w:rPr>
          <w:rFonts w:ascii="Times New Roman" w:hAnsi="Times New Roman" w:cs="Times New Roman"/>
          <w:b/>
          <w:sz w:val="24"/>
          <w:szCs w:val="24"/>
        </w:rPr>
        <w:t xml:space="preserve">Smlouvě o </w:t>
      </w:r>
      <w:r w:rsidR="003564A9" w:rsidRPr="007F1431">
        <w:rPr>
          <w:rFonts w:ascii="Times New Roman" w:hAnsi="Times New Roman" w:cs="Times New Roman"/>
          <w:b/>
          <w:sz w:val="24"/>
          <w:szCs w:val="24"/>
        </w:rPr>
        <w:t>účasti na řešení projektu FW03010173</w:t>
      </w:r>
      <w:r w:rsidR="005A7EE7" w:rsidRPr="007F1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4A9" w:rsidRPr="007F1431">
        <w:rPr>
          <w:rFonts w:ascii="Times New Roman" w:hAnsi="Times New Roman" w:cs="Times New Roman"/>
          <w:b/>
          <w:bCs/>
          <w:sz w:val="24"/>
          <w:szCs w:val="24"/>
        </w:rPr>
        <w:t>Vývoj zvukoabsorpčního betonu pro interiérové aplikace</w:t>
      </w:r>
      <w:r w:rsidRPr="007F1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431">
        <w:rPr>
          <w:rFonts w:ascii="Times New Roman" w:hAnsi="Times New Roman" w:cs="Times New Roman"/>
          <w:sz w:val="24"/>
          <w:szCs w:val="24"/>
        </w:rPr>
        <w:t>pode</w:t>
      </w:r>
      <w:r w:rsidR="005A7EE7" w:rsidRPr="007F1431">
        <w:rPr>
          <w:rFonts w:ascii="Times New Roman" w:hAnsi="Times New Roman" w:cs="Times New Roman"/>
          <w:sz w:val="24"/>
          <w:szCs w:val="24"/>
        </w:rPr>
        <w:t xml:space="preserve">psané </w:t>
      </w:r>
      <w:r w:rsidR="003E27C2">
        <w:rPr>
          <w:rFonts w:ascii="Times New Roman" w:hAnsi="Times New Roman" w:cs="Times New Roman"/>
          <w:sz w:val="24"/>
          <w:szCs w:val="24"/>
        </w:rPr>
        <w:t>S</w:t>
      </w:r>
      <w:r w:rsidR="005A7EE7" w:rsidRPr="007F1431">
        <w:rPr>
          <w:rFonts w:ascii="Times New Roman" w:hAnsi="Times New Roman" w:cs="Times New Roman"/>
          <w:sz w:val="24"/>
          <w:szCs w:val="24"/>
        </w:rPr>
        <w:t xml:space="preserve">mluvními stranami </w:t>
      </w:r>
      <w:r w:rsidR="00117C1C" w:rsidRPr="007F1431">
        <w:rPr>
          <w:rFonts w:ascii="Times New Roman" w:hAnsi="Times New Roman" w:cs="Times New Roman"/>
          <w:sz w:val="24"/>
          <w:szCs w:val="24"/>
        </w:rPr>
        <w:t>dne</w:t>
      </w:r>
      <w:r w:rsidR="003564A9" w:rsidRPr="007F1431">
        <w:rPr>
          <w:rFonts w:ascii="Times New Roman" w:hAnsi="Times New Roman" w:cs="Times New Roman"/>
          <w:sz w:val="24"/>
          <w:szCs w:val="24"/>
        </w:rPr>
        <w:t xml:space="preserve"> 8</w:t>
      </w:r>
      <w:r w:rsidR="00117C1C" w:rsidRPr="007F1431">
        <w:rPr>
          <w:rFonts w:ascii="Times New Roman" w:hAnsi="Times New Roman" w:cs="Times New Roman"/>
          <w:sz w:val="24"/>
          <w:szCs w:val="24"/>
        </w:rPr>
        <w:t>. 3. 20</w:t>
      </w:r>
      <w:r w:rsidR="003564A9" w:rsidRPr="007F1431">
        <w:rPr>
          <w:rFonts w:ascii="Times New Roman" w:hAnsi="Times New Roman" w:cs="Times New Roman"/>
          <w:sz w:val="24"/>
          <w:szCs w:val="24"/>
        </w:rPr>
        <w:t>21</w:t>
      </w:r>
      <w:r w:rsidR="00117C1C" w:rsidRPr="007F1431">
        <w:rPr>
          <w:rFonts w:ascii="Times New Roman" w:hAnsi="Times New Roman" w:cs="Times New Roman"/>
          <w:sz w:val="24"/>
          <w:szCs w:val="24"/>
        </w:rPr>
        <w:t>.</w:t>
      </w:r>
      <w:r w:rsidR="006A0544" w:rsidRPr="007F1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9FE44" w14:textId="77777777" w:rsidR="003564A9" w:rsidRPr="007F1431" w:rsidRDefault="003564A9" w:rsidP="003564A9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05701841" w14:textId="77777777" w:rsidR="007F1431" w:rsidRPr="007F1431" w:rsidRDefault="003564A9" w:rsidP="003564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V závazných parametrech</w:t>
      </w:r>
      <w:r w:rsidR="002972E0" w:rsidRPr="007F1431">
        <w:rPr>
          <w:rFonts w:ascii="Times New Roman" w:hAnsi="Times New Roman" w:cs="Times New Roman"/>
          <w:sz w:val="24"/>
          <w:szCs w:val="24"/>
        </w:rPr>
        <w:t xml:space="preserve"> projektu jsou uvedeny tyto cíle:</w:t>
      </w:r>
      <w:r w:rsidRPr="007F1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069EE" w14:textId="77777777" w:rsidR="007F1431" w:rsidRPr="007F1431" w:rsidRDefault="007F1431" w:rsidP="007F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(C1) </w:t>
      </w:r>
      <w:r w:rsidRPr="007F1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Hlavnı́m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cı́lem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projektu je vyvinout „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zvukoabsorpčnı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beton“,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materiál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ktery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spojı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požadavky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na estetickou kvalitu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pohledového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betonu a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nároky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zvukove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̌-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absorpčnı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vlastnosti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materiálu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̊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běžne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použı́vaných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rámci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prostorove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akustiky.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Primárne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̌ se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předpokláda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jeho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použitı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ve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obkladových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panelů. </w:t>
      </w:r>
    </w:p>
    <w:p w14:paraId="5FC3886F" w14:textId="77777777" w:rsidR="007F1431" w:rsidRPr="007F1431" w:rsidRDefault="007F1431" w:rsidP="007F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(C2)</w:t>
      </w:r>
      <w:r w:rsidRPr="007F1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Druhým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cı́lem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vytvořit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frekvenčne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modulárnı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provedenı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panelů,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dı́ky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kterému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bude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možne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docı́lit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optimálnı́ch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akustických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parametrů prostoru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při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zachovánı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žádane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designove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jednoty, tj. bez nutnosti kombinovat pro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různa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kmitočtova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pásma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akusticke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prvky ve zcela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odlišném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vizuálnı́m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provedenı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́. </w:t>
      </w:r>
    </w:p>
    <w:p w14:paraId="78352B8F" w14:textId="77777777" w:rsidR="007F1431" w:rsidRPr="007F1431" w:rsidRDefault="007F1431" w:rsidP="007F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(C3)</w:t>
      </w:r>
      <w:r w:rsidRPr="007F1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Třetı́m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cı́lem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vytvořenı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monoliticke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varianty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řešenı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́,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ktera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by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umožnila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realizaci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bezespáre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absorpčnı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plochy. </w:t>
      </w:r>
    </w:p>
    <w:p w14:paraId="0FB479FD" w14:textId="6791F567" w:rsidR="003564A9" w:rsidRPr="007F1431" w:rsidRDefault="007F1431" w:rsidP="007F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(C4)</w:t>
      </w:r>
      <w:r w:rsidRPr="007F1431">
        <w:rPr>
          <w:rFonts w:ascii="Times New Roman" w:hAnsi="Times New Roman" w:cs="Times New Roman"/>
          <w:sz w:val="24"/>
          <w:szCs w:val="24"/>
        </w:rPr>
        <w:tab/>
      </w:r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složky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betonove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směsi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 bude snahou v </w:t>
      </w:r>
      <w:proofErr w:type="spellStart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maximálnı</w:t>
      </w:r>
      <w:proofErr w:type="spellEnd"/>
      <w:r w:rsidR="003564A9" w:rsidRPr="007F1431">
        <w:rPr>
          <w:rFonts w:ascii="Times New Roman" w:hAnsi="Times New Roman" w:cs="Times New Roman"/>
          <w:color w:val="000000"/>
          <w:sz w:val="24"/>
          <w:szCs w:val="24"/>
        </w:rPr>
        <w:t>́ možné míře využívat druhotné suroviny.</w:t>
      </w:r>
    </w:p>
    <w:p w14:paraId="3546A941" w14:textId="77777777" w:rsidR="0078395E" w:rsidRPr="007F1431" w:rsidRDefault="0078395E" w:rsidP="00C85056">
      <w:pPr>
        <w:pStyle w:val="Default"/>
        <w:ind w:left="426" w:hanging="426"/>
        <w:rPr>
          <w:color w:val="FF0000"/>
          <w:sz w:val="21"/>
          <w:szCs w:val="21"/>
        </w:rPr>
      </w:pPr>
    </w:p>
    <w:p w14:paraId="72D7F27C" w14:textId="77777777" w:rsidR="005035AE" w:rsidRPr="007F1431" w:rsidRDefault="005035AE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III.</w:t>
      </w:r>
    </w:p>
    <w:p w14:paraId="4AC26491" w14:textId="77777777" w:rsidR="007C4873" w:rsidRPr="007F1431" w:rsidRDefault="00E53E09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Výsledky p</w:t>
      </w:r>
      <w:r w:rsidR="00DE6C91" w:rsidRPr="007F1431">
        <w:rPr>
          <w:rFonts w:ascii="Times New Roman" w:hAnsi="Times New Roman" w:cs="Times New Roman"/>
          <w:b/>
          <w:bCs/>
        </w:rPr>
        <w:t>rojektu</w:t>
      </w:r>
      <w:r w:rsidR="00D1608C" w:rsidRPr="007F1431">
        <w:rPr>
          <w:rFonts w:ascii="Times New Roman" w:hAnsi="Times New Roman" w:cs="Times New Roman"/>
          <w:b/>
          <w:bCs/>
        </w:rPr>
        <w:t xml:space="preserve"> a jejich využití</w:t>
      </w:r>
    </w:p>
    <w:p w14:paraId="1E98FEC5" w14:textId="77777777" w:rsidR="007C4873" w:rsidRPr="007F1431" w:rsidRDefault="007C4873" w:rsidP="00C85056">
      <w:pPr>
        <w:pStyle w:val="Default"/>
        <w:ind w:left="426" w:hanging="426"/>
        <w:rPr>
          <w:rFonts w:ascii="Times New Roman" w:hAnsi="Times New Roman" w:cs="Times New Roman"/>
        </w:rPr>
      </w:pPr>
    </w:p>
    <w:p w14:paraId="6E729B36" w14:textId="5FD321CC" w:rsidR="00201AA2" w:rsidRPr="007F1431" w:rsidRDefault="007C4873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Smluvní strany prohlašují, že </w:t>
      </w:r>
      <w:r w:rsidR="0037360A" w:rsidRPr="007F1431">
        <w:rPr>
          <w:rFonts w:ascii="Times New Roman" w:hAnsi="Times New Roman" w:cs="Times New Roman"/>
        </w:rPr>
        <w:t>při řešení p</w:t>
      </w:r>
      <w:r w:rsidR="00746F13" w:rsidRPr="007F1431">
        <w:rPr>
          <w:rFonts w:ascii="Times New Roman" w:hAnsi="Times New Roman" w:cs="Times New Roman"/>
        </w:rPr>
        <w:t xml:space="preserve">rojektu </w:t>
      </w:r>
      <w:r w:rsidRPr="007F1431">
        <w:rPr>
          <w:rFonts w:ascii="Times New Roman" w:hAnsi="Times New Roman" w:cs="Times New Roman"/>
        </w:rPr>
        <w:t>bylo dosaženo všech výsledků pl</w:t>
      </w:r>
      <w:r w:rsidR="0037360A" w:rsidRPr="007F1431">
        <w:rPr>
          <w:rFonts w:ascii="Times New Roman" w:hAnsi="Times New Roman" w:cs="Times New Roman"/>
        </w:rPr>
        <w:t>ánovaných ve schváleném návrhu p</w:t>
      </w:r>
      <w:r w:rsidRPr="007F1431">
        <w:rPr>
          <w:rFonts w:ascii="Times New Roman" w:hAnsi="Times New Roman" w:cs="Times New Roman"/>
        </w:rPr>
        <w:t>rojektu</w:t>
      </w:r>
      <w:r w:rsidR="009500B9" w:rsidRPr="007F1431">
        <w:rPr>
          <w:rFonts w:ascii="Times New Roman" w:hAnsi="Times New Roman" w:cs="Times New Roman"/>
        </w:rPr>
        <w:t xml:space="preserve"> a že všechny </w:t>
      </w:r>
      <w:r w:rsidR="00D1608C" w:rsidRPr="007F1431">
        <w:rPr>
          <w:rFonts w:ascii="Times New Roman" w:hAnsi="Times New Roman" w:cs="Times New Roman"/>
        </w:rPr>
        <w:t xml:space="preserve">výsledky </w:t>
      </w:r>
      <w:r w:rsidR="0037360A" w:rsidRPr="007F1431">
        <w:rPr>
          <w:rFonts w:ascii="Times New Roman" w:hAnsi="Times New Roman" w:cs="Times New Roman"/>
        </w:rPr>
        <w:t>odpovídají cílům p</w:t>
      </w:r>
      <w:r w:rsidR="009500B9" w:rsidRPr="007F1431">
        <w:rPr>
          <w:rFonts w:ascii="Times New Roman" w:hAnsi="Times New Roman" w:cs="Times New Roman"/>
        </w:rPr>
        <w:t>rojektu</w:t>
      </w:r>
      <w:r w:rsidR="0037360A" w:rsidRPr="007F1431">
        <w:rPr>
          <w:rFonts w:ascii="Times New Roman" w:hAnsi="Times New Roman" w:cs="Times New Roman"/>
        </w:rPr>
        <w:t xml:space="preserve"> a </w:t>
      </w:r>
      <w:r w:rsidR="000A18B8" w:rsidRPr="007F1431">
        <w:rPr>
          <w:rFonts w:ascii="Times New Roman" w:hAnsi="Times New Roman" w:cs="Times New Roman"/>
          <w:color w:val="auto"/>
        </w:rPr>
        <w:t>přispívají k</w:t>
      </w:r>
      <w:r w:rsidR="001F0126" w:rsidRPr="007F1431">
        <w:rPr>
          <w:rFonts w:ascii="Times New Roman" w:hAnsi="Times New Roman" w:cs="Times New Roman"/>
          <w:color w:val="auto"/>
        </w:rPr>
        <w:t xml:space="preserve"> jejich naplnění</w:t>
      </w:r>
      <w:r w:rsidR="009500B9" w:rsidRPr="007F1431">
        <w:rPr>
          <w:rFonts w:ascii="Times New Roman" w:hAnsi="Times New Roman" w:cs="Times New Roman"/>
          <w:color w:val="auto"/>
        </w:rPr>
        <w:t xml:space="preserve">. </w:t>
      </w:r>
    </w:p>
    <w:p w14:paraId="3DB96A0B" w14:textId="77777777" w:rsidR="00201AA2" w:rsidRPr="007F1431" w:rsidRDefault="00201AA2" w:rsidP="006A0544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0D25F28E" w14:textId="464A24FA" w:rsidR="0051319E" w:rsidRPr="007F1431" w:rsidRDefault="00201AA2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Všechny výsledky</w:t>
      </w:r>
      <w:r w:rsidR="007F1431">
        <w:rPr>
          <w:rFonts w:ascii="Times New Roman" w:hAnsi="Times New Roman" w:cs="Times New Roman"/>
        </w:rPr>
        <w:t xml:space="preserve"> </w:t>
      </w:r>
      <w:r w:rsidRPr="007F1431">
        <w:rPr>
          <w:rFonts w:ascii="Times New Roman" w:hAnsi="Times New Roman" w:cs="Times New Roman"/>
        </w:rPr>
        <w:t>jsou součástí návrhu</w:t>
      </w:r>
      <w:r w:rsidR="000A6E3A" w:rsidRPr="007F1431">
        <w:rPr>
          <w:rFonts w:ascii="Times New Roman" w:hAnsi="Times New Roman" w:cs="Times New Roman"/>
        </w:rPr>
        <w:t xml:space="preserve"> implementačního plánu, který byl</w:t>
      </w:r>
      <w:r w:rsidRPr="007F1431">
        <w:rPr>
          <w:rFonts w:ascii="Times New Roman" w:hAnsi="Times New Roman" w:cs="Times New Roman"/>
        </w:rPr>
        <w:t xml:space="preserve"> odevzdáván </w:t>
      </w:r>
      <w:r w:rsidR="0037360A" w:rsidRPr="007F1431">
        <w:rPr>
          <w:rFonts w:ascii="Times New Roman" w:hAnsi="Times New Roman" w:cs="Times New Roman"/>
        </w:rPr>
        <w:t>současně s</w:t>
      </w:r>
      <w:r w:rsidR="000A6E3A" w:rsidRPr="007F1431">
        <w:rPr>
          <w:rFonts w:ascii="Times New Roman" w:hAnsi="Times New Roman" w:cs="Times New Roman"/>
        </w:rPr>
        <w:t xml:space="preserve"> průběžnými a </w:t>
      </w:r>
      <w:r w:rsidR="0037360A" w:rsidRPr="007F1431">
        <w:rPr>
          <w:rFonts w:ascii="Times New Roman" w:hAnsi="Times New Roman" w:cs="Times New Roman"/>
        </w:rPr>
        <w:t>závěrečnou zprávou p</w:t>
      </w:r>
      <w:r w:rsidRPr="007F1431">
        <w:rPr>
          <w:rFonts w:ascii="Times New Roman" w:hAnsi="Times New Roman" w:cs="Times New Roman"/>
        </w:rPr>
        <w:t>rojek</w:t>
      </w:r>
      <w:r w:rsidR="0037360A" w:rsidRPr="007F1431">
        <w:rPr>
          <w:rFonts w:ascii="Times New Roman" w:hAnsi="Times New Roman" w:cs="Times New Roman"/>
        </w:rPr>
        <w:t xml:space="preserve">tu </w:t>
      </w:r>
      <w:r w:rsidR="003E27C2">
        <w:rPr>
          <w:rFonts w:ascii="Times New Roman" w:hAnsi="Times New Roman" w:cs="Times New Roman"/>
        </w:rPr>
        <w:t>P</w:t>
      </w:r>
      <w:r w:rsidR="000A6E3A" w:rsidRPr="007F1431">
        <w:rPr>
          <w:rFonts w:ascii="Times New Roman" w:hAnsi="Times New Roman" w:cs="Times New Roman"/>
        </w:rPr>
        <w:t>oskytovateli.</w:t>
      </w:r>
    </w:p>
    <w:p w14:paraId="03D6DACD" w14:textId="77777777" w:rsidR="00DD2500" w:rsidRPr="007F1431" w:rsidRDefault="00DD2500" w:rsidP="006A0544">
      <w:pPr>
        <w:pStyle w:val="Default"/>
        <w:jc w:val="both"/>
        <w:rPr>
          <w:rFonts w:ascii="Times New Roman" w:hAnsi="Times New Roman" w:cs="Times New Roman"/>
        </w:rPr>
      </w:pPr>
    </w:p>
    <w:p w14:paraId="64949A33" w14:textId="4C150A1F" w:rsidR="00591F9F" w:rsidRPr="007F1431" w:rsidRDefault="00591F9F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Specifikace výsledků je uvedena v Příloze 1 této smlouvy, a to: </w:t>
      </w:r>
    </w:p>
    <w:p w14:paraId="3F8A76FC" w14:textId="6CB85BFB" w:rsidR="00E374C4" w:rsidRPr="007F1431" w:rsidRDefault="00E374C4" w:rsidP="006A0544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evidenční číslo výsledku</w:t>
      </w:r>
      <w:r w:rsidR="003E27C2">
        <w:rPr>
          <w:rFonts w:ascii="Times New Roman" w:hAnsi="Times New Roman" w:cs="Times New Roman"/>
        </w:rPr>
        <w:t>;</w:t>
      </w:r>
    </w:p>
    <w:p w14:paraId="0C1B30AF" w14:textId="6C48022F" w:rsidR="003E27C2" w:rsidRDefault="003E27C2" w:rsidP="003E27C2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číselná pozice zařazení výsledku do návrhu implementačního plánu;</w:t>
      </w:r>
    </w:p>
    <w:p w14:paraId="65648EDD" w14:textId="77777777" w:rsidR="003E27C2" w:rsidRPr="007F1431" w:rsidRDefault="003E27C2" w:rsidP="003E27C2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druh výsledku podle definice druhů výsledků uvedené v „Metodice </w:t>
      </w:r>
      <w:r w:rsidRPr="007F1431">
        <w:rPr>
          <w:rFonts w:ascii="Times New Roman" w:hAnsi="Times New Roman" w:cs="Times New Roman"/>
          <w:bCs/>
        </w:rPr>
        <w:t>hodnocení výzkumných organizací a programů účelové podpory výzkumu, vývoje a inovací“ schválené usnesením vlády dne 8. února 2017 č. 107</w:t>
      </w:r>
      <w:r w:rsidRPr="007F1431">
        <w:rPr>
          <w:rFonts w:ascii="Times New Roman" w:hAnsi="Times New Roman" w:cs="Times New Roman"/>
        </w:rPr>
        <w:t xml:space="preserve">; </w:t>
      </w:r>
    </w:p>
    <w:p w14:paraId="0B2681F6" w14:textId="653CB4E6" w:rsidR="00E374C4" w:rsidRPr="007F1431" w:rsidRDefault="00E374C4" w:rsidP="006A0544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finální název výsledku a původní název předpokládaný ve schváleném návrhu projektu</w:t>
      </w:r>
      <w:r w:rsidR="003E27C2">
        <w:rPr>
          <w:rFonts w:ascii="Times New Roman" w:hAnsi="Times New Roman" w:cs="Times New Roman"/>
        </w:rPr>
        <w:t>;</w:t>
      </w:r>
    </w:p>
    <w:p w14:paraId="6D7053A4" w14:textId="1A087388" w:rsidR="003E27C2" w:rsidRDefault="003E27C2" w:rsidP="006A0544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dosažení výsledku;</w:t>
      </w:r>
    </w:p>
    <w:p w14:paraId="56DB7F35" w14:textId="1E102BE3" w:rsidR="00591F9F" w:rsidRPr="007F1431" w:rsidRDefault="00591F9F" w:rsidP="006A0544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lastRenderedPageBreak/>
        <w:t>zařazení výsledku k příslušnému cíli projektu;</w:t>
      </w:r>
    </w:p>
    <w:p w14:paraId="3DABF6A3" w14:textId="3C46F934" w:rsidR="00591F9F" w:rsidRPr="007F1431" w:rsidRDefault="00591F9F" w:rsidP="006A0544">
      <w:pPr>
        <w:pStyle w:val="Default"/>
        <w:numPr>
          <w:ilvl w:val="0"/>
          <w:numId w:val="18"/>
        </w:numPr>
        <w:ind w:left="851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podíly smluvních stran na </w:t>
      </w:r>
      <w:r w:rsidR="003E27C2">
        <w:rPr>
          <w:rFonts w:ascii="Times New Roman" w:hAnsi="Times New Roman" w:cs="Times New Roman"/>
        </w:rPr>
        <w:t xml:space="preserve">vzniku </w:t>
      </w:r>
      <w:r w:rsidRPr="007F1431">
        <w:rPr>
          <w:rFonts w:ascii="Times New Roman" w:hAnsi="Times New Roman" w:cs="Times New Roman"/>
        </w:rPr>
        <w:t>výsledku</w:t>
      </w:r>
      <w:r w:rsidR="00E374C4" w:rsidRPr="007F1431">
        <w:rPr>
          <w:rFonts w:ascii="Times New Roman" w:hAnsi="Times New Roman" w:cs="Times New Roman"/>
        </w:rPr>
        <w:t>.</w:t>
      </w:r>
    </w:p>
    <w:p w14:paraId="092191A7" w14:textId="77777777" w:rsidR="00591F9F" w:rsidRPr="007F1431" w:rsidRDefault="00591F9F" w:rsidP="006A054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7DD5D40" w14:textId="36BF04FA" w:rsidR="0051319E" w:rsidRPr="004E0ACD" w:rsidRDefault="00FC4944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4E0ACD">
        <w:rPr>
          <w:rFonts w:ascii="Times New Roman" w:hAnsi="Times New Roman" w:cs="Times New Roman"/>
        </w:rPr>
        <w:t>Vymezení výsledků je uvedeno v </w:t>
      </w:r>
      <w:r w:rsidR="00591F9F" w:rsidRPr="004E0ACD">
        <w:rPr>
          <w:rFonts w:ascii="Times New Roman" w:hAnsi="Times New Roman" w:cs="Times New Roman"/>
        </w:rPr>
        <w:t>P</w:t>
      </w:r>
      <w:r w:rsidRPr="004E0ACD">
        <w:rPr>
          <w:rFonts w:ascii="Times New Roman" w:hAnsi="Times New Roman" w:cs="Times New Roman"/>
        </w:rPr>
        <w:t xml:space="preserve">říloze </w:t>
      </w:r>
      <w:r w:rsidR="00DD2500" w:rsidRPr="004E0ACD">
        <w:rPr>
          <w:rFonts w:ascii="Times New Roman" w:hAnsi="Times New Roman" w:cs="Times New Roman"/>
        </w:rPr>
        <w:t>2</w:t>
      </w:r>
      <w:r w:rsidRPr="004E0ACD">
        <w:rPr>
          <w:rFonts w:ascii="Times New Roman" w:hAnsi="Times New Roman" w:cs="Times New Roman"/>
        </w:rPr>
        <w:t xml:space="preserve"> této smlouvy.</w:t>
      </w:r>
    </w:p>
    <w:p w14:paraId="23051C5F" w14:textId="77777777" w:rsidR="00F613CE" w:rsidRPr="004E0ACD" w:rsidRDefault="00F613CE" w:rsidP="006A054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411EAA8" w14:textId="08C79DF0" w:rsidR="00F613CE" w:rsidRPr="00932156" w:rsidRDefault="00F613CE" w:rsidP="004E0AC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</w:rPr>
        <w:t xml:space="preserve">Smluvní strany mají právo obecně šířit informace o výsledcích projektu, které nemají za následek </w:t>
      </w:r>
      <w:r w:rsidR="00703248" w:rsidRPr="00932156">
        <w:rPr>
          <w:rFonts w:ascii="Times New Roman" w:hAnsi="Times New Roman" w:cs="Times New Roman"/>
        </w:rPr>
        <w:t>narušení</w:t>
      </w:r>
      <w:r w:rsidRPr="00932156">
        <w:rPr>
          <w:rFonts w:ascii="Times New Roman" w:hAnsi="Times New Roman" w:cs="Times New Roman"/>
        </w:rPr>
        <w:t xml:space="preserve"> práva k duševnímu vlastnictví</w:t>
      </w:r>
      <w:r w:rsidR="004E0ACD" w:rsidRPr="00932156">
        <w:rPr>
          <w:rFonts w:ascii="Times New Roman" w:hAnsi="Times New Roman" w:cs="Times New Roman"/>
        </w:rPr>
        <w:t xml:space="preserve"> a nezasáhnou do oprávněných zájmů společnosti AVETON při komercializaci výrobků.</w:t>
      </w:r>
    </w:p>
    <w:p w14:paraId="324F592F" w14:textId="77777777" w:rsidR="0051319E" w:rsidRPr="00932156" w:rsidRDefault="0051319E" w:rsidP="006A05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1D405C" w14:textId="4232B781" w:rsidR="00E83837" w:rsidRPr="00932156" w:rsidRDefault="00591F9F" w:rsidP="004E0AC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  <w:color w:val="auto"/>
        </w:rPr>
        <w:t>S</w:t>
      </w:r>
      <w:r w:rsidR="00DD2500" w:rsidRPr="00932156">
        <w:rPr>
          <w:rFonts w:ascii="Times New Roman" w:hAnsi="Times New Roman" w:cs="Times New Roman"/>
          <w:color w:val="auto"/>
        </w:rPr>
        <w:t xml:space="preserve">mluvní </w:t>
      </w:r>
      <w:r w:rsidRPr="00932156">
        <w:rPr>
          <w:rFonts w:ascii="Times New Roman" w:hAnsi="Times New Roman" w:cs="Times New Roman"/>
          <w:color w:val="auto"/>
        </w:rPr>
        <w:t>strany</w:t>
      </w:r>
      <w:r w:rsidR="00B5117D" w:rsidRPr="00932156">
        <w:rPr>
          <w:rFonts w:ascii="Times New Roman" w:hAnsi="Times New Roman" w:cs="Times New Roman"/>
          <w:i/>
          <w:color w:val="auto"/>
        </w:rPr>
        <w:t xml:space="preserve"> </w:t>
      </w:r>
      <w:r w:rsidR="00282AE1" w:rsidRPr="00932156">
        <w:rPr>
          <w:rFonts w:ascii="Times New Roman" w:hAnsi="Times New Roman" w:cs="Times New Roman"/>
          <w:color w:val="auto"/>
        </w:rPr>
        <w:t>j</w:t>
      </w:r>
      <w:r w:rsidRPr="00932156">
        <w:rPr>
          <w:rFonts w:ascii="Times New Roman" w:hAnsi="Times New Roman" w:cs="Times New Roman"/>
          <w:color w:val="auto"/>
        </w:rPr>
        <w:t>sou</w:t>
      </w:r>
      <w:r w:rsidR="00282AE1" w:rsidRPr="00932156">
        <w:rPr>
          <w:rFonts w:ascii="Times New Roman" w:hAnsi="Times New Roman" w:cs="Times New Roman"/>
          <w:color w:val="auto"/>
        </w:rPr>
        <w:t xml:space="preserve"> oprávněn</w:t>
      </w:r>
      <w:r w:rsidRPr="00932156">
        <w:rPr>
          <w:rFonts w:ascii="Times New Roman" w:hAnsi="Times New Roman" w:cs="Times New Roman"/>
          <w:color w:val="auto"/>
        </w:rPr>
        <w:t>y</w:t>
      </w:r>
      <w:r w:rsidR="003E27C2" w:rsidRPr="00932156">
        <w:rPr>
          <w:rFonts w:ascii="Times New Roman" w:hAnsi="Times New Roman" w:cs="Times New Roman"/>
          <w:color w:val="auto"/>
        </w:rPr>
        <w:t xml:space="preserve"> bezplatně</w:t>
      </w:r>
      <w:r w:rsidRPr="00932156">
        <w:rPr>
          <w:rFonts w:ascii="Times New Roman" w:hAnsi="Times New Roman" w:cs="Times New Roman"/>
          <w:color w:val="auto"/>
        </w:rPr>
        <w:t xml:space="preserve"> využívat</w:t>
      </w:r>
      <w:r w:rsidR="00282AE1" w:rsidRPr="00932156">
        <w:rPr>
          <w:rFonts w:ascii="Times New Roman" w:hAnsi="Times New Roman" w:cs="Times New Roman"/>
          <w:color w:val="auto"/>
        </w:rPr>
        <w:t xml:space="preserve"> </w:t>
      </w:r>
      <w:r w:rsidR="00E374C4" w:rsidRPr="00932156">
        <w:rPr>
          <w:rFonts w:ascii="Times New Roman" w:hAnsi="Times New Roman" w:cs="Times New Roman"/>
          <w:color w:val="auto"/>
        </w:rPr>
        <w:t xml:space="preserve">veškeré </w:t>
      </w:r>
      <w:r w:rsidR="00282AE1" w:rsidRPr="00932156">
        <w:rPr>
          <w:rFonts w:ascii="Times New Roman" w:hAnsi="Times New Roman" w:cs="Times New Roman"/>
          <w:color w:val="auto"/>
        </w:rPr>
        <w:t>výsledky</w:t>
      </w:r>
      <w:r w:rsidR="007B2AC6" w:rsidRPr="00932156">
        <w:rPr>
          <w:rFonts w:ascii="Times New Roman" w:hAnsi="Times New Roman" w:cs="Times New Roman"/>
          <w:color w:val="auto"/>
        </w:rPr>
        <w:t xml:space="preserve"> </w:t>
      </w:r>
      <w:r w:rsidR="0037360A" w:rsidRPr="00932156">
        <w:rPr>
          <w:rFonts w:ascii="Times New Roman" w:hAnsi="Times New Roman" w:cs="Times New Roman"/>
          <w:color w:val="auto"/>
        </w:rPr>
        <w:t>p</w:t>
      </w:r>
      <w:r w:rsidR="00282AE1" w:rsidRPr="00932156">
        <w:rPr>
          <w:rFonts w:ascii="Times New Roman" w:hAnsi="Times New Roman" w:cs="Times New Roman"/>
          <w:color w:val="auto"/>
        </w:rPr>
        <w:t>rojektu k</w:t>
      </w:r>
      <w:r w:rsidR="000B3C0C" w:rsidRPr="00932156">
        <w:rPr>
          <w:rFonts w:ascii="Times New Roman" w:hAnsi="Times New Roman" w:cs="Times New Roman"/>
          <w:color w:val="auto"/>
        </w:rPr>
        <w:t xml:space="preserve"> bezúplatným </w:t>
      </w:r>
      <w:r w:rsidR="00282AE1" w:rsidRPr="00932156">
        <w:rPr>
          <w:rFonts w:ascii="Times New Roman" w:hAnsi="Times New Roman" w:cs="Times New Roman"/>
          <w:color w:val="auto"/>
        </w:rPr>
        <w:t>výukovým</w:t>
      </w:r>
      <w:r w:rsidR="000B3C0C" w:rsidRPr="00932156">
        <w:rPr>
          <w:rFonts w:ascii="Times New Roman" w:hAnsi="Times New Roman" w:cs="Times New Roman"/>
          <w:color w:val="auto"/>
        </w:rPr>
        <w:t xml:space="preserve"> </w:t>
      </w:r>
      <w:r w:rsidR="00E374C4" w:rsidRPr="00932156">
        <w:rPr>
          <w:rFonts w:ascii="Times New Roman" w:hAnsi="Times New Roman" w:cs="Times New Roman"/>
          <w:color w:val="auto"/>
        </w:rPr>
        <w:t xml:space="preserve">a vzdělávacím </w:t>
      </w:r>
      <w:r w:rsidR="000B3C0C" w:rsidRPr="00932156">
        <w:rPr>
          <w:rFonts w:ascii="Times New Roman" w:hAnsi="Times New Roman" w:cs="Times New Roman"/>
          <w:color w:val="auto"/>
        </w:rPr>
        <w:t>účelům</w:t>
      </w:r>
      <w:r w:rsidR="004E0ACD" w:rsidRPr="00932156">
        <w:rPr>
          <w:rFonts w:ascii="Times New Roman" w:hAnsi="Times New Roman" w:cs="Times New Roman"/>
          <w:color w:val="auto"/>
        </w:rPr>
        <w:t xml:space="preserve"> </w:t>
      </w:r>
      <w:r w:rsidR="004E0ACD" w:rsidRPr="00932156">
        <w:rPr>
          <w:rFonts w:ascii="Times New Roman" w:hAnsi="Times New Roman" w:cs="Times New Roman"/>
        </w:rPr>
        <w:t>a nezasáhnou do oprávněných zájmů společnosti AVETON při komercializaci výrobků.</w:t>
      </w:r>
    </w:p>
    <w:p w14:paraId="0B667779" w14:textId="77777777" w:rsidR="00E374C4" w:rsidRPr="00932156" w:rsidRDefault="00E374C4" w:rsidP="003761F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2104A00A" w14:textId="77777777" w:rsidR="004E0ACD" w:rsidRPr="00932156" w:rsidRDefault="00E374C4" w:rsidP="004E0AC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  <w:color w:val="auto"/>
        </w:rPr>
        <w:t>Smluvní strany</w:t>
      </w:r>
      <w:r w:rsidRPr="00932156">
        <w:rPr>
          <w:rFonts w:ascii="Times New Roman" w:hAnsi="Times New Roman" w:cs="Times New Roman"/>
          <w:i/>
          <w:color w:val="auto"/>
        </w:rPr>
        <w:t xml:space="preserve"> </w:t>
      </w:r>
      <w:r w:rsidRPr="00932156">
        <w:rPr>
          <w:rFonts w:ascii="Times New Roman" w:hAnsi="Times New Roman" w:cs="Times New Roman"/>
          <w:color w:val="auto"/>
        </w:rPr>
        <w:t xml:space="preserve">jsou oprávněny </w:t>
      </w:r>
      <w:r w:rsidR="003E27C2" w:rsidRPr="00932156">
        <w:rPr>
          <w:rFonts w:ascii="Times New Roman" w:hAnsi="Times New Roman" w:cs="Times New Roman"/>
          <w:color w:val="auto"/>
        </w:rPr>
        <w:t xml:space="preserve">bezplatně </w:t>
      </w:r>
      <w:r w:rsidRPr="00932156">
        <w:rPr>
          <w:rFonts w:ascii="Times New Roman" w:hAnsi="Times New Roman" w:cs="Times New Roman"/>
          <w:color w:val="auto"/>
        </w:rPr>
        <w:t>využívat veškeré výsledky projektu</w:t>
      </w:r>
      <w:r w:rsidR="003E27C2" w:rsidRPr="00932156">
        <w:rPr>
          <w:rFonts w:ascii="Times New Roman" w:hAnsi="Times New Roman" w:cs="Times New Roman"/>
          <w:color w:val="auto"/>
        </w:rPr>
        <w:t xml:space="preserve"> </w:t>
      </w:r>
      <w:r w:rsidRPr="00932156">
        <w:rPr>
          <w:rFonts w:ascii="Times New Roman" w:hAnsi="Times New Roman" w:cs="Times New Roman"/>
          <w:color w:val="auto"/>
        </w:rPr>
        <w:t>k</w:t>
      </w:r>
      <w:r w:rsidR="003761F1" w:rsidRPr="00932156">
        <w:rPr>
          <w:rFonts w:ascii="Times New Roman" w:hAnsi="Times New Roman" w:cs="Times New Roman"/>
          <w:color w:val="auto"/>
        </w:rPr>
        <w:t xml:space="preserve"> vlastním </w:t>
      </w:r>
      <w:r w:rsidRPr="00932156">
        <w:rPr>
          <w:rFonts w:ascii="Times New Roman" w:hAnsi="Times New Roman" w:cs="Times New Roman"/>
          <w:color w:val="auto"/>
        </w:rPr>
        <w:t>vědeckým a výzkumným činnostem</w:t>
      </w:r>
      <w:r w:rsidR="004E0ACD" w:rsidRPr="00932156">
        <w:rPr>
          <w:rFonts w:ascii="Times New Roman" w:hAnsi="Times New Roman" w:cs="Times New Roman"/>
          <w:color w:val="auto"/>
        </w:rPr>
        <w:t xml:space="preserve"> </w:t>
      </w:r>
      <w:r w:rsidR="004E0ACD" w:rsidRPr="00932156">
        <w:rPr>
          <w:rFonts w:ascii="Times New Roman" w:hAnsi="Times New Roman" w:cs="Times New Roman"/>
        </w:rPr>
        <w:t>a nezasáhnou do oprávněných zájmů společnosti AVETON při komercializaci výrobků.</w:t>
      </w:r>
    </w:p>
    <w:p w14:paraId="623ACC8E" w14:textId="77777777" w:rsidR="00E83837" w:rsidRPr="007F1431" w:rsidRDefault="00E83837" w:rsidP="003761F1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4C65A34" w14:textId="2DF6D3B6" w:rsidR="00CD3B9A" w:rsidRPr="00932156" w:rsidRDefault="004E0ACD" w:rsidP="009D1C0F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</w:rPr>
        <w:t xml:space="preserve">Smluvní strany se dohodly, že komerční využití bude příslušet výhradně společnosti AVETON. ČVUT bude náležet přiměřená odměna z prodaných výrobků, které jsou výsledky z řešeného projektu uvedené v příloze č 2. </w:t>
      </w:r>
      <w:r w:rsidR="00BE150C" w:rsidRPr="00932156">
        <w:rPr>
          <w:rFonts w:ascii="Times New Roman" w:hAnsi="Times New Roman" w:cs="Times New Roman"/>
        </w:rPr>
        <w:t xml:space="preserve">Podíly </w:t>
      </w:r>
      <w:r w:rsidR="00CA186B" w:rsidRPr="00932156">
        <w:rPr>
          <w:rFonts w:ascii="Times New Roman" w:hAnsi="Times New Roman" w:cs="Times New Roman"/>
        </w:rPr>
        <w:t>s</w:t>
      </w:r>
      <w:r w:rsidR="00BE150C" w:rsidRPr="00932156">
        <w:rPr>
          <w:rFonts w:ascii="Times New Roman" w:hAnsi="Times New Roman" w:cs="Times New Roman"/>
        </w:rPr>
        <w:t xml:space="preserve">tran na zisku při komercializaci každého z výsledků </w:t>
      </w:r>
      <w:r w:rsidR="00D5391B" w:rsidRPr="00932156">
        <w:rPr>
          <w:rFonts w:ascii="Times New Roman" w:hAnsi="Times New Roman" w:cs="Times New Roman"/>
        </w:rPr>
        <w:t>p</w:t>
      </w:r>
      <w:r w:rsidR="00BE150C" w:rsidRPr="00932156">
        <w:rPr>
          <w:rFonts w:ascii="Times New Roman" w:hAnsi="Times New Roman" w:cs="Times New Roman"/>
        </w:rPr>
        <w:t>rojektu</w:t>
      </w:r>
      <w:r w:rsidR="000B3C0C" w:rsidRPr="00932156">
        <w:rPr>
          <w:rFonts w:ascii="Times New Roman" w:hAnsi="Times New Roman" w:cs="Times New Roman"/>
        </w:rPr>
        <w:t xml:space="preserve"> budou řešeny písemnou dohodou S</w:t>
      </w:r>
      <w:r w:rsidR="00BE150C" w:rsidRPr="00932156">
        <w:rPr>
          <w:rFonts w:ascii="Times New Roman" w:hAnsi="Times New Roman" w:cs="Times New Roman"/>
        </w:rPr>
        <w:t>mluvních stran, a to před zahájením</w:t>
      </w:r>
      <w:r w:rsidR="00AB51C5" w:rsidRPr="00932156">
        <w:rPr>
          <w:rFonts w:ascii="Times New Roman" w:hAnsi="Times New Roman" w:cs="Times New Roman"/>
        </w:rPr>
        <w:t xml:space="preserve"> komerčního využívání výsledku. Tyto podíly budou respektovat další činnosti a náklady spojené s</w:t>
      </w:r>
      <w:r w:rsidR="00703248" w:rsidRPr="00932156">
        <w:rPr>
          <w:rFonts w:ascii="Times New Roman" w:hAnsi="Times New Roman" w:cs="Times New Roman"/>
        </w:rPr>
        <w:t xml:space="preserve"> komercializací a </w:t>
      </w:r>
      <w:r w:rsidR="00AB51C5" w:rsidRPr="00932156">
        <w:rPr>
          <w:rFonts w:ascii="Times New Roman" w:hAnsi="Times New Roman" w:cs="Times New Roman"/>
        </w:rPr>
        <w:t xml:space="preserve">realizací výsledku a mohou se tedy lišit od </w:t>
      </w:r>
      <w:r w:rsidR="0037360A" w:rsidRPr="00932156">
        <w:rPr>
          <w:rFonts w:ascii="Times New Roman" w:hAnsi="Times New Roman" w:cs="Times New Roman"/>
        </w:rPr>
        <w:t xml:space="preserve">podílů uvedených v Příloze </w:t>
      </w:r>
      <w:r w:rsidR="000C2401" w:rsidRPr="00932156">
        <w:rPr>
          <w:rFonts w:ascii="Times New Roman" w:hAnsi="Times New Roman" w:cs="Times New Roman"/>
        </w:rPr>
        <w:t>1</w:t>
      </w:r>
      <w:r w:rsidR="00D727DD" w:rsidRPr="00932156">
        <w:rPr>
          <w:rFonts w:ascii="Times New Roman" w:hAnsi="Times New Roman" w:cs="Times New Roman"/>
        </w:rPr>
        <w:t xml:space="preserve"> této smlouvy</w:t>
      </w:r>
      <w:r w:rsidR="00AB51C5" w:rsidRPr="00932156">
        <w:rPr>
          <w:rFonts w:ascii="Times New Roman" w:hAnsi="Times New Roman" w:cs="Times New Roman"/>
        </w:rPr>
        <w:t>, které zohledňují pouze odbornou a finanční spoluúčast na tvorbě výsledků výzkumu a vývoje do data podpisu této smlouvy.</w:t>
      </w:r>
    </w:p>
    <w:p w14:paraId="487F1E9C" w14:textId="77777777" w:rsidR="00B72D78" w:rsidRPr="007F1431" w:rsidRDefault="00B72D78" w:rsidP="006A0544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D2D2D"/>
        </w:rPr>
      </w:pPr>
    </w:p>
    <w:p w14:paraId="7D58E497" w14:textId="09FF85D8" w:rsidR="00B72D78" w:rsidRPr="007F1431" w:rsidRDefault="00B72D78" w:rsidP="002E5C1B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2D2D2D"/>
        </w:rPr>
      </w:pPr>
      <w:r w:rsidRPr="007F1431">
        <w:rPr>
          <w:rFonts w:ascii="Times New Roman" w:hAnsi="Times New Roman" w:cs="Times New Roman"/>
          <w:color w:val="2D2D2D"/>
        </w:rPr>
        <w:t>Na třetí osobu může některý ze spoluvlastníků převést svůj podíl</w:t>
      </w:r>
      <w:r w:rsidR="00DE3D16" w:rsidRPr="007F1431">
        <w:rPr>
          <w:rFonts w:ascii="Times New Roman" w:hAnsi="Times New Roman" w:cs="Times New Roman"/>
          <w:color w:val="2D2D2D"/>
        </w:rPr>
        <w:t xml:space="preserve"> </w:t>
      </w:r>
      <w:r w:rsidRPr="007F1431">
        <w:rPr>
          <w:rFonts w:ascii="Times New Roman" w:hAnsi="Times New Roman" w:cs="Times New Roman"/>
          <w:color w:val="2D2D2D"/>
        </w:rPr>
        <w:t xml:space="preserve">jen v případě, že </w:t>
      </w:r>
      <w:r w:rsidR="007F1431">
        <w:rPr>
          <w:rFonts w:ascii="Times New Roman" w:hAnsi="Times New Roman" w:cs="Times New Roman"/>
          <w:color w:val="2D2D2D"/>
        </w:rPr>
        <w:t>druhý</w:t>
      </w:r>
      <w:r w:rsidR="00A869CA" w:rsidRPr="007F1431">
        <w:rPr>
          <w:rFonts w:ascii="Times New Roman" w:hAnsi="Times New Roman" w:cs="Times New Roman"/>
          <w:color w:val="2D2D2D"/>
        </w:rPr>
        <w:t xml:space="preserve"> ze spoluvlastníků</w:t>
      </w:r>
      <w:r w:rsidR="00A869CA" w:rsidRPr="007F1431">
        <w:rPr>
          <w:rFonts w:ascii="Times New Roman" w:hAnsi="Times New Roman" w:cs="Times New Roman"/>
          <w:color w:val="auto"/>
        </w:rPr>
        <w:t xml:space="preserve"> </w:t>
      </w:r>
      <w:r w:rsidR="00C133F6" w:rsidRPr="007F1431">
        <w:rPr>
          <w:rFonts w:ascii="Times New Roman" w:hAnsi="Times New Roman" w:cs="Times New Roman"/>
          <w:color w:val="auto"/>
        </w:rPr>
        <w:t xml:space="preserve">neprojeví </w:t>
      </w:r>
      <w:r w:rsidR="003761F1" w:rsidRPr="007F1431">
        <w:rPr>
          <w:rFonts w:ascii="Times New Roman" w:hAnsi="Times New Roman" w:cs="Times New Roman"/>
          <w:color w:val="auto"/>
        </w:rPr>
        <w:t xml:space="preserve">písemně </w:t>
      </w:r>
      <w:r w:rsidR="00C133F6" w:rsidRPr="007F1431">
        <w:rPr>
          <w:rFonts w:ascii="Times New Roman" w:hAnsi="Times New Roman" w:cs="Times New Roman"/>
          <w:color w:val="auto"/>
        </w:rPr>
        <w:t xml:space="preserve">zájem o převzetí podílu do </w:t>
      </w:r>
      <w:r w:rsidR="004E0ACD" w:rsidRPr="00932156">
        <w:rPr>
          <w:rFonts w:ascii="Times New Roman" w:hAnsi="Times New Roman" w:cs="Times New Roman"/>
          <w:color w:val="auto"/>
        </w:rPr>
        <w:t xml:space="preserve">třech </w:t>
      </w:r>
      <w:r w:rsidR="00C133F6" w:rsidRPr="00932156">
        <w:rPr>
          <w:rFonts w:ascii="Times New Roman" w:hAnsi="Times New Roman" w:cs="Times New Roman"/>
          <w:color w:val="auto"/>
        </w:rPr>
        <w:t>měsíc</w:t>
      </w:r>
      <w:r w:rsidR="004E0ACD" w:rsidRPr="00932156">
        <w:rPr>
          <w:rFonts w:ascii="Times New Roman" w:hAnsi="Times New Roman" w:cs="Times New Roman"/>
          <w:color w:val="auto"/>
        </w:rPr>
        <w:t>ů</w:t>
      </w:r>
      <w:r w:rsidR="00C133F6" w:rsidRPr="007F1431">
        <w:rPr>
          <w:rFonts w:ascii="Times New Roman" w:hAnsi="Times New Roman" w:cs="Times New Roman"/>
          <w:color w:val="auto"/>
        </w:rPr>
        <w:t xml:space="preserve"> od obdržení písemné výzvy.</w:t>
      </w:r>
      <w:r w:rsidRPr="007F1431">
        <w:rPr>
          <w:rFonts w:ascii="Times New Roman" w:hAnsi="Times New Roman" w:cs="Times New Roman"/>
          <w:color w:val="auto"/>
        </w:rPr>
        <w:t xml:space="preserve"> V ostatních otázkách se vzájemné vztahy mezi spoluvlastníky řídí obecnými předpisy o spoluvlastnictví (§ 1115 a násl. zákona č. 89/2012 Sb., občanský zákoník, v platném znění).</w:t>
      </w:r>
    </w:p>
    <w:p w14:paraId="56465D61" w14:textId="77777777" w:rsidR="005146AE" w:rsidRPr="007F1431" w:rsidRDefault="005146AE" w:rsidP="006A0544">
      <w:pPr>
        <w:pStyle w:val="Default"/>
        <w:jc w:val="both"/>
        <w:rPr>
          <w:rFonts w:ascii="Times New Roman" w:hAnsi="Times New Roman" w:cs="Times New Roman"/>
        </w:rPr>
      </w:pPr>
    </w:p>
    <w:p w14:paraId="1C71A6B6" w14:textId="6E53C38D" w:rsidR="00BD5098" w:rsidRPr="00D37FAE" w:rsidRDefault="00BD5098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Smluvní strany se zavazují vhodným způsobem zveřejňovat informaci, že výsledků bylo dosaženo za finanční podpory ze státních prostředků poskytnutých prostřednictvím </w:t>
      </w:r>
      <w:r w:rsidR="003E27C2">
        <w:rPr>
          <w:rFonts w:ascii="Times New Roman" w:hAnsi="Times New Roman" w:cs="Times New Roman"/>
        </w:rPr>
        <w:t>P</w:t>
      </w:r>
      <w:r w:rsidRPr="007F1431">
        <w:rPr>
          <w:rFonts w:ascii="Times New Roman" w:hAnsi="Times New Roman" w:cs="Times New Roman"/>
        </w:rPr>
        <w:t>oskytovatele</w:t>
      </w:r>
      <w:r w:rsidR="00703248">
        <w:rPr>
          <w:rFonts w:ascii="Times New Roman" w:hAnsi="Times New Roman" w:cs="Times New Roman"/>
        </w:rPr>
        <w:t xml:space="preserve">. </w:t>
      </w:r>
    </w:p>
    <w:p w14:paraId="5E6CA700" w14:textId="79AF0818" w:rsidR="00D37FAE" w:rsidRPr="007F1431" w:rsidRDefault="00D37FAE" w:rsidP="00D37FAE">
      <w:pPr>
        <w:pStyle w:val="Default"/>
        <w:jc w:val="both"/>
        <w:rPr>
          <w:rFonts w:ascii="Times New Roman" w:hAnsi="Times New Roman" w:cs="Times New Roman"/>
        </w:rPr>
      </w:pPr>
    </w:p>
    <w:p w14:paraId="0DC50379" w14:textId="6462446F" w:rsidR="003564A9" w:rsidRDefault="003564A9" w:rsidP="006A0544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K využití výsledků dojde nejdéle do pěti let od ukončení řešení </w:t>
      </w:r>
      <w:r w:rsidR="003E27C2">
        <w:rPr>
          <w:rFonts w:ascii="Times New Roman" w:hAnsi="Times New Roman" w:cs="Times New Roman"/>
        </w:rPr>
        <w:t>P</w:t>
      </w:r>
      <w:r w:rsidRPr="007F1431">
        <w:rPr>
          <w:rFonts w:ascii="Times New Roman" w:hAnsi="Times New Roman" w:cs="Times New Roman"/>
        </w:rPr>
        <w:t>rojektu.</w:t>
      </w:r>
    </w:p>
    <w:p w14:paraId="1478A19A" w14:textId="6542E28C" w:rsidR="005120AA" w:rsidRPr="007F1431" w:rsidRDefault="005120AA" w:rsidP="003761F1">
      <w:pPr>
        <w:spacing w:after="0" w:line="240" w:lineRule="auto"/>
        <w:rPr>
          <w:rFonts w:ascii="Times New Roman" w:hAnsi="Times New Roman" w:cs="Times New Roman"/>
        </w:rPr>
      </w:pPr>
    </w:p>
    <w:p w14:paraId="022598D4" w14:textId="77777777" w:rsidR="002C6440" w:rsidRPr="007F1431" w:rsidRDefault="00C70400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>IV.</w:t>
      </w:r>
    </w:p>
    <w:p w14:paraId="266A5CF1" w14:textId="627CCBBB" w:rsidR="00E53E09" w:rsidRPr="007F1431" w:rsidRDefault="00E53E09" w:rsidP="00F613CE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>Ochrana výsledků p</w:t>
      </w:r>
      <w:r w:rsidR="00C70400" w:rsidRPr="007F1431">
        <w:rPr>
          <w:rFonts w:ascii="Times New Roman" w:hAnsi="Times New Roman" w:cs="Times New Roman"/>
          <w:b/>
        </w:rPr>
        <w:t>rojektu</w:t>
      </w:r>
    </w:p>
    <w:p w14:paraId="68A0B6E6" w14:textId="77777777" w:rsidR="00DE3D16" w:rsidRPr="007F1431" w:rsidRDefault="00DE3D16" w:rsidP="003761F1">
      <w:pPr>
        <w:pStyle w:val="Default"/>
        <w:rPr>
          <w:rFonts w:ascii="Times New Roman" w:hAnsi="Times New Roman" w:cs="Times New Roman"/>
          <w:b/>
        </w:rPr>
      </w:pPr>
    </w:p>
    <w:p w14:paraId="597C55D4" w14:textId="77777777" w:rsidR="00B36BEA" w:rsidRPr="007F1431" w:rsidRDefault="00B36BEA" w:rsidP="006A054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31">
        <w:rPr>
          <w:rFonts w:ascii="Times New Roman" w:hAnsi="Times New Roman" w:cs="Times New Roman"/>
          <w:color w:val="000000"/>
          <w:sz w:val="24"/>
          <w:szCs w:val="24"/>
        </w:rPr>
        <w:t xml:space="preserve">Projekt, způsob jeho řešení ani výsledky jeho řešení nejsou utajovanými informacemi ve smyslu zákona č. 412/2005 Sb., o ochraně utajovaných informací a o bezpečnostní způsobilosti, v platném znění. </w:t>
      </w:r>
    </w:p>
    <w:p w14:paraId="11F57C69" w14:textId="77777777" w:rsidR="00B36BEA" w:rsidRPr="007F1431" w:rsidRDefault="00B36BEA" w:rsidP="006A054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1B28C2F" w14:textId="3740F543" w:rsidR="00454617" w:rsidRPr="007F1431" w:rsidRDefault="00E53E09" w:rsidP="006A0544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Veškeré informace, které si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 strany vzájemně poskytnou v souvislosti s jednáním o uzavření této smlouvy či v souvislosti s plněním této smlouvy, které budou některou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 stranou označeny za „důvěrné“, jsou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mluvními stranami této smlouvy považovány za důvěrné informace ve smyslu ustanovení občanského zákoníku. </w:t>
      </w:r>
    </w:p>
    <w:p w14:paraId="09B897DB" w14:textId="77777777" w:rsidR="00E53E09" w:rsidRPr="007F1431" w:rsidRDefault="00E53E09" w:rsidP="006A0544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4702210E" w14:textId="0551FE57" w:rsidR="00D21F36" w:rsidRPr="007F1431" w:rsidRDefault="00D21F36" w:rsidP="006A0544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  <w:color w:val="auto"/>
        </w:rPr>
        <w:lastRenderedPageBreak/>
        <w:t xml:space="preserve">Mohou-li si u některé ze </w:t>
      </w:r>
      <w:r w:rsidR="003E27C2">
        <w:rPr>
          <w:rFonts w:ascii="Times New Roman" w:hAnsi="Times New Roman" w:cs="Times New Roman"/>
          <w:color w:val="auto"/>
        </w:rPr>
        <w:t>S</w:t>
      </w:r>
      <w:r w:rsidRPr="007F1431">
        <w:rPr>
          <w:rFonts w:ascii="Times New Roman" w:hAnsi="Times New Roman" w:cs="Times New Roman"/>
          <w:color w:val="auto"/>
        </w:rPr>
        <w:t xml:space="preserve">mluvních stran činit nároky na práva k výsledkům třetí osoby, je tato </w:t>
      </w:r>
      <w:r w:rsidR="003E27C2">
        <w:rPr>
          <w:rFonts w:ascii="Times New Roman" w:hAnsi="Times New Roman" w:cs="Times New Roman"/>
          <w:color w:val="auto"/>
        </w:rPr>
        <w:t>S</w:t>
      </w:r>
      <w:r w:rsidRPr="007F1431">
        <w:rPr>
          <w:rFonts w:ascii="Times New Roman" w:hAnsi="Times New Roman" w:cs="Times New Roman"/>
          <w:color w:val="auto"/>
        </w:rPr>
        <w:t xml:space="preserve">mluvní strana povinna </w:t>
      </w:r>
      <w:r w:rsidR="00D805F1" w:rsidRPr="007F1431">
        <w:rPr>
          <w:rFonts w:ascii="Times New Roman" w:hAnsi="Times New Roman" w:cs="Times New Roman"/>
          <w:color w:val="auto"/>
        </w:rPr>
        <w:t>zajistit</w:t>
      </w:r>
      <w:r w:rsidRPr="007F1431">
        <w:rPr>
          <w:rFonts w:ascii="Times New Roman" w:hAnsi="Times New Roman" w:cs="Times New Roman"/>
          <w:color w:val="auto"/>
        </w:rPr>
        <w:t xml:space="preserve">, aby tato práva byla vykonávána v souladu s </w:t>
      </w:r>
      <w:r w:rsidR="00DE3D16" w:rsidRPr="007F1431">
        <w:rPr>
          <w:rFonts w:ascii="Times New Roman" w:hAnsi="Times New Roman" w:cs="Times New Roman"/>
          <w:color w:val="auto"/>
        </w:rPr>
        <w:t xml:space="preserve">jejími </w:t>
      </w:r>
      <w:r w:rsidRPr="007F1431">
        <w:rPr>
          <w:rFonts w:ascii="Times New Roman" w:hAnsi="Times New Roman" w:cs="Times New Roman"/>
          <w:color w:val="auto"/>
        </w:rPr>
        <w:t>vlastními závazky vyplývajícími z této smlouvy.</w:t>
      </w:r>
    </w:p>
    <w:p w14:paraId="37BAED87" w14:textId="77777777" w:rsidR="00E53E09" w:rsidRPr="007F1431" w:rsidRDefault="00E53E09" w:rsidP="006A0544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19372CE9" w14:textId="46DE0767" w:rsidR="002A15D9" w:rsidRPr="007F1431" w:rsidRDefault="00E53E09" w:rsidP="006A0544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Smluvní strany se zavazují chránit výsledky</w:t>
      </w:r>
      <w:r w:rsidR="00D21F36" w:rsidRPr="007F1431">
        <w:rPr>
          <w:rFonts w:ascii="Times New Roman" w:hAnsi="Times New Roman" w:cs="Times New Roman"/>
        </w:rPr>
        <w:t xml:space="preserve"> </w:t>
      </w:r>
      <w:r w:rsidRPr="007F1431">
        <w:rPr>
          <w:rFonts w:ascii="Times New Roman" w:hAnsi="Times New Roman" w:cs="Times New Roman"/>
        </w:rPr>
        <w:t>a nezve</w:t>
      </w:r>
      <w:r w:rsidR="002A15D9" w:rsidRPr="007F1431">
        <w:rPr>
          <w:rFonts w:ascii="Times New Roman" w:hAnsi="Times New Roman" w:cs="Times New Roman"/>
        </w:rPr>
        <w:t>řejňovat podrobné parametry</w:t>
      </w:r>
      <w:r w:rsidRPr="007F1431">
        <w:rPr>
          <w:rFonts w:ascii="Times New Roman" w:hAnsi="Times New Roman" w:cs="Times New Roman"/>
        </w:rPr>
        <w:t xml:space="preserve"> výsledků</w:t>
      </w:r>
      <w:r w:rsidR="00703248">
        <w:rPr>
          <w:rFonts w:ascii="Times New Roman" w:hAnsi="Times New Roman" w:cs="Times New Roman"/>
        </w:rPr>
        <w:t>,</w:t>
      </w:r>
      <w:r w:rsidRPr="007F1431">
        <w:rPr>
          <w:rFonts w:ascii="Times New Roman" w:hAnsi="Times New Roman" w:cs="Times New Roman"/>
        </w:rPr>
        <w:t xml:space="preserve"> popřípadě další informace, které by mohly být jiným subjektem zneužitelné a </w:t>
      </w:r>
      <w:r w:rsidR="002A15D9" w:rsidRPr="007F1431">
        <w:rPr>
          <w:rFonts w:ascii="Times New Roman" w:hAnsi="Times New Roman" w:cs="Times New Roman"/>
        </w:rPr>
        <w:t>snížit hodnotu výsledků</w:t>
      </w:r>
      <w:r w:rsidRPr="007F1431">
        <w:rPr>
          <w:rFonts w:ascii="Times New Roman" w:hAnsi="Times New Roman" w:cs="Times New Roman"/>
        </w:rPr>
        <w:t xml:space="preserve">. Výsledky tvoří obchodní tajemství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mluvních stran ve smyslu ustanovení občanského zákoníku a </w:t>
      </w:r>
      <w:r w:rsidR="003E27C2">
        <w:rPr>
          <w:rFonts w:ascii="Times New Roman" w:hAnsi="Times New Roman" w:cs="Times New Roman"/>
        </w:rPr>
        <w:t>obě</w:t>
      </w:r>
      <w:r w:rsidRPr="007F1431">
        <w:rPr>
          <w:rFonts w:ascii="Times New Roman" w:hAnsi="Times New Roman" w:cs="Times New Roman"/>
        </w:rPr>
        <w:t xml:space="preserve">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>mluvní strany se zavazují tajemství nevyzradit žádné jiné osobě bez před</w:t>
      </w:r>
      <w:r w:rsidR="002A15D9" w:rsidRPr="007F1431">
        <w:rPr>
          <w:rFonts w:ascii="Times New Roman" w:hAnsi="Times New Roman" w:cs="Times New Roman"/>
        </w:rPr>
        <w:t>chozího písemného souhlasu</w:t>
      </w:r>
      <w:r w:rsidRPr="007F1431">
        <w:rPr>
          <w:rFonts w:ascii="Times New Roman" w:hAnsi="Times New Roman" w:cs="Times New Roman"/>
        </w:rPr>
        <w:t xml:space="preserve">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>mluvní</w:t>
      </w:r>
      <w:r w:rsidR="00BD5098" w:rsidRPr="007F1431">
        <w:rPr>
          <w:rFonts w:ascii="Times New Roman" w:hAnsi="Times New Roman" w:cs="Times New Roman"/>
        </w:rPr>
        <w:t>ch stran, které</w:t>
      </w:r>
      <w:r w:rsidR="002A15D9" w:rsidRPr="007F1431">
        <w:rPr>
          <w:rFonts w:ascii="Times New Roman" w:hAnsi="Times New Roman" w:cs="Times New Roman"/>
        </w:rPr>
        <w:t xml:space="preserve"> mají</w:t>
      </w:r>
      <w:r w:rsidRPr="007F1431">
        <w:rPr>
          <w:rFonts w:ascii="Times New Roman" w:hAnsi="Times New Roman" w:cs="Times New Roman"/>
        </w:rPr>
        <w:t xml:space="preserve"> k danému výsledku práva dle této smlouvy. </w:t>
      </w:r>
      <w:r w:rsidR="002A15D9" w:rsidRPr="007F1431">
        <w:rPr>
          <w:rFonts w:ascii="Times New Roman" w:hAnsi="Times New Roman" w:cs="Times New Roman"/>
        </w:rPr>
        <w:t xml:space="preserve"> </w:t>
      </w:r>
    </w:p>
    <w:p w14:paraId="74C2AA74" w14:textId="77777777" w:rsidR="00DE5579" w:rsidRPr="007F1431" w:rsidRDefault="00DE5579" w:rsidP="00C85056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B120CBD" w14:textId="77777777" w:rsidR="00DE5579" w:rsidRPr="007F1431" w:rsidRDefault="00DE5579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 xml:space="preserve">V. </w:t>
      </w:r>
    </w:p>
    <w:p w14:paraId="70EBC27B" w14:textId="77777777" w:rsidR="00DE5579" w:rsidRPr="007F1431" w:rsidRDefault="005146AE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>Povinnosti smluvních stran</w:t>
      </w:r>
    </w:p>
    <w:p w14:paraId="1F90E152" w14:textId="77777777" w:rsidR="005146AE" w:rsidRPr="007F1431" w:rsidRDefault="005146AE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</w:p>
    <w:p w14:paraId="1420CB5A" w14:textId="733F7055" w:rsidR="00B06C62" w:rsidRPr="007F1431" w:rsidRDefault="005146AE" w:rsidP="006A0544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Smluvní strany jsou povinny se </w:t>
      </w:r>
      <w:r w:rsidR="00AC4FFF" w:rsidRPr="007F1431">
        <w:rPr>
          <w:rFonts w:ascii="Times New Roman" w:hAnsi="Times New Roman" w:cs="Times New Roman"/>
        </w:rPr>
        <w:t xml:space="preserve">řádně a </w:t>
      </w:r>
      <w:r w:rsidRPr="007F1431">
        <w:rPr>
          <w:rFonts w:ascii="Times New Roman" w:hAnsi="Times New Roman" w:cs="Times New Roman"/>
        </w:rPr>
        <w:t xml:space="preserve">s předstihem vzájemně </w:t>
      </w:r>
      <w:r w:rsidR="00B63778" w:rsidRPr="007F1431">
        <w:rPr>
          <w:rFonts w:ascii="Times New Roman" w:hAnsi="Times New Roman" w:cs="Times New Roman"/>
        </w:rPr>
        <w:t xml:space="preserve">informovat </w:t>
      </w:r>
      <w:r w:rsidRPr="007F1431">
        <w:rPr>
          <w:rFonts w:ascii="Times New Roman" w:hAnsi="Times New Roman" w:cs="Times New Roman"/>
        </w:rPr>
        <w:t xml:space="preserve">o veškerých skutečnostech a okolnostech, které mohou být významné pro plnění závazků </w:t>
      </w:r>
      <w:r w:rsidR="00C301D3" w:rsidRPr="007F1431">
        <w:rPr>
          <w:rFonts w:ascii="Times New Roman" w:hAnsi="Times New Roman" w:cs="Times New Roman"/>
        </w:rPr>
        <w:t>vyplývajících z této smlouvy</w:t>
      </w:r>
      <w:r w:rsidRPr="007F1431">
        <w:rPr>
          <w:rFonts w:ascii="Times New Roman" w:hAnsi="Times New Roman" w:cs="Times New Roman"/>
        </w:rPr>
        <w:t xml:space="preserve">, a to </w:t>
      </w:r>
      <w:r w:rsidR="007210A1" w:rsidRPr="007F1431">
        <w:rPr>
          <w:rFonts w:ascii="Times New Roman" w:hAnsi="Times New Roman" w:cs="Times New Roman"/>
        </w:rPr>
        <w:t>bez zbytečného odkladu</w:t>
      </w:r>
      <w:r w:rsidRPr="007F1431">
        <w:rPr>
          <w:rFonts w:ascii="Times New Roman" w:hAnsi="Times New Roman" w:cs="Times New Roman"/>
        </w:rPr>
        <w:t xml:space="preserve"> poté, co takové skutečnosti a okolnosti dotčená smluvní strana zjistila</w:t>
      </w:r>
      <w:r w:rsidR="00B06C62" w:rsidRPr="007F1431">
        <w:rPr>
          <w:rFonts w:ascii="Times New Roman" w:hAnsi="Times New Roman" w:cs="Times New Roman"/>
        </w:rPr>
        <w:t xml:space="preserve">. </w:t>
      </w:r>
    </w:p>
    <w:p w14:paraId="72596D28" w14:textId="07958F50" w:rsidR="00B06C62" w:rsidRPr="007F1431" w:rsidRDefault="00B06C62" w:rsidP="00376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72C83" w14:textId="01710E9C" w:rsidR="00C62CC1" w:rsidRDefault="009E2089" w:rsidP="00C62CC1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>Smluvní strany</w:t>
      </w:r>
      <w:r w:rsidR="002A15D9" w:rsidRPr="007F1431">
        <w:rPr>
          <w:rFonts w:ascii="Times New Roman" w:hAnsi="Times New Roman" w:cs="Times New Roman"/>
        </w:rPr>
        <w:t xml:space="preserve"> se zavazuj</w:t>
      </w:r>
      <w:r w:rsidRPr="007F1431">
        <w:rPr>
          <w:rFonts w:ascii="Times New Roman" w:hAnsi="Times New Roman" w:cs="Times New Roman"/>
        </w:rPr>
        <w:t>í</w:t>
      </w:r>
      <w:r w:rsidR="002A15D9" w:rsidRPr="007F1431">
        <w:rPr>
          <w:rFonts w:ascii="Times New Roman" w:hAnsi="Times New Roman" w:cs="Times New Roman"/>
        </w:rPr>
        <w:t xml:space="preserve"> </w:t>
      </w:r>
      <w:r w:rsidR="00CB5D71" w:rsidRPr="007F1431">
        <w:rPr>
          <w:rFonts w:ascii="Times New Roman" w:hAnsi="Times New Roman" w:cs="Times New Roman"/>
        </w:rPr>
        <w:t>k</w:t>
      </w:r>
      <w:r w:rsidR="002A15D9" w:rsidRPr="007F1431">
        <w:rPr>
          <w:rFonts w:ascii="Times New Roman" w:hAnsi="Times New Roman" w:cs="Times New Roman"/>
        </w:rPr>
        <w:t xml:space="preserve"> součinnost</w:t>
      </w:r>
      <w:r w:rsidR="00CB5D71" w:rsidRPr="007F1431">
        <w:rPr>
          <w:rFonts w:ascii="Times New Roman" w:hAnsi="Times New Roman" w:cs="Times New Roman"/>
        </w:rPr>
        <w:t>i</w:t>
      </w:r>
      <w:r w:rsidR="002A15D9" w:rsidRPr="007F1431">
        <w:rPr>
          <w:rFonts w:ascii="Times New Roman" w:hAnsi="Times New Roman" w:cs="Times New Roman"/>
        </w:rPr>
        <w:t xml:space="preserve"> při kontrolách plnění imp</w:t>
      </w:r>
      <w:r w:rsidR="00985D60" w:rsidRPr="007F1431">
        <w:rPr>
          <w:rFonts w:ascii="Times New Roman" w:hAnsi="Times New Roman" w:cs="Times New Roman"/>
        </w:rPr>
        <w:t>lementačního plánu výsledků</w:t>
      </w:r>
      <w:r w:rsidR="002A15D9" w:rsidRPr="007F1431">
        <w:rPr>
          <w:rFonts w:ascii="Times New Roman" w:hAnsi="Times New Roman" w:cs="Times New Roman"/>
        </w:rPr>
        <w:t xml:space="preserve"> </w:t>
      </w:r>
      <w:r w:rsidR="005146AE" w:rsidRPr="007F1431">
        <w:rPr>
          <w:rFonts w:ascii="Times New Roman" w:hAnsi="Times New Roman" w:cs="Times New Roman"/>
        </w:rPr>
        <w:t xml:space="preserve">ze strany </w:t>
      </w:r>
      <w:r w:rsidR="003E27C2">
        <w:rPr>
          <w:rFonts w:ascii="Times New Roman" w:hAnsi="Times New Roman" w:cs="Times New Roman"/>
        </w:rPr>
        <w:t>P</w:t>
      </w:r>
      <w:r w:rsidR="005146AE" w:rsidRPr="007F1431">
        <w:rPr>
          <w:rFonts w:ascii="Times New Roman" w:hAnsi="Times New Roman" w:cs="Times New Roman"/>
        </w:rPr>
        <w:t>oskytovatele.</w:t>
      </w:r>
    </w:p>
    <w:p w14:paraId="5F8196FB" w14:textId="77777777" w:rsidR="00C62CC1" w:rsidRPr="00C62CC1" w:rsidRDefault="00C62CC1" w:rsidP="00C62CC1">
      <w:pPr>
        <w:pStyle w:val="Default"/>
        <w:jc w:val="both"/>
        <w:rPr>
          <w:rFonts w:ascii="Times New Roman" w:hAnsi="Times New Roman" w:cs="Times New Roman"/>
        </w:rPr>
      </w:pPr>
    </w:p>
    <w:p w14:paraId="2ACC4B81" w14:textId="0CFB184C" w:rsidR="00C62CC1" w:rsidRPr="00932156" w:rsidRDefault="00C62CC1" w:rsidP="00C62CC1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</w:rPr>
        <w:t>AVETON bude výhradním výrobcem a prodejcem výstupů uvedený</w:t>
      </w:r>
      <w:r w:rsidR="00932156" w:rsidRPr="00932156">
        <w:rPr>
          <w:rFonts w:ascii="Times New Roman" w:hAnsi="Times New Roman" w:cs="Times New Roman"/>
        </w:rPr>
        <w:t>ch</w:t>
      </w:r>
      <w:r w:rsidRPr="00932156">
        <w:rPr>
          <w:rFonts w:ascii="Times New Roman" w:hAnsi="Times New Roman" w:cs="Times New Roman"/>
        </w:rPr>
        <w:t xml:space="preserve"> v Příloze č.2, kde ČVUT bude náležet přiměřená odměna z prodaných výrobků.</w:t>
      </w:r>
    </w:p>
    <w:p w14:paraId="2D3069AE" w14:textId="77777777" w:rsidR="00C62CC1" w:rsidRPr="00932156" w:rsidRDefault="00C62CC1" w:rsidP="00C62CC1">
      <w:pPr>
        <w:pStyle w:val="Default"/>
        <w:jc w:val="both"/>
        <w:rPr>
          <w:rFonts w:ascii="Times New Roman" w:hAnsi="Times New Roman" w:cs="Times New Roman"/>
        </w:rPr>
      </w:pPr>
    </w:p>
    <w:p w14:paraId="7D8002C5" w14:textId="3ABA64FE" w:rsidR="00C62CC1" w:rsidRPr="00932156" w:rsidRDefault="00C62CC1" w:rsidP="006A0544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932156">
        <w:rPr>
          <w:rFonts w:ascii="Times New Roman" w:hAnsi="Times New Roman" w:cs="Times New Roman"/>
        </w:rPr>
        <w:t>ČVUT nebude jakkoli zasahovat do výrobních, obchodních a jakýchkoli dalších aktivit společnosti AVETON při komerčním využití. Toto ustanovení se v</w:t>
      </w:r>
      <w:r w:rsidR="00932156" w:rsidRPr="00932156">
        <w:rPr>
          <w:rFonts w:ascii="Times New Roman" w:hAnsi="Times New Roman" w:cs="Times New Roman"/>
        </w:rPr>
        <w:t>z</w:t>
      </w:r>
      <w:r w:rsidRPr="00932156">
        <w:rPr>
          <w:rFonts w:ascii="Times New Roman" w:hAnsi="Times New Roman" w:cs="Times New Roman"/>
        </w:rPr>
        <w:t>tahuje i na třetí osobu v případě, že ČVUT prodá práva na duševní vlastnictví třetí osobě.</w:t>
      </w:r>
    </w:p>
    <w:p w14:paraId="61BDECB3" w14:textId="77777777" w:rsidR="00454617" w:rsidRPr="007F1431" w:rsidRDefault="00454617" w:rsidP="00C85056">
      <w:pPr>
        <w:pStyle w:val="Default"/>
        <w:rPr>
          <w:rFonts w:ascii="Times New Roman" w:hAnsi="Times New Roman" w:cs="Times New Roman"/>
        </w:rPr>
      </w:pPr>
    </w:p>
    <w:p w14:paraId="4E2E7C0C" w14:textId="77777777" w:rsidR="004C585E" w:rsidRPr="007F1431" w:rsidRDefault="004C585E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>VI.</w:t>
      </w:r>
    </w:p>
    <w:p w14:paraId="6859BD36" w14:textId="77777777" w:rsidR="004C585E" w:rsidRPr="007F1431" w:rsidRDefault="004C585E" w:rsidP="00C85056">
      <w:pPr>
        <w:pStyle w:val="Default"/>
        <w:ind w:left="426" w:hanging="426"/>
        <w:jc w:val="center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  <w:b/>
        </w:rPr>
        <w:t>Porušení smluvních povinností a sankce</w:t>
      </w:r>
    </w:p>
    <w:p w14:paraId="55BCAD30" w14:textId="77777777" w:rsidR="004C585E" w:rsidRPr="007F1431" w:rsidRDefault="004C585E" w:rsidP="00C85056">
      <w:pPr>
        <w:pStyle w:val="Default"/>
        <w:ind w:left="426" w:hanging="426"/>
        <w:rPr>
          <w:rFonts w:ascii="Times New Roman" w:hAnsi="Times New Roman" w:cs="Times New Roman"/>
        </w:rPr>
      </w:pPr>
    </w:p>
    <w:p w14:paraId="424CEBD8" w14:textId="3B61D499" w:rsidR="004C585E" w:rsidRPr="007F1431" w:rsidRDefault="004C585E" w:rsidP="006A0544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  <w:color w:val="auto"/>
        </w:rPr>
        <w:t xml:space="preserve">Veškeré spory mezi </w:t>
      </w:r>
      <w:r w:rsidR="00D37FAE">
        <w:rPr>
          <w:rFonts w:ascii="Times New Roman" w:hAnsi="Times New Roman" w:cs="Times New Roman"/>
          <w:color w:val="auto"/>
        </w:rPr>
        <w:t>S</w:t>
      </w:r>
      <w:r w:rsidRPr="007F1431">
        <w:rPr>
          <w:rFonts w:ascii="Times New Roman" w:hAnsi="Times New Roman" w:cs="Times New Roman"/>
          <w:color w:val="auto"/>
        </w:rPr>
        <w:t xml:space="preserve">mluvními stranami vyplývající nebo související s ustanoveními této smlouvy budou řešeny vždy nejprve smírně vzájemnou dohodou. Nebude-li smírného řešení dosaženo v přiměřené době, bude mít kterákoliv ze </w:t>
      </w:r>
      <w:r w:rsidR="003E27C2">
        <w:rPr>
          <w:rFonts w:ascii="Times New Roman" w:hAnsi="Times New Roman" w:cs="Times New Roman"/>
          <w:color w:val="auto"/>
        </w:rPr>
        <w:t>S</w:t>
      </w:r>
      <w:r w:rsidRPr="007F1431">
        <w:rPr>
          <w:rFonts w:ascii="Times New Roman" w:hAnsi="Times New Roman" w:cs="Times New Roman"/>
          <w:color w:val="auto"/>
        </w:rPr>
        <w:t xml:space="preserve">mluvních stran právo předložit spornou záležitost k rozhodnutí místně příslušnému soudu. </w:t>
      </w:r>
    </w:p>
    <w:p w14:paraId="1C009C68" w14:textId="77777777" w:rsidR="004C585E" w:rsidRPr="007F1431" w:rsidRDefault="004C585E" w:rsidP="006A054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E7CFA93" w14:textId="7BCA29D2" w:rsidR="004C585E" w:rsidRPr="007F1431" w:rsidRDefault="004C585E" w:rsidP="006A0544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V případě porušení smluvní povinnosti stanovené touto smlouvou se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 strana, která danou smluvní povinnost porušila, zavazuje uhradit </w:t>
      </w:r>
      <w:r w:rsidR="003E27C2">
        <w:rPr>
          <w:rFonts w:ascii="Times New Roman" w:hAnsi="Times New Roman" w:cs="Times New Roman"/>
        </w:rPr>
        <w:t>druhé</w:t>
      </w:r>
      <w:r w:rsidRPr="007F1431">
        <w:rPr>
          <w:rFonts w:ascii="Times New Roman" w:hAnsi="Times New Roman" w:cs="Times New Roman"/>
        </w:rPr>
        <w:t xml:space="preserve"> smluvní stran</w:t>
      </w:r>
      <w:r w:rsidR="003E27C2">
        <w:rPr>
          <w:rFonts w:ascii="Times New Roman" w:hAnsi="Times New Roman" w:cs="Times New Roman"/>
        </w:rPr>
        <w:t>ě</w:t>
      </w:r>
      <w:r w:rsidRPr="007F1431">
        <w:rPr>
          <w:rFonts w:ascii="Times New Roman" w:hAnsi="Times New Roman" w:cs="Times New Roman"/>
        </w:rPr>
        <w:t xml:space="preserve"> náhradu jej</w:t>
      </w:r>
      <w:r w:rsidR="003E27C2">
        <w:rPr>
          <w:rFonts w:ascii="Times New Roman" w:hAnsi="Times New Roman" w:cs="Times New Roman"/>
        </w:rPr>
        <w:t>í</w:t>
      </w:r>
      <w:r w:rsidRPr="007F1431">
        <w:rPr>
          <w:rFonts w:ascii="Times New Roman" w:hAnsi="Times New Roman" w:cs="Times New Roman"/>
        </w:rPr>
        <w:t xml:space="preserve"> škody. </w:t>
      </w:r>
    </w:p>
    <w:p w14:paraId="7BA5CD77" w14:textId="77777777" w:rsidR="004C585E" w:rsidRPr="007F1431" w:rsidRDefault="004C585E" w:rsidP="006A0544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22C835EF" w14:textId="6A6B0493" w:rsidR="004C585E" w:rsidRDefault="00C723B6" w:rsidP="005120AA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  <w:color w:val="auto"/>
        </w:rPr>
        <w:t xml:space="preserve">V případě porušení povinností podle čl. V této smlouvy některou ze </w:t>
      </w:r>
      <w:r w:rsidR="003E27C2">
        <w:rPr>
          <w:rFonts w:ascii="Times New Roman" w:hAnsi="Times New Roman" w:cs="Times New Roman"/>
          <w:color w:val="auto"/>
        </w:rPr>
        <w:t>S</w:t>
      </w:r>
      <w:r w:rsidRPr="007F1431">
        <w:rPr>
          <w:rFonts w:ascii="Times New Roman" w:hAnsi="Times New Roman" w:cs="Times New Roman"/>
          <w:color w:val="auto"/>
        </w:rPr>
        <w:t xml:space="preserve">mluvních stran je tato strana povinna zaplatit </w:t>
      </w:r>
      <w:r w:rsidR="00CB5D71" w:rsidRPr="007F1431">
        <w:rPr>
          <w:rFonts w:ascii="Times New Roman" w:hAnsi="Times New Roman" w:cs="Times New Roman"/>
          <w:color w:val="auto"/>
        </w:rPr>
        <w:t xml:space="preserve">smluvní </w:t>
      </w:r>
      <w:r w:rsidR="00CB5D71" w:rsidRPr="00932156">
        <w:rPr>
          <w:rFonts w:ascii="Times New Roman" w:hAnsi="Times New Roman" w:cs="Times New Roman"/>
          <w:color w:val="auto"/>
        </w:rPr>
        <w:t>pokutu 1</w:t>
      </w:r>
      <w:r w:rsidR="004577D0" w:rsidRPr="00932156">
        <w:rPr>
          <w:rFonts w:ascii="Times New Roman" w:hAnsi="Times New Roman" w:cs="Times New Roman"/>
          <w:color w:val="auto"/>
        </w:rPr>
        <w:t>0</w:t>
      </w:r>
      <w:r w:rsidR="00CB5D71" w:rsidRPr="00932156">
        <w:rPr>
          <w:rFonts w:ascii="Times New Roman" w:hAnsi="Times New Roman" w:cs="Times New Roman"/>
          <w:color w:val="auto"/>
        </w:rPr>
        <w:t>0</w:t>
      </w:r>
      <w:r w:rsidR="00932156" w:rsidRPr="00932156">
        <w:rPr>
          <w:rFonts w:ascii="Times New Roman" w:hAnsi="Times New Roman" w:cs="Times New Roman"/>
          <w:color w:val="auto"/>
        </w:rPr>
        <w:t xml:space="preserve"> </w:t>
      </w:r>
      <w:r w:rsidR="00CB5D71" w:rsidRPr="00932156">
        <w:rPr>
          <w:rFonts w:ascii="Times New Roman" w:hAnsi="Times New Roman" w:cs="Times New Roman"/>
          <w:color w:val="auto"/>
        </w:rPr>
        <w:t xml:space="preserve">000 Kč </w:t>
      </w:r>
      <w:r w:rsidR="003761F1" w:rsidRPr="00932156">
        <w:rPr>
          <w:rFonts w:ascii="Times New Roman" w:hAnsi="Times New Roman" w:cs="Times New Roman"/>
          <w:color w:val="auto"/>
        </w:rPr>
        <w:t>(</w:t>
      </w:r>
      <w:r w:rsidR="00932156" w:rsidRPr="00932156">
        <w:rPr>
          <w:rFonts w:ascii="Times New Roman" w:hAnsi="Times New Roman" w:cs="Times New Roman"/>
          <w:color w:val="auto"/>
        </w:rPr>
        <w:t>sto</w:t>
      </w:r>
      <w:r w:rsidR="003761F1" w:rsidRPr="00932156">
        <w:rPr>
          <w:rFonts w:ascii="Times New Roman" w:hAnsi="Times New Roman" w:cs="Times New Roman"/>
          <w:color w:val="auto"/>
        </w:rPr>
        <w:t>tis</w:t>
      </w:r>
      <w:r w:rsidR="00D45F69" w:rsidRPr="00932156">
        <w:rPr>
          <w:rFonts w:ascii="Times New Roman" w:hAnsi="Times New Roman" w:cs="Times New Roman"/>
          <w:color w:val="auto"/>
        </w:rPr>
        <w:t xml:space="preserve">íc korun českých) </w:t>
      </w:r>
      <w:r w:rsidR="00021840" w:rsidRPr="00932156">
        <w:rPr>
          <w:rFonts w:ascii="Times New Roman" w:hAnsi="Times New Roman" w:cs="Times New Roman"/>
          <w:color w:val="auto"/>
        </w:rPr>
        <w:t xml:space="preserve">za každé jednotlivé porušení </w:t>
      </w:r>
      <w:r w:rsidR="003E27C2" w:rsidRPr="00932156">
        <w:rPr>
          <w:rFonts w:ascii="Times New Roman" w:hAnsi="Times New Roman" w:cs="Times New Roman"/>
          <w:color w:val="auto"/>
        </w:rPr>
        <w:t>S</w:t>
      </w:r>
      <w:r w:rsidR="00CB5D71" w:rsidRPr="00932156">
        <w:rPr>
          <w:rFonts w:ascii="Times New Roman" w:hAnsi="Times New Roman" w:cs="Times New Roman"/>
          <w:color w:val="auto"/>
        </w:rPr>
        <w:t>mluvní straně, které způsobila újmu.</w:t>
      </w:r>
    </w:p>
    <w:p w14:paraId="66CFBCF2" w14:textId="77777777" w:rsidR="00BA539C" w:rsidRPr="007F1431" w:rsidRDefault="00BA539C" w:rsidP="00BA539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6A3D6A04" w14:textId="03E285D5" w:rsidR="008A6116" w:rsidRPr="007F1431" w:rsidRDefault="008A6116" w:rsidP="008A6116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</w:rPr>
        <w:t xml:space="preserve">Zaplacením smluvních pokut dle této smlouvy není dotčeno právo smluvních stran na náhradu škody, a to jak škody skutečné, tak ušlého zisku. Právo na náhradu škody je poškozená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>mluvní strana oprávněna uplatňovat samostatně a nezávisle na smluvních pokutách dle této smlouvy.</w:t>
      </w:r>
    </w:p>
    <w:p w14:paraId="40DA5A80" w14:textId="77777777" w:rsidR="00BA539C" w:rsidRPr="007F1431" w:rsidRDefault="00BA539C" w:rsidP="00BA539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8D5C5D8" w14:textId="002FDB03" w:rsidR="008A6116" w:rsidRPr="00BA539C" w:rsidRDefault="008A6116" w:rsidP="008A6116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</w:rPr>
        <w:lastRenderedPageBreak/>
        <w:t xml:space="preserve">Nestanoví-li tato smlouva jinak, smluvní pokuta a náhrada škody jsou splatné do pěti dnů ode dne doručení písemné výzvy k jejich zaplacení té </w:t>
      </w:r>
      <w:r w:rsidR="003E27C2">
        <w:rPr>
          <w:rFonts w:ascii="Times New Roman" w:hAnsi="Times New Roman" w:cs="Times New Roman"/>
        </w:rPr>
        <w:t xml:space="preserve">Smluvní </w:t>
      </w:r>
      <w:r w:rsidRPr="007F1431">
        <w:rPr>
          <w:rFonts w:ascii="Times New Roman" w:hAnsi="Times New Roman" w:cs="Times New Roman"/>
        </w:rPr>
        <w:t xml:space="preserve">straně, která porušila smluvní povinnost stanovenou v této smlouvě. </w:t>
      </w:r>
    </w:p>
    <w:p w14:paraId="46F1AB0A" w14:textId="77777777" w:rsidR="00BA539C" w:rsidRPr="007F1431" w:rsidRDefault="00BA539C" w:rsidP="00BA53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E1D2C7" w14:textId="1ABFA6D5" w:rsidR="00DE5579" w:rsidRPr="007F1431" w:rsidRDefault="00DE5579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</w:rPr>
      </w:pPr>
      <w:r w:rsidRPr="007F1431">
        <w:rPr>
          <w:rFonts w:ascii="Times New Roman" w:hAnsi="Times New Roman" w:cs="Times New Roman"/>
          <w:b/>
        </w:rPr>
        <w:t>VI</w:t>
      </w:r>
      <w:r w:rsidR="008A6116" w:rsidRPr="007F1431">
        <w:rPr>
          <w:rFonts w:ascii="Times New Roman" w:hAnsi="Times New Roman" w:cs="Times New Roman"/>
          <w:b/>
        </w:rPr>
        <w:t>I</w:t>
      </w:r>
      <w:r w:rsidRPr="007F1431">
        <w:rPr>
          <w:rFonts w:ascii="Times New Roman" w:hAnsi="Times New Roman" w:cs="Times New Roman"/>
          <w:b/>
        </w:rPr>
        <w:t xml:space="preserve">. </w:t>
      </w:r>
    </w:p>
    <w:p w14:paraId="135DA667" w14:textId="77777777" w:rsidR="00DE5579" w:rsidRPr="007F1431" w:rsidRDefault="00DE5579" w:rsidP="00C85056">
      <w:pPr>
        <w:pStyle w:val="Default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7F1431">
        <w:rPr>
          <w:rFonts w:ascii="Times New Roman" w:hAnsi="Times New Roman" w:cs="Times New Roman"/>
          <w:b/>
          <w:bCs/>
        </w:rPr>
        <w:t>Závěrečná ustanovení</w:t>
      </w:r>
    </w:p>
    <w:p w14:paraId="0AC57325" w14:textId="77777777" w:rsidR="00DE5579" w:rsidRPr="007F1431" w:rsidRDefault="00DE5579" w:rsidP="00C85056">
      <w:pPr>
        <w:pStyle w:val="Default"/>
        <w:ind w:left="426" w:hanging="426"/>
        <w:jc w:val="center"/>
        <w:rPr>
          <w:rFonts w:ascii="Times New Roman" w:hAnsi="Times New Roman" w:cs="Times New Roman"/>
        </w:rPr>
      </w:pPr>
    </w:p>
    <w:p w14:paraId="53DF0EFC" w14:textId="0C6D15F1" w:rsidR="002A15D9" w:rsidRPr="007F1431" w:rsidRDefault="00DE5579" w:rsidP="006A0544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Smlouva nabývá platnosti dnem </w:t>
      </w:r>
      <w:r w:rsidR="00C47345" w:rsidRPr="007F1431">
        <w:rPr>
          <w:rFonts w:ascii="Times New Roman" w:hAnsi="Times New Roman" w:cs="Times New Roman"/>
          <w:color w:val="auto"/>
        </w:rPr>
        <w:t xml:space="preserve">podpisu oprávněného zástupce </w:t>
      </w:r>
      <w:r w:rsidR="00CB5D71" w:rsidRPr="007F1431">
        <w:rPr>
          <w:rFonts w:ascii="Times New Roman" w:hAnsi="Times New Roman" w:cs="Times New Roman"/>
          <w:color w:val="auto"/>
        </w:rPr>
        <w:t xml:space="preserve">poslední </w:t>
      </w:r>
      <w:r w:rsidR="003E27C2">
        <w:rPr>
          <w:rFonts w:ascii="Times New Roman" w:hAnsi="Times New Roman" w:cs="Times New Roman"/>
          <w:color w:val="auto"/>
        </w:rPr>
        <w:t>S</w:t>
      </w:r>
      <w:r w:rsidR="00C47345" w:rsidRPr="007F1431">
        <w:rPr>
          <w:rFonts w:ascii="Times New Roman" w:hAnsi="Times New Roman" w:cs="Times New Roman"/>
          <w:color w:val="auto"/>
        </w:rPr>
        <w:t xml:space="preserve">mluvní strany </w:t>
      </w:r>
      <w:r w:rsidRPr="007F1431">
        <w:rPr>
          <w:rFonts w:ascii="Times New Roman" w:hAnsi="Times New Roman" w:cs="Times New Roman"/>
        </w:rPr>
        <w:t xml:space="preserve">a účinnosti dnem uveřejnění v registru smluv dle zákona č. 340/2015 Sb. Uveřejnění smlouvy zajišťuje </w:t>
      </w:r>
      <w:r w:rsidR="00D45F69" w:rsidRPr="007F1431">
        <w:rPr>
          <w:rFonts w:ascii="Times New Roman" w:hAnsi="Times New Roman" w:cs="Times New Roman"/>
        </w:rPr>
        <w:t>České vysoké učení technické</w:t>
      </w:r>
      <w:r w:rsidRPr="007F1431">
        <w:rPr>
          <w:rFonts w:ascii="Times New Roman" w:hAnsi="Times New Roman" w:cs="Times New Roman"/>
        </w:rPr>
        <w:t xml:space="preserve"> </w:t>
      </w:r>
      <w:r w:rsidRPr="007F1431">
        <w:rPr>
          <w:rFonts w:ascii="Times New Roman" w:hAnsi="Times New Roman" w:cs="Times New Roman"/>
          <w:color w:val="auto"/>
        </w:rPr>
        <w:t xml:space="preserve">v Praze </w:t>
      </w:r>
      <w:r w:rsidR="00D37FAE">
        <w:rPr>
          <w:rFonts w:ascii="Times New Roman" w:hAnsi="Times New Roman" w:cs="Times New Roman"/>
          <w:color w:val="auto"/>
        </w:rPr>
        <w:t>–</w:t>
      </w:r>
      <w:r w:rsidR="00D45F69" w:rsidRPr="007F1431">
        <w:rPr>
          <w:rFonts w:ascii="Times New Roman" w:hAnsi="Times New Roman" w:cs="Times New Roman"/>
          <w:color w:val="auto"/>
        </w:rPr>
        <w:t xml:space="preserve"> </w:t>
      </w:r>
      <w:r w:rsidR="009C0BCA" w:rsidRPr="007F1431">
        <w:rPr>
          <w:rFonts w:ascii="Times New Roman" w:hAnsi="Times New Roman" w:cs="Times New Roman"/>
          <w:color w:val="auto"/>
        </w:rPr>
        <w:t>Fakulta stavební</w:t>
      </w:r>
      <w:r w:rsidRPr="007F1431">
        <w:rPr>
          <w:rFonts w:ascii="Times New Roman" w:hAnsi="Times New Roman" w:cs="Times New Roman"/>
        </w:rPr>
        <w:t>. Smlou</w:t>
      </w:r>
      <w:r w:rsidR="009C0BCA" w:rsidRPr="007F1431">
        <w:rPr>
          <w:rFonts w:ascii="Times New Roman" w:hAnsi="Times New Roman" w:cs="Times New Roman"/>
        </w:rPr>
        <w:t>va se uzavírá</w:t>
      </w:r>
      <w:r w:rsidRPr="007F1431">
        <w:rPr>
          <w:rFonts w:ascii="Times New Roman" w:hAnsi="Times New Roman" w:cs="Times New Roman"/>
        </w:rPr>
        <w:t xml:space="preserve"> na dobu určitou</w:t>
      </w:r>
      <w:r w:rsidR="003E27C2">
        <w:rPr>
          <w:rFonts w:ascii="Times New Roman" w:hAnsi="Times New Roman" w:cs="Times New Roman"/>
        </w:rPr>
        <w:t>,</w:t>
      </w:r>
      <w:r w:rsidRPr="007F1431">
        <w:rPr>
          <w:rFonts w:ascii="Times New Roman" w:hAnsi="Times New Roman" w:cs="Times New Roman"/>
        </w:rPr>
        <w:t xml:space="preserve"> a to na dobu 5 let ode dne účinnosti smlouvy. </w:t>
      </w:r>
    </w:p>
    <w:p w14:paraId="2F4EAA65" w14:textId="77777777" w:rsidR="002A15D9" w:rsidRPr="007F1431" w:rsidRDefault="002A15D9" w:rsidP="006A0544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29EAD9BA" w14:textId="50A7E86C" w:rsidR="00DE5579" w:rsidRPr="007F1431" w:rsidRDefault="00DE5579" w:rsidP="006A0544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7F1431">
        <w:rPr>
          <w:rFonts w:ascii="Times New Roman" w:hAnsi="Times New Roman" w:cs="Times New Roman"/>
        </w:rPr>
        <w:t xml:space="preserve">Smlouvu je možné ukončit písemnou dohodou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mluvních stran k datu v dohodě uvedeném nebo </w:t>
      </w:r>
      <w:r w:rsidR="00D45F69" w:rsidRPr="007F1431">
        <w:rPr>
          <w:rFonts w:ascii="Times New Roman" w:hAnsi="Times New Roman" w:cs="Times New Roman"/>
        </w:rPr>
        <w:t xml:space="preserve">zdůvodněnou </w:t>
      </w:r>
      <w:r w:rsidRPr="007F1431">
        <w:rPr>
          <w:rFonts w:ascii="Times New Roman" w:hAnsi="Times New Roman" w:cs="Times New Roman"/>
        </w:rPr>
        <w:t xml:space="preserve">výpovědí s tříměsíční výpovědní lhůtou, která počne běžet prvním dnem měsíce, který následuje po měsíci, v němž byla výpověď ostatním </w:t>
      </w:r>
      <w:r w:rsidR="003E27C2">
        <w:rPr>
          <w:rFonts w:ascii="Times New Roman" w:hAnsi="Times New Roman" w:cs="Times New Roman"/>
        </w:rPr>
        <w:t>S</w:t>
      </w:r>
      <w:r w:rsidRPr="007F1431">
        <w:rPr>
          <w:rFonts w:ascii="Times New Roman" w:hAnsi="Times New Roman" w:cs="Times New Roman"/>
        </w:rPr>
        <w:t xml:space="preserve">mluvním stranám doručena. </w:t>
      </w:r>
    </w:p>
    <w:p w14:paraId="31AF7C47" w14:textId="77777777" w:rsidR="009C0BCA" w:rsidRPr="007F1431" w:rsidRDefault="009C0BCA" w:rsidP="006A0544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14:paraId="343F831D" w14:textId="21A69314" w:rsidR="009C0BCA" w:rsidRPr="007F1431" w:rsidRDefault="009C0BCA" w:rsidP="006A0544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  <w:color w:val="auto"/>
        </w:rPr>
        <w:t>Smlouva je vyhotovena v</w:t>
      </w:r>
      <w:r w:rsidR="00D37FAE">
        <w:rPr>
          <w:rFonts w:ascii="Times New Roman" w:hAnsi="Times New Roman" w:cs="Times New Roman"/>
          <w:color w:val="auto"/>
        </w:rPr>
        <w:t>e</w:t>
      </w:r>
      <w:r w:rsidRPr="007F1431">
        <w:rPr>
          <w:rFonts w:ascii="Times New Roman" w:hAnsi="Times New Roman" w:cs="Times New Roman"/>
          <w:color w:val="auto"/>
        </w:rPr>
        <w:t xml:space="preserve"> </w:t>
      </w:r>
      <w:r w:rsidR="00D37FAE">
        <w:rPr>
          <w:rFonts w:ascii="Times New Roman" w:hAnsi="Times New Roman" w:cs="Times New Roman"/>
          <w:color w:val="auto"/>
        </w:rPr>
        <w:t>dvou</w:t>
      </w:r>
      <w:r w:rsidR="00B63ADF" w:rsidRPr="007F1431">
        <w:rPr>
          <w:rFonts w:ascii="Times New Roman" w:hAnsi="Times New Roman" w:cs="Times New Roman"/>
          <w:color w:val="auto"/>
        </w:rPr>
        <w:t xml:space="preserve"> </w:t>
      </w:r>
      <w:r w:rsidRPr="007F1431">
        <w:rPr>
          <w:rFonts w:ascii="Times New Roman" w:hAnsi="Times New Roman" w:cs="Times New Roman"/>
          <w:color w:val="auto"/>
        </w:rPr>
        <w:t>rovnocenných vyhotoveních, z nichž k</w:t>
      </w:r>
      <w:r w:rsidR="00C93955" w:rsidRPr="007F1431">
        <w:rPr>
          <w:rFonts w:ascii="Times New Roman" w:hAnsi="Times New Roman" w:cs="Times New Roman"/>
          <w:color w:val="auto"/>
        </w:rPr>
        <w:t xml:space="preserve">aždé má platnost originálu. </w:t>
      </w:r>
      <w:r w:rsidR="00D37FAE">
        <w:rPr>
          <w:rFonts w:ascii="Times New Roman" w:hAnsi="Times New Roman" w:cs="Times New Roman"/>
          <w:color w:val="auto"/>
        </w:rPr>
        <w:t xml:space="preserve">Každá </w:t>
      </w:r>
      <w:r w:rsidR="003E27C2">
        <w:rPr>
          <w:rFonts w:ascii="Times New Roman" w:hAnsi="Times New Roman" w:cs="Times New Roman"/>
          <w:color w:val="auto"/>
        </w:rPr>
        <w:t>S</w:t>
      </w:r>
      <w:r w:rsidR="00D37FAE">
        <w:rPr>
          <w:rFonts w:ascii="Times New Roman" w:hAnsi="Times New Roman" w:cs="Times New Roman"/>
          <w:color w:val="auto"/>
        </w:rPr>
        <w:t>mluvní strana obdrží</w:t>
      </w:r>
      <w:r w:rsidRPr="007F1431">
        <w:rPr>
          <w:rFonts w:ascii="Times New Roman" w:hAnsi="Times New Roman" w:cs="Times New Roman"/>
          <w:color w:val="auto"/>
        </w:rPr>
        <w:t xml:space="preserve"> po jednom vyhotovení.</w:t>
      </w:r>
    </w:p>
    <w:p w14:paraId="0395C8C7" w14:textId="77777777" w:rsidR="009C0BCA" w:rsidRPr="007F1431" w:rsidRDefault="009C0BCA" w:rsidP="006A0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3A95" w14:textId="037E21EB" w:rsidR="009C0BCA" w:rsidRPr="007F1431" w:rsidRDefault="009C0BCA" w:rsidP="006A0544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F1431">
        <w:rPr>
          <w:rFonts w:ascii="Times New Roman" w:hAnsi="Times New Roman" w:cs="Times New Roman"/>
          <w:color w:val="auto"/>
        </w:rPr>
        <w:t xml:space="preserve">Změny a doplňky této smlouvy je možné provádět pouze formou písemných </w:t>
      </w:r>
      <w:r w:rsidR="00D37FAE">
        <w:rPr>
          <w:rFonts w:ascii="Times New Roman" w:hAnsi="Times New Roman" w:cs="Times New Roman"/>
          <w:color w:val="auto"/>
        </w:rPr>
        <w:t>obou</w:t>
      </w:r>
      <w:r w:rsidRPr="007F1431">
        <w:rPr>
          <w:rFonts w:ascii="Times New Roman" w:hAnsi="Times New Roman" w:cs="Times New Roman"/>
          <w:color w:val="auto"/>
        </w:rPr>
        <w:t xml:space="preserve">stranně odsouhlasených dodatků. </w:t>
      </w:r>
    </w:p>
    <w:p w14:paraId="68883A1F" w14:textId="77777777" w:rsidR="009C0BCA" w:rsidRPr="007F1431" w:rsidRDefault="009C0BCA" w:rsidP="006A0544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D2AA8DA" w14:textId="47F01EBE" w:rsidR="009C0BCA" w:rsidRPr="007F1431" w:rsidRDefault="00D37FAE" w:rsidP="006A0544">
      <w:pPr>
        <w:pStyle w:val="Defaul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Obě</w:t>
      </w:r>
      <w:r w:rsidR="009C0BCA" w:rsidRPr="007F1431">
        <w:rPr>
          <w:rFonts w:ascii="Times New Roman" w:hAnsi="Times New Roman" w:cs="Times New Roman"/>
          <w:color w:val="auto"/>
        </w:rPr>
        <w:t xml:space="preserve"> </w:t>
      </w:r>
      <w:r w:rsidR="003E27C2">
        <w:rPr>
          <w:rFonts w:ascii="Times New Roman" w:hAnsi="Times New Roman" w:cs="Times New Roman"/>
          <w:color w:val="auto"/>
        </w:rPr>
        <w:t>S</w:t>
      </w:r>
      <w:r w:rsidR="009C0BCA" w:rsidRPr="007F1431">
        <w:rPr>
          <w:rFonts w:ascii="Times New Roman" w:hAnsi="Times New Roman" w:cs="Times New Roman"/>
          <w:color w:val="auto"/>
        </w:rPr>
        <w:t xml:space="preserve">mluvní strany prohlašují, že si smlouvu pečlivě přečetly a na důkaz souhlasu s výše uvedenými ustanoveními připojují své podpisy. </w:t>
      </w:r>
    </w:p>
    <w:p w14:paraId="59B018FB" w14:textId="15962EA8" w:rsidR="00364AAF" w:rsidRPr="007F1431" w:rsidRDefault="00364AAF" w:rsidP="003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8AFC2" w14:textId="77777777" w:rsidR="00C93955" w:rsidRPr="007F1431" w:rsidRDefault="00C93955" w:rsidP="003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B46FB" w14:textId="001250BD" w:rsidR="00364AAF" w:rsidRPr="007F1431" w:rsidRDefault="00364AAF" w:rsidP="003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431"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3AFEC21B" w14:textId="505AF704" w:rsidR="00364AAF" w:rsidRPr="007F1431" w:rsidRDefault="00364AAF" w:rsidP="003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 xml:space="preserve">Příloha 1: Specifikace </w:t>
      </w:r>
      <w:r w:rsidR="00CA186B">
        <w:rPr>
          <w:rFonts w:ascii="Times New Roman" w:hAnsi="Times New Roman" w:cs="Times New Roman"/>
          <w:sz w:val="24"/>
          <w:szCs w:val="24"/>
        </w:rPr>
        <w:t>podílů na</w:t>
      </w:r>
      <w:r w:rsidRPr="007F1431">
        <w:rPr>
          <w:rFonts w:ascii="Times New Roman" w:hAnsi="Times New Roman" w:cs="Times New Roman"/>
          <w:sz w:val="24"/>
          <w:szCs w:val="24"/>
        </w:rPr>
        <w:t xml:space="preserve"> výsled</w:t>
      </w:r>
      <w:r w:rsidR="00CA186B">
        <w:rPr>
          <w:rFonts w:ascii="Times New Roman" w:hAnsi="Times New Roman" w:cs="Times New Roman"/>
          <w:sz w:val="24"/>
          <w:szCs w:val="24"/>
        </w:rPr>
        <w:t xml:space="preserve">cích </w:t>
      </w:r>
      <w:r w:rsidRPr="007F1431">
        <w:rPr>
          <w:rFonts w:ascii="Times New Roman" w:hAnsi="Times New Roman" w:cs="Times New Roman"/>
          <w:sz w:val="24"/>
          <w:szCs w:val="24"/>
        </w:rPr>
        <w:t>a naplnění cílů projektu</w:t>
      </w:r>
    </w:p>
    <w:p w14:paraId="5A69651E" w14:textId="77777777" w:rsidR="00364AAF" w:rsidRPr="007F1431" w:rsidRDefault="00364AAF" w:rsidP="003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Příloha 2: Vymezení výsledků</w:t>
      </w:r>
    </w:p>
    <w:p w14:paraId="1B67D148" w14:textId="1D5816E1" w:rsidR="00C47345" w:rsidRPr="007F1431" w:rsidRDefault="00C47345" w:rsidP="00364AA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  <w:color w:val="FF0000"/>
        </w:rPr>
      </w:pPr>
    </w:p>
    <w:p w14:paraId="5265A706" w14:textId="77777777" w:rsidR="00D37FAE" w:rsidRDefault="00D37FAE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C71828" w14:textId="089F4E1A" w:rsidR="00A15F4F" w:rsidRDefault="00A15F4F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V Praze, dne</w:t>
      </w:r>
    </w:p>
    <w:p w14:paraId="6283EF12" w14:textId="33BE9E5E" w:rsidR="00D37FAE" w:rsidRDefault="00D37FAE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Aveton s.r.o.</w:t>
      </w:r>
    </w:p>
    <w:p w14:paraId="486D3C13" w14:textId="6216496D" w:rsidR="00D37FAE" w:rsidRDefault="00D37FAE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FD2B34" w14:textId="77777777" w:rsidR="00D37FAE" w:rsidRPr="007F1431" w:rsidRDefault="00D37FAE" w:rsidP="00D3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6F350C" w14:textId="2FA3EF7C" w:rsidR="00D37FAE" w:rsidRDefault="00D37FAE" w:rsidP="00D3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Šitych, jednatel</w:t>
      </w:r>
    </w:p>
    <w:p w14:paraId="1BBC0BAA" w14:textId="77777777" w:rsidR="00D37FAE" w:rsidRDefault="00D37FAE" w:rsidP="00D3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6AE0B5" w14:textId="77777777" w:rsidR="00D37FAE" w:rsidRDefault="00D37FAE" w:rsidP="00D3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8D1B25" w14:textId="14B17F3C" w:rsidR="00D37FAE" w:rsidRDefault="00D37FAE" w:rsidP="00D37F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V Praze, dne</w:t>
      </w:r>
    </w:p>
    <w:p w14:paraId="2E285BD3" w14:textId="17CA0F42" w:rsidR="00A15F4F" w:rsidRPr="007F1431" w:rsidRDefault="00A15F4F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Za České vysoké učení technické v Praze</w:t>
      </w:r>
    </w:p>
    <w:p w14:paraId="1453B15F" w14:textId="77777777" w:rsidR="00D37FAE" w:rsidRDefault="00D37FAE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18C635" w14:textId="70A8BC7B" w:rsidR="00A15F4F" w:rsidRPr="007F1431" w:rsidRDefault="00A15F4F" w:rsidP="00A15F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724BA08" w14:textId="69AA633F" w:rsidR="00D37FAE" w:rsidRPr="007F1431" w:rsidRDefault="00D37FAE" w:rsidP="005B40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A15F4F" w:rsidRPr="007F14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Ing. Jiří Máca, CSc., děkan Fakulty stavební ČVUT</w:t>
      </w:r>
    </w:p>
    <w:sectPr w:rsidR="00D37FAE" w:rsidRPr="007F1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15CB" w14:textId="77777777" w:rsidR="007D0AF1" w:rsidRDefault="007D0AF1" w:rsidP="00C85056">
      <w:pPr>
        <w:spacing w:after="0" w:line="240" w:lineRule="auto"/>
      </w:pPr>
      <w:r>
        <w:separator/>
      </w:r>
    </w:p>
  </w:endnote>
  <w:endnote w:type="continuationSeparator" w:id="0">
    <w:p w14:paraId="47A628F7" w14:textId="77777777" w:rsidR="007D0AF1" w:rsidRDefault="007D0AF1" w:rsidP="00C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84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CA80D" w14:textId="645B39C9" w:rsidR="00980378" w:rsidRDefault="00980378">
            <w:pPr>
              <w:pStyle w:val="Zpat"/>
              <w:jc w:val="center"/>
            </w:pPr>
            <w:r w:rsidRPr="00980378">
              <w:t>S</w:t>
            </w:r>
            <w:r>
              <w:t>trana</w:t>
            </w:r>
            <w:r w:rsidRPr="00980378">
              <w:t xml:space="preserve"> </w:t>
            </w:r>
            <w:r w:rsidRPr="00980378">
              <w:rPr>
                <w:bCs/>
                <w:sz w:val="24"/>
                <w:szCs w:val="24"/>
              </w:rPr>
              <w:fldChar w:fldCharType="begin"/>
            </w:r>
            <w:r w:rsidRPr="00980378">
              <w:rPr>
                <w:bCs/>
              </w:rPr>
              <w:instrText>PAGE</w:instrText>
            </w:r>
            <w:r w:rsidRPr="00980378">
              <w:rPr>
                <w:bCs/>
                <w:sz w:val="24"/>
                <w:szCs w:val="24"/>
              </w:rPr>
              <w:fldChar w:fldCharType="separate"/>
            </w:r>
            <w:r w:rsidR="00932156">
              <w:rPr>
                <w:bCs/>
                <w:noProof/>
              </w:rPr>
              <w:t>5</w:t>
            </w:r>
            <w:r w:rsidRPr="00980378">
              <w:rPr>
                <w:bCs/>
                <w:sz w:val="24"/>
                <w:szCs w:val="24"/>
              </w:rPr>
              <w:fldChar w:fldCharType="end"/>
            </w:r>
            <w:r w:rsidRPr="00980378">
              <w:t xml:space="preserve"> z </w:t>
            </w:r>
            <w:r w:rsidRPr="00980378">
              <w:rPr>
                <w:bCs/>
                <w:sz w:val="24"/>
                <w:szCs w:val="24"/>
              </w:rPr>
              <w:fldChar w:fldCharType="begin"/>
            </w:r>
            <w:r w:rsidRPr="00980378">
              <w:rPr>
                <w:bCs/>
              </w:rPr>
              <w:instrText>NUMPAGES</w:instrText>
            </w:r>
            <w:r w:rsidRPr="00980378">
              <w:rPr>
                <w:bCs/>
                <w:sz w:val="24"/>
                <w:szCs w:val="24"/>
              </w:rPr>
              <w:fldChar w:fldCharType="separate"/>
            </w:r>
            <w:r w:rsidR="00932156">
              <w:rPr>
                <w:bCs/>
                <w:noProof/>
              </w:rPr>
              <w:t>5</w:t>
            </w:r>
            <w:r w:rsidRPr="009803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60065" w14:textId="77777777" w:rsidR="009765BB" w:rsidRDefault="00976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E127" w14:textId="77777777" w:rsidR="007D0AF1" w:rsidRDefault="007D0AF1" w:rsidP="00C85056">
      <w:pPr>
        <w:spacing w:after="0" w:line="240" w:lineRule="auto"/>
      </w:pPr>
      <w:r>
        <w:separator/>
      </w:r>
    </w:p>
  </w:footnote>
  <w:footnote w:type="continuationSeparator" w:id="0">
    <w:p w14:paraId="4F968017" w14:textId="77777777" w:rsidR="007D0AF1" w:rsidRDefault="007D0AF1" w:rsidP="00C8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C053" w14:textId="131F867C" w:rsidR="00E877DF" w:rsidRDefault="00E877DF" w:rsidP="009E1AE8">
    <w:pPr>
      <w:pStyle w:val="Zhlav"/>
      <w:jc w:val="center"/>
    </w:pPr>
    <w:r w:rsidRPr="00E877DF">
      <w:t>Smlouva o využití výsledků výzkumu a vývoje</w:t>
    </w:r>
    <w:r>
      <w:t xml:space="preserve"> projektu </w:t>
    </w:r>
    <w:r w:rsidR="003564A9" w:rsidRPr="003564A9">
      <w:t>FW03010173</w:t>
    </w:r>
    <w:r>
      <w:t xml:space="preserve"> „</w:t>
    </w:r>
    <w:r w:rsidR="003564A9">
      <w:t>AKUBET</w:t>
    </w:r>
    <w: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D1"/>
    <w:multiLevelType w:val="hybridMultilevel"/>
    <w:tmpl w:val="437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02"/>
    <w:multiLevelType w:val="hybridMultilevel"/>
    <w:tmpl w:val="7FD229C0"/>
    <w:lvl w:ilvl="0" w:tplc="E1840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CA1"/>
    <w:multiLevelType w:val="hybridMultilevel"/>
    <w:tmpl w:val="74124DDA"/>
    <w:lvl w:ilvl="0" w:tplc="15B4DA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77DA4"/>
    <w:multiLevelType w:val="hybridMultilevel"/>
    <w:tmpl w:val="8C621F76"/>
    <w:lvl w:ilvl="0" w:tplc="8AF2FEB8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3CC6"/>
    <w:multiLevelType w:val="hybridMultilevel"/>
    <w:tmpl w:val="BA3651FE"/>
    <w:lvl w:ilvl="0" w:tplc="C94E42B6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900D62"/>
    <w:multiLevelType w:val="hybridMultilevel"/>
    <w:tmpl w:val="6C7AE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DF6"/>
    <w:multiLevelType w:val="hybridMultilevel"/>
    <w:tmpl w:val="7EE6BD60"/>
    <w:lvl w:ilvl="0" w:tplc="8392001C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9A8"/>
    <w:multiLevelType w:val="hybridMultilevel"/>
    <w:tmpl w:val="FEC0AC90"/>
    <w:lvl w:ilvl="0" w:tplc="15B4DA7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16B0999"/>
    <w:multiLevelType w:val="hybridMultilevel"/>
    <w:tmpl w:val="DBCEF460"/>
    <w:lvl w:ilvl="0" w:tplc="8392001C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473F"/>
    <w:multiLevelType w:val="hybridMultilevel"/>
    <w:tmpl w:val="EEA49506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A2D0D9E"/>
    <w:multiLevelType w:val="hybridMultilevel"/>
    <w:tmpl w:val="32F2BC06"/>
    <w:lvl w:ilvl="0" w:tplc="15B4DA7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5B0"/>
    <w:multiLevelType w:val="hybridMultilevel"/>
    <w:tmpl w:val="D668D026"/>
    <w:lvl w:ilvl="0" w:tplc="15B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55F4"/>
    <w:multiLevelType w:val="hybridMultilevel"/>
    <w:tmpl w:val="8ED03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7AB"/>
    <w:multiLevelType w:val="hybridMultilevel"/>
    <w:tmpl w:val="5D18D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2820"/>
    <w:multiLevelType w:val="hybridMultilevel"/>
    <w:tmpl w:val="7FD229C0"/>
    <w:lvl w:ilvl="0" w:tplc="E1840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04C0"/>
    <w:multiLevelType w:val="hybridMultilevel"/>
    <w:tmpl w:val="2D5A62D0"/>
    <w:lvl w:ilvl="0" w:tplc="15B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E36"/>
    <w:multiLevelType w:val="hybridMultilevel"/>
    <w:tmpl w:val="8AFA03D0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D584562"/>
    <w:multiLevelType w:val="hybridMultilevel"/>
    <w:tmpl w:val="187E1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777A2"/>
    <w:multiLevelType w:val="hybridMultilevel"/>
    <w:tmpl w:val="A24CB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543C"/>
    <w:multiLevelType w:val="hybridMultilevel"/>
    <w:tmpl w:val="B798A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7548"/>
    <w:multiLevelType w:val="hybridMultilevel"/>
    <w:tmpl w:val="CC9AC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84FA9"/>
    <w:multiLevelType w:val="hybridMultilevel"/>
    <w:tmpl w:val="FB6A95DC"/>
    <w:lvl w:ilvl="0" w:tplc="45CAE7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1710C"/>
    <w:multiLevelType w:val="hybridMultilevel"/>
    <w:tmpl w:val="5D1A3660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697E439E"/>
    <w:multiLevelType w:val="hybridMultilevel"/>
    <w:tmpl w:val="AAE25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0"/>
  </w:num>
  <w:num w:numId="5">
    <w:abstractNumId w:val="23"/>
  </w:num>
  <w:num w:numId="6">
    <w:abstractNumId w:val="21"/>
  </w:num>
  <w:num w:numId="7">
    <w:abstractNumId w:val="18"/>
  </w:num>
  <w:num w:numId="8">
    <w:abstractNumId w:val="6"/>
  </w:num>
  <w:num w:numId="9">
    <w:abstractNumId w:val="12"/>
  </w:num>
  <w:num w:numId="10">
    <w:abstractNumId w:val="3"/>
  </w:num>
  <w:num w:numId="11">
    <w:abstractNumId w:val="20"/>
  </w:num>
  <w:num w:numId="12">
    <w:abstractNumId w:val="4"/>
  </w:num>
  <w:num w:numId="13">
    <w:abstractNumId w:val="10"/>
  </w:num>
  <w:num w:numId="14">
    <w:abstractNumId w:val="22"/>
  </w:num>
  <w:num w:numId="15">
    <w:abstractNumId w:val="9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2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64"/>
    <w:rsid w:val="00010091"/>
    <w:rsid w:val="00021840"/>
    <w:rsid w:val="00044501"/>
    <w:rsid w:val="000457A6"/>
    <w:rsid w:val="000630F5"/>
    <w:rsid w:val="000A18B8"/>
    <w:rsid w:val="000A60D9"/>
    <w:rsid w:val="000A6E3A"/>
    <w:rsid w:val="000B3C0C"/>
    <w:rsid w:val="000C2401"/>
    <w:rsid w:val="000C6AA7"/>
    <w:rsid w:val="00106EA2"/>
    <w:rsid w:val="00117C1C"/>
    <w:rsid w:val="0013001A"/>
    <w:rsid w:val="00141832"/>
    <w:rsid w:val="00143803"/>
    <w:rsid w:val="001501F5"/>
    <w:rsid w:val="00152CB2"/>
    <w:rsid w:val="00154739"/>
    <w:rsid w:val="00160E2F"/>
    <w:rsid w:val="00166F1B"/>
    <w:rsid w:val="001D2D53"/>
    <w:rsid w:val="001F0126"/>
    <w:rsid w:val="001F10E1"/>
    <w:rsid w:val="00201AA2"/>
    <w:rsid w:val="00267326"/>
    <w:rsid w:val="00282AE1"/>
    <w:rsid w:val="002972E0"/>
    <w:rsid w:val="002A15D9"/>
    <w:rsid w:val="002A4FF7"/>
    <w:rsid w:val="002C6440"/>
    <w:rsid w:val="002E0643"/>
    <w:rsid w:val="002F098F"/>
    <w:rsid w:val="00336A5C"/>
    <w:rsid w:val="00350F5A"/>
    <w:rsid w:val="003564A9"/>
    <w:rsid w:val="00364AAF"/>
    <w:rsid w:val="0037360A"/>
    <w:rsid w:val="003761F1"/>
    <w:rsid w:val="00395C7D"/>
    <w:rsid w:val="003A08EA"/>
    <w:rsid w:val="003B0B8A"/>
    <w:rsid w:val="003B7F27"/>
    <w:rsid w:val="003E27C2"/>
    <w:rsid w:val="0041118B"/>
    <w:rsid w:val="0042129D"/>
    <w:rsid w:val="00425C1A"/>
    <w:rsid w:val="00437116"/>
    <w:rsid w:val="00440F80"/>
    <w:rsid w:val="00454542"/>
    <w:rsid w:val="00454617"/>
    <w:rsid w:val="004577D0"/>
    <w:rsid w:val="0046727D"/>
    <w:rsid w:val="004B5C0D"/>
    <w:rsid w:val="004C585E"/>
    <w:rsid w:val="004E0ACD"/>
    <w:rsid w:val="004F1AEE"/>
    <w:rsid w:val="004F3DD8"/>
    <w:rsid w:val="005035AE"/>
    <w:rsid w:val="005120AA"/>
    <w:rsid w:val="0051319E"/>
    <w:rsid w:val="005146AE"/>
    <w:rsid w:val="0051668C"/>
    <w:rsid w:val="00546760"/>
    <w:rsid w:val="00564678"/>
    <w:rsid w:val="0056651F"/>
    <w:rsid w:val="00591D3C"/>
    <w:rsid w:val="00591F9F"/>
    <w:rsid w:val="00595CD2"/>
    <w:rsid w:val="00597268"/>
    <w:rsid w:val="005A7EE7"/>
    <w:rsid w:val="005B400D"/>
    <w:rsid w:val="005B790C"/>
    <w:rsid w:val="005D1A56"/>
    <w:rsid w:val="005D5F4C"/>
    <w:rsid w:val="00637CB0"/>
    <w:rsid w:val="00664198"/>
    <w:rsid w:val="006775F9"/>
    <w:rsid w:val="00687230"/>
    <w:rsid w:val="006A0544"/>
    <w:rsid w:val="006A6FF3"/>
    <w:rsid w:val="006D7300"/>
    <w:rsid w:val="006F0EFB"/>
    <w:rsid w:val="006F277A"/>
    <w:rsid w:val="006F79AD"/>
    <w:rsid w:val="00703248"/>
    <w:rsid w:val="007210A1"/>
    <w:rsid w:val="00746F13"/>
    <w:rsid w:val="00755B6E"/>
    <w:rsid w:val="00767D20"/>
    <w:rsid w:val="00780D25"/>
    <w:rsid w:val="007817AA"/>
    <w:rsid w:val="0078395E"/>
    <w:rsid w:val="00792FAC"/>
    <w:rsid w:val="007B2AC6"/>
    <w:rsid w:val="007B6C41"/>
    <w:rsid w:val="007C4873"/>
    <w:rsid w:val="007D0AF1"/>
    <w:rsid w:val="007D0D5F"/>
    <w:rsid w:val="007F1431"/>
    <w:rsid w:val="00800196"/>
    <w:rsid w:val="00800910"/>
    <w:rsid w:val="00804A4D"/>
    <w:rsid w:val="00816C49"/>
    <w:rsid w:val="00821E8A"/>
    <w:rsid w:val="00827977"/>
    <w:rsid w:val="008510A4"/>
    <w:rsid w:val="008560E7"/>
    <w:rsid w:val="00875644"/>
    <w:rsid w:val="008A6116"/>
    <w:rsid w:val="008C08FE"/>
    <w:rsid w:val="008D3B2F"/>
    <w:rsid w:val="008E1B47"/>
    <w:rsid w:val="008E3661"/>
    <w:rsid w:val="008E48B3"/>
    <w:rsid w:val="008E4E8F"/>
    <w:rsid w:val="00902648"/>
    <w:rsid w:val="00902E85"/>
    <w:rsid w:val="00903083"/>
    <w:rsid w:val="00932156"/>
    <w:rsid w:val="00943494"/>
    <w:rsid w:val="009500B9"/>
    <w:rsid w:val="00965AA3"/>
    <w:rsid w:val="009765BB"/>
    <w:rsid w:val="00980378"/>
    <w:rsid w:val="00985D60"/>
    <w:rsid w:val="0098657C"/>
    <w:rsid w:val="009C0BCA"/>
    <w:rsid w:val="009E1AE8"/>
    <w:rsid w:val="009E2089"/>
    <w:rsid w:val="009E66F1"/>
    <w:rsid w:val="009E7FC7"/>
    <w:rsid w:val="00A072E9"/>
    <w:rsid w:val="00A15F4F"/>
    <w:rsid w:val="00A21BA6"/>
    <w:rsid w:val="00A22CED"/>
    <w:rsid w:val="00A27358"/>
    <w:rsid w:val="00A4370A"/>
    <w:rsid w:val="00A4621A"/>
    <w:rsid w:val="00A54EB5"/>
    <w:rsid w:val="00A869CA"/>
    <w:rsid w:val="00A95E16"/>
    <w:rsid w:val="00AB51C5"/>
    <w:rsid w:val="00AB700C"/>
    <w:rsid w:val="00AC4FFF"/>
    <w:rsid w:val="00AE7FAE"/>
    <w:rsid w:val="00B063E4"/>
    <w:rsid w:val="00B06C62"/>
    <w:rsid w:val="00B23DB1"/>
    <w:rsid w:val="00B3258E"/>
    <w:rsid w:val="00B336D4"/>
    <w:rsid w:val="00B36BEA"/>
    <w:rsid w:val="00B47275"/>
    <w:rsid w:val="00B47C04"/>
    <w:rsid w:val="00B5117D"/>
    <w:rsid w:val="00B6162B"/>
    <w:rsid w:val="00B63778"/>
    <w:rsid w:val="00B63ADF"/>
    <w:rsid w:val="00B72D78"/>
    <w:rsid w:val="00B75673"/>
    <w:rsid w:val="00B9048C"/>
    <w:rsid w:val="00B90E21"/>
    <w:rsid w:val="00BA3484"/>
    <w:rsid w:val="00BA539C"/>
    <w:rsid w:val="00BB758B"/>
    <w:rsid w:val="00BD5098"/>
    <w:rsid w:val="00BE150C"/>
    <w:rsid w:val="00BF1087"/>
    <w:rsid w:val="00C133F6"/>
    <w:rsid w:val="00C301D3"/>
    <w:rsid w:val="00C37C8A"/>
    <w:rsid w:val="00C47345"/>
    <w:rsid w:val="00C50053"/>
    <w:rsid w:val="00C62CC1"/>
    <w:rsid w:val="00C70400"/>
    <w:rsid w:val="00C70E37"/>
    <w:rsid w:val="00C723B6"/>
    <w:rsid w:val="00C74160"/>
    <w:rsid w:val="00C85056"/>
    <w:rsid w:val="00C93955"/>
    <w:rsid w:val="00C96764"/>
    <w:rsid w:val="00CA186B"/>
    <w:rsid w:val="00CB5D24"/>
    <w:rsid w:val="00CB5D71"/>
    <w:rsid w:val="00CB757F"/>
    <w:rsid w:val="00CC5885"/>
    <w:rsid w:val="00CD3B9A"/>
    <w:rsid w:val="00CE26D1"/>
    <w:rsid w:val="00CE306C"/>
    <w:rsid w:val="00D1608C"/>
    <w:rsid w:val="00D21F36"/>
    <w:rsid w:val="00D322C3"/>
    <w:rsid w:val="00D35EA0"/>
    <w:rsid w:val="00D37293"/>
    <w:rsid w:val="00D37FAE"/>
    <w:rsid w:val="00D45F69"/>
    <w:rsid w:val="00D50F7C"/>
    <w:rsid w:val="00D523EB"/>
    <w:rsid w:val="00D5391B"/>
    <w:rsid w:val="00D548E8"/>
    <w:rsid w:val="00D727DD"/>
    <w:rsid w:val="00D805F1"/>
    <w:rsid w:val="00DA40D2"/>
    <w:rsid w:val="00DB69FF"/>
    <w:rsid w:val="00DC2AF8"/>
    <w:rsid w:val="00DD2500"/>
    <w:rsid w:val="00DD3893"/>
    <w:rsid w:val="00DE3D16"/>
    <w:rsid w:val="00DE5579"/>
    <w:rsid w:val="00DE6C91"/>
    <w:rsid w:val="00E374C4"/>
    <w:rsid w:val="00E40AFE"/>
    <w:rsid w:val="00E53504"/>
    <w:rsid w:val="00E53E09"/>
    <w:rsid w:val="00E719A7"/>
    <w:rsid w:val="00E83837"/>
    <w:rsid w:val="00E86857"/>
    <w:rsid w:val="00E877DF"/>
    <w:rsid w:val="00EE0475"/>
    <w:rsid w:val="00EF267D"/>
    <w:rsid w:val="00F56269"/>
    <w:rsid w:val="00F613CE"/>
    <w:rsid w:val="00F74389"/>
    <w:rsid w:val="00F93D05"/>
    <w:rsid w:val="00FA06C5"/>
    <w:rsid w:val="00FA403A"/>
    <w:rsid w:val="00FA67A4"/>
    <w:rsid w:val="00FB1FED"/>
    <w:rsid w:val="00FC4944"/>
    <w:rsid w:val="00FD003A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7A6BC"/>
  <w15:chartTrackingRefBased/>
  <w15:docId w15:val="{B6D42995-AFA0-452D-B79E-73001D0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FAE"/>
  </w:style>
  <w:style w:type="paragraph" w:styleId="Nadpis1">
    <w:name w:val="heading 1"/>
    <w:basedOn w:val="Normln"/>
    <w:next w:val="Normln"/>
    <w:link w:val="Nadpis1Char"/>
    <w:uiPriority w:val="9"/>
    <w:qFormat/>
    <w:rsid w:val="00411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7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0D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E36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88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741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C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74160"/>
    <w:rPr>
      <w:i/>
      <w:iCs/>
    </w:rPr>
  </w:style>
  <w:style w:type="paragraph" w:customStyle="1" w:styleId="l5">
    <w:name w:val="l5"/>
    <w:basedOn w:val="Normln"/>
    <w:rsid w:val="00C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11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B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1F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F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F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F9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056"/>
  </w:style>
  <w:style w:type="paragraph" w:styleId="Zpat">
    <w:name w:val="footer"/>
    <w:basedOn w:val="Normln"/>
    <w:link w:val="ZpatChar"/>
    <w:uiPriority w:val="99"/>
    <w:unhideWhenUsed/>
    <w:rsid w:val="00C8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056"/>
  </w:style>
  <w:style w:type="paragraph" w:styleId="Revize">
    <w:name w:val="Revision"/>
    <w:hidden/>
    <w:uiPriority w:val="99"/>
    <w:semiHidden/>
    <w:rsid w:val="0059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08BB-7D18-45C5-8CFC-17F42469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Brabcova, Sarka</cp:lastModifiedBy>
  <cp:revision>3</cp:revision>
  <cp:lastPrinted>2023-10-04T10:19:00Z</cp:lastPrinted>
  <dcterms:created xsi:type="dcterms:W3CDTF">2023-10-06T10:58:00Z</dcterms:created>
  <dcterms:modified xsi:type="dcterms:W3CDTF">2023-10-06T11:01:00Z</dcterms:modified>
</cp:coreProperties>
</file>