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81" w:rsidRDefault="008B453D">
      <w:pPr>
        <w:pStyle w:val="Nadpis3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8B453D" w:rsidRDefault="008B453D" w:rsidP="008B453D">
      <w:pPr>
        <w:pStyle w:val="Zkladntext30"/>
        <w:shd w:val="clear" w:color="auto" w:fill="auto"/>
        <w:spacing w:line="240" w:lineRule="exac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  <w:t xml:space="preserve">Číslo objednávky: 14096 </w:t>
      </w:r>
      <w:r>
        <w:rPr>
          <w:rStyle w:val="Zkladntext31"/>
          <w:b/>
          <w:bCs/>
        </w:rPr>
        <w:t>/23/OTS/</w:t>
      </w:r>
      <w:proofErr w:type="spellStart"/>
      <w:r>
        <w:rPr>
          <w:rStyle w:val="Zkladntext31"/>
          <w:b/>
          <w:bCs/>
        </w:rPr>
        <w:t>Wf</w:t>
      </w:r>
      <w:proofErr w:type="spellEnd"/>
    </w:p>
    <w:p w:rsidR="008B453D" w:rsidRDefault="008B453D" w:rsidP="008B453D">
      <w:pPr>
        <w:pStyle w:val="Zkladntext30"/>
        <w:shd w:val="clear" w:color="auto" w:fill="auto"/>
        <w:spacing w:line="240" w:lineRule="exact"/>
        <w:ind w:left="4956"/>
      </w:pPr>
      <w:r>
        <w:t>Za objednatele:</w:t>
      </w:r>
    </w:p>
    <w:p w:rsidR="00691F81" w:rsidRDefault="00691F81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28"/>
      </w:tblGrid>
      <w:tr w:rsidR="00691F81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Dodavatel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KORAKO plus, s.r.o.</w:t>
            </w: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Sídlo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Biblická 369</w:t>
            </w:r>
          </w:p>
          <w:p w:rsidR="00691F81" w:rsidRDefault="008B453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11pt"/>
                <w:rFonts w:eastAsia="Tahoma"/>
              </w:rPr>
              <w:t xml:space="preserve">958 04 </w:t>
            </w:r>
            <w:proofErr w:type="spellStart"/>
            <w:r>
              <w:rPr>
                <w:rStyle w:val="Zkladntext2TimesNewRoman11pt"/>
                <w:rFonts w:eastAsia="Tahoma"/>
              </w:rPr>
              <w:t>Partízánské</w:t>
            </w:r>
            <w:proofErr w:type="spellEnd"/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8B453D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1Č“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8B453D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"/>
                <w:rFonts w:eastAsia="Tahoma"/>
              </w:rPr>
              <w:t>439 59 954</w:t>
            </w: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DIČ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8B453D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2022580813</w:t>
            </w: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Zapsán v OR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8B453D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 xml:space="preserve">Okr. soud Trenčín/od. </w:t>
            </w:r>
            <w:proofErr w:type="spellStart"/>
            <w:r>
              <w:rPr>
                <w:rStyle w:val="Zkladntext28pt"/>
              </w:rPr>
              <w:t>Sro</w:t>
            </w:r>
            <w:proofErr w:type="spellEnd"/>
            <w:r>
              <w:rPr>
                <w:rStyle w:val="Zkladntext28pt"/>
              </w:rPr>
              <w:t>/19923/R</w:t>
            </w: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Jednající</w:t>
            </w:r>
          </w:p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(zastoupen)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Rudolf </w:t>
            </w:r>
            <w:proofErr w:type="spellStart"/>
            <w:r>
              <w:rPr>
                <w:rStyle w:val="Zkladntext2105pt"/>
              </w:rPr>
              <w:t>Kováčik</w:t>
            </w:r>
            <w:proofErr w:type="spellEnd"/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adresa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Kontaktní</w:t>
            </w:r>
          </w:p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osoba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F81" w:rsidRDefault="008B453D" w:rsidP="008B453D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8pt"/>
              </w:rPr>
              <w:t xml:space="preserve"> </w:t>
            </w:r>
            <w:proofErr w:type="spellStart"/>
            <w:r w:rsidRPr="008B453D">
              <w:rPr>
                <w:rStyle w:val="Zkladntext28pt"/>
                <w:highlight w:val="black"/>
              </w:rPr>
              <w:t>xxxxxxxxxxxxxxxxxxx</w:t>
            </w:r>
            <w:proofErr w:type="spellEnd"/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F81" w:rsidRDefault="008B453D" w:rsidP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r w:rsidRPr="008B453D">
              <w:rPr>
                <w:highlight w:val="black"/>
              </w:rPr>
              <w:t>x</w:t>
            </w:r>
            <w:hyperlink r:id="rId7" w:history="1">
              <w:proofErr w:type="spellStart"/>
              <w:r w:rsidRPr="008B453D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8B453D">
              <w:rPr>
                <w:highlight w:val="black"/>
              </w:rPr>
              <w:t>xxxxxxxxxxxxxxxx</w:t>
            </w:r>
            <w:proofErr w:type="spellEnd"/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tel./mobil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8B453D" w:rsidP="008B453D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imesNewRoman11pt"/>
                <w:rFonts w:eastAsia="Tahoma"/>
              </w:rPr>
              <w:t xml:space="preserve"> </w:t>
            </w:r>
            <w:proofErr w:type="spellStart"/>
            <w:r w:rsidRPr="008B453D">
              <w:rPr>
                <w:rStyle w:val="Zkladntext2TimesNewRoman11pt"/>
                <w:rFonts w:eastAsia="Tahoma"/>
                <w:highlight w:val="black"/>
              </w:rPr>
              <w:t>xxxxxxxxxxxxxxxxxx</w:t>
            </w:r>
            <w:proofErr w:type="spellEnd"/>
          </w:p>
        </w:tc>
      </w:tr>
    </w:tbl>
    <w:p w:rsidR="00691F81" w:rsidRDefault="008B453D" w:rsidP="008B453D">
      <w:pPr>
        <w:pStyle w:val="Titulektabulky0"/>
        <w:shd w:val="clear" w:color="auto" w:fill="auto"/>
        <w:spacing w:line="240" w:lineRule="auto"/>
        <w:ind w:left="2832" w:firstLine="708"/>
        <w:jc w:val="center"/>
      </w:pPr>
      <w:r>
        <w:t xml:space="preserve">Telefon: </w:t>
      </w:r>
      <w:proofErr w:type="spellStart"/>
      <w:r w:rsidRPr="008B453D">
        <w:rPr>
          <w:highlight w:val="black"/>
        </w:rPr>
        <w:t>xxxxxxxxxxxxxxxxxxxx</w:t>
      </w:r>
      <w:proofErr w:type="spellEnd"/>
    </w:p>
    <w:p w:rsidR="008B453D" w:rsidRDefault="008B453D" w:rsidP="008B453D">
      <w:pPr>
        <w:pStyle w:val="Titulektabulky0"/>
        <w:shd w:val="clear" w:color="auto" w:fill="auto"/>
        <w:spacing w:line="240" w:lineRule="auto"/>
        <w:ind w:left="4248" w:firstLine="708"/>
        <w:jc w:val="both"/>
      </w:pPr>
      <w:r>
        <w:t xml:space="preserve">E-mail: </w:t>
      </w:r>
      <w:proofErr w:type="spellStart"/>
      <w:r w:rsidRPr="008B453D">
        <w:rPr>
          <w:highlight w:val="black"/>
        </w:rPr>
        <w:t>xxxxxxxxxxxxxxxxxxxxxxx</w:t>
      </w:r>
      <w:proofErr w:type="spellEnd"/>
    </w:p>
    <w:p w:rsidR="00691F81" w:rsidRDefault="008B453D" w:rsidP="008B453D">
      <w:pPr>
        <w:pStyle w:val="Titulektabulky0"/>
        <w:shd w:val="clear" w:color="auto" w:fill="auto"/>
        <w:spacing w:line="240" w:lineRule="auto"/>
        <w:ind w:left="4248" w:firstLine="708"/>
        <w:jc w:val="both"/>
      </w:pPr>
      <w:proofErr w:type="gramStart"/>
      <w:r>
        <w:t>Brně</w:t>
      </w:r>
      <w:proofErr w:type="gramEnd"/>
      <w:r>
        <w:t xml:space="preserve"> dne: </w:t>
      </w:r>
      <w:proofErr w:type="gramStart"/>
      <w:r>
        <w:t>20.12.2023</w:t>
      </w:r>
      <w:proofErr w:type="gramEnd"/>
    </w:p>
    <w:p w:rsidR="008B453D" w:rsidRDefault="008B453D" w:rsidP="008B453D">
      <w:pPr>
        <w:pStyle w:val="Titulektabulky0"/>
        <w:shd w:val="clear" w:color="auto" w:fill="auto"/>
        <w:spacing w:line="240" w:lineRule="auto"/>
        <w:ind w:left="4248" w:firstLine="708"/>
        <w:jc w:val="both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64"/>
      </w:tblGrid>
      <w:tr w:rsidR="00691F81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105pt"/>
              </w:rPr>
              <w:t xml:space="preserve">Předmět objednávky </w:t>
            </w:r>
            <w:r>
              <w:rPr>
                <w:rStyle w:val="Zkladntext28pt"/>
              </w:rPr>
              <w:t>technická specifikace (případně popsat v příloze označené číslem objednávky)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8B453D">
            <w:pPr>
              <w:pStyle w:val="Zkladntext20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Zkladntext2105pt"/>
              </w:rPr>
              <w:t xml:space="preserve">Objednáváme u vás dle rámcové dohody N006/23/V00022058 : - </w:t>
            </w:r>
            <w:proofErr w:type="gramStart"/>
            <w:r>
              <w:rPr>
                <w:rStyle w:val="Zkladntext2105pt"/>
              </w:rPr>
              <w:t>viz. příloha</w:t>
            </w:r>
            <w:proofErr w:type="gramEnd"/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Upřesnění</w:t>
            </w:r>
          </w:p>
          <w:p w:rsidR="00691F81" w:rsidRDefault="008B453D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viz. </w:t>
            </w:r>
            <w:proofErr w:type="gramStart"/>
            <w:r>
              <w:rPr>
                <w:rStyle w:val="Zkladntext2105pt"/>
              </w:rPr>
              <w:t>příloha</w:t>
            </w:r>
            <w:proofErr w:type="gramEnd"/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317" w:lineRule="exact"/>
              <w:ind w:firstLine="0"/>
              <w:jc w:val="left"/>
            </w:pPr>
            <w:r>
              <w:rPr>
                <w:rStyle w:val="Zkladntext2105pt"/>
              </w:rPr>
              <w:t xml:space="preserve">Celková cena bez DPH </w:t>
            </w:r>
            <w:r>
              <w:rPr>
                <w:rStyle w:val="Zkladntext2105pt"/>
              </w:rPr>
              <w:t>(předpokládaná)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142 222,16 Kč</w:t>
            </w: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Výše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21%</w:t>
            </w: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Celková cena s DPH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172 088,81 Kč</w:t>
            </w: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Termín dodání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</w:tbl>
    <w:p w:rsidR="00691F81" w:rsidRDefault="00691F81">
      <w:pPr>
        <w:rPr>
          <w:sz w:val="2"/>
          <w:szCs w:val="2"/>
        </w:rPr>
        <w:sectPr w:rsidR="00691F81">
          <w:headerReference w:type="even" r:id="rId8"/>
          <w:headerReference w:type="first" r:id="rId9"/>
          <w:pgSz w:w="11909" w:h="16840"/>
          <w:pgMar w:top="985" w:right="1440" w:bottom="985" w:left="1091" w:header="0" w:footer="3" w:gutter="0"/>
          <w:cols w:space="720"/>
          <w:noEndnote/>
          <w:titlePg/>
          <w:docGrid w:linePitch="360"/>
        </w:sectPr>
      </w:pPr>
    </w:p>
    <w:p w:rsidR="00691F81" w:rsidRDefault="008B453D">
      <w:pPr>
        <w:pStyle w:val="Zkladntext20"/>
        <w:shd w:val="clear" w:color="auto" w:fill="auto"/>
        <w:ind w:firstLine="0"/>
        <w:jc w:val="left"/>
      </w:pPr>
      <w:r>
        <w:lastRenderedPageBreak/>
        <w:t xml:space="preserve">Doručení objednávky s uvedením jejího čísla potvrdí dodavatel na e-mail </w:t>
      </w:r>
      <w:proofErr w:type="spellStart"/>
      <w:r w:rsidRPr="008B453D">
        <w:rPr>
          <w:highlight w:val="black"/>
        </w:rPr>
        <w:t>xxxxxxxxxxxxxxxxxxxxxxx</w:t>
      </w:r>
      <w:proofErr w:type="spellEnd"/>
      <w:r>
        <w:rPr>
          <w:rStyle w:val="Zkladntext2Calibri11ptTun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Calibri11ptTun0"/>
        </w:rPr>
        <w:t xml:space="preserve">zda </w:t>
      </w:r>
      <w:r>
        <w:t xml:space="preserve">předmět plnění </w:t>
      </w:r>
      <w:r>
        <w:rPr>
          <w:rStyle w:val="Zkladntext2Calibri11ptTun0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691F81" w:rsidRDefault="008B453D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ind w:left="360"/>
        <w:jc w:val="left"/>
      </w:pPr>
      <w:r>
        <w:t xml:space="preserve">Podmínkou </w:t>
      </w:r>
      <w:r>
        <w:rPr>
          <w:rStyle w:val="Zkladntext2Calibri11ptTun0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Calibri11ptTun0"/>
        </w:rPr>
        <w:t xml:space="preserve">uveřejnění v Registru smluv, </w:t>
      </w:r>
      <w:r>
        <w:t xml:space="preserve">dostupném na webové adrese </w:t>
      </w:r>
      <w:hyperlink r:id="rId10" w:history="1">
        <w:r w:rsidRPr="0037483F">
          <w:rPr>
            <w:rStyle w:val="Hypertextovodkaz"/>
          </w:rPr>
          <w:t>https://smlouvy.gov.cz/</w:t>
        </w:r>
      </w:hyperlink>
      <w:r>
        <w:rPr>
          <w:rStyle w:val="Zkladntext22"/>
        </w:rPr>
        <w:t>.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Calibri11ptTun0"/>
        </w:rPr>
        <w:t>zajistí objednatel.</w:t>
      </w:r>
    </w:p>
    <w:p w:rsidR="00691F81" w:rsidRDefault="008B453D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ind w:left="360"/>
        <w:jc w:val="left"/>
      </w:pPr>
      <w:r>
        <w:t xml:space="preserve">Dodávka bude </w:t>
      </w:r>
      <w:r>
        <w:rPr>
          <w:rStyle w:val="Zkladntext2Calibri11ptTun0"/>
        </w:rPr>
        <w:t xml:space="preserve">realizována </w:t>
      </w:r>
      <w:r>
        <w:t xml:space="preserve">na základě dodavatelem potvrzené objednávky </w:t>
      </w:r>
      <w:r>
        <w:rPr>
          <w:rStyle w:val="Zkladntext2Calibri11ptTun0"/>
        </w:rPr>
        <w:t xml:space="preserve">nejpozději </w:t>
      </w:r>
      <w:proofErr w:type="gramStart"/>
      <w:r>
        <w:rPr>
          <w:rStyle w:val="Zkladntext2Calibri11ptTun0"/>
        </w:rPr>
        <w:t>do .... dnů</w:t>
      </w:r>
      <w:proofErr w:type="gramEnd"/>
      <w:r>
        <w:rPr>
          <w:rStyle w:val="Zkladntext2Calibri11ptTun0"/>
        </w:rPr>
        <w:t xml:space="preserve"> po </w:t>
      </w:r>
      <w:r>
        <w:t xml:space="preserve">jejím </w:t>
      </w:r>
      <w:r>
        <w:rPr>
          <w:rStyle w:val="Zkladntext2Calibri11ptTun0"/>
        </w:rPr>
        <w:t xml:space="preserve">zveřejnění </w:t>
      </w:r>
      <w:r>
        <w:t xml:space="preserve">v Registru smluv objednatelem. Z tohoto důvodu </w:t>
      </w:r>
      <w:r>
        <w:rPr>
          <w:rStyle w:val="Zkladntext2Calibri11ptTun0"/>
        </w:rPr>
        <w:t xml:space="preserve">dodavatel </w:t>
      </w:r>
      <w:r>
        <w:t xml:space="preserve">před uskutečněním dodávky </w:t>
      </w:r>
      <w:r>
        <w:rPr>
          <w:rStyle w:val="Zkladntext2Calibri11ptTun0"/>
        </w:rPr>
        <w:t xml:space="preserve">zkontroluje </w:t>
      </w:r>
      <w:r>
        <w:t xml:space="preserve">zaevidování objednávky </w:t>
      </w:r>
      <w:r>
        <w:rPr>
          <w:rStyle w:val="Zkladntext2Calibri11ptTun0"/>
        </w:rPr>
        <w:t xml:space="preserve">v registru smluv </w:t>
      </w:r>
      <w:r>
        <w:t xml:space="preserve">na adrese </w:t>
      </w:r>
      <w:hyperlink r:id="rId11" w:history="1">
        <w:r>
          <w:rPr>
            <w:rStyle w:val="Hypertextovodkaz"/>
          </w:rPr>
          <w:t>https://smlouw.gov.cz/</w:t>
        </w:r>
      </w:hyperlink>
    </w:p>
    <w:p w:rsidR="00691F81" w:rsidRDefault="008B453D">
      <w:pPr>
        <w:pStyle w:val="Zkladntext20"/>
        <w:numPr>
          <w:ilvl w:val="0"/>
          <w:numId w:val="1"/>
        </w:numPr>
        <w:shd w:val="clear" w:color="auto" w:fill="auto"/>
        <w:ind w:left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Calibri11ptTun0"/>
        </w:rPr>
        <w:t>smluvní poku</w:t>
      </w:r>
      <w:r>
        <w:rPr>
          <w:rStyle w:val="Zkladntext2Calibri11ptTun0"/>
        </w:rPr>
        <w:t xml:space="preserve">tu </w:t>
      </w:r>
      <w:r>
        <w:t>ve výši 0,05 % z celkové výše ceny dodávky bez DPH za každý i započatý kalendářní den. Tímto není dotčeno právo na náhradu škody.</w:t>
      </w:r>
    </w:p>
    <w:p w:rsidR="00691F81" w:rsidRDefault="008B453D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ind w:left="360"/>
        <w:jc w:val="left"/>
      </w:pPr>
      <w:r>
        <w:rPr>
          <w:rStyle w:val="Zkladntext2Calibri11pt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</w:t>
      </w:r>
    </w:p>
    <w:p w:rsidR="00691F81" w:rsidRDefault="008B453D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ind w:left="360"/>
        <w:jc w:val="left"/>
      </w:pPr>
      <w:r>
        <w:t xml:space="preserve">Není-li dohodnuto jinak, pak </w:t>
      </w:r>
      <w:r>
        <w:rPr>
          <w:rStyle w:val="Zkladntext2Calibri11ptTun0"/>
        </w:rPr>
        <w:t xml:space="preserve">splatnost </w:t>
      </w:r>
      <w:r>
        <w:t>da</w:t>
      </w:r>
      <w:r>
        <w:t xml:space="preserve">ňového dokladu je 30 dnů ode dne jeho doručení objednateli. Kromě zákonných požadavků musí být </w:t>
      </w:r>
      <w:r>
        <w:rPr>
          <w:rStyle w:val="Zkladntext2Calibri11ptTun0"/>
        </w:rPr>
        <w:t xml:space="preserve">na daňovém dokladu uvedeno číslo této objednávky </w:t>
      </w:r>
      <w:r>
        <w:t>a přiložen předávací protokol.</w:t>
      </w:r>
    </w:p>
    <w:p w:rsidR="00691F81" w:rsidRDefault="008B453D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ind w:left="360"/>
        <w:jc w:val="left"/>
      </w:pPr>
      <w:r>
        <w:t xml:space="preserve">Spolu s dodávkou předá dodavatel objednateli </w:t>
      </w:r>
      <w:r>
        <w:rPr>
          <w:rStyle w:val="Zkladntext2Calibri11ptTun0"/>
        </w:rPr>
        <w:t xml:space="preserve">doklady v českém jazyce, </w:t>
      </w:r>
      <w:r>
        <w:t>jsou-li nut</w:t>
      </w:r>
      <w:r>
        <w:t>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vyh</w:t>
      </w:r>
      <w:r>
        <w:t>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691F81" w:rsidRDefault="008B453D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ind w:left="360"/>
        <w:jc w:val="left"/>
      </w:pPr>
      <w:r>
        <w:t xml:space="preserve">Dodavatel poskytuje </w:t>
      </w:r>
      <w:r>
        <w:rPr>
          <w:rStyle w:val="Zkladntext2Calibri11ptTun0"/>
        </w:rPr>
        <w:t xml:space="preserve">záruku </w:t>
      </w:r>
      <w:r>
        <w:t>na předmět objedná</w:t>
      </w:r>
      <w:r>
        <w:t>vky po dobu 24 měsíců a tento údaj musí být vyznačen na faktuře nebo dokladech předávaných s dodávkou.</w:t>
      </w:r>
    </w:p>
    <w:p w:rsidR="00691F81" w:rsidRDefault="008B453D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ind w:left="360"/>
        <w:jc w:val="left"/>
      </w:pPr>
      <w:r>
        <w:t xml:space="preserve">Jestliže dodatečně vyjde najevo </w:t>
      </w:r>
      <w:r>
        <w:rPr>
          <w:rStyle w:val="Zkladntext2Calibri11ptTun0"/>
        </w:rPr>
        <w:t xml:space="preserve">vada </w:t>
      </w:r>
      <w:r>
        <w:t>nebo vady, na které dodavatel objednatele neupozornil, má objednatel právo na bezplatnou náhradu či opravu nejpozděj</w:t>
      </w:r>
      <w:r>
        <w:t>i do 3 dnů ode dne oznámení vady; jde-li o vadu, která činí dodávku neupotřebitelnou, má též právo odstoupit od potvrzené objednávky (smlouvy) a požadovat úhradu vynaložených nákladů.</w:t>
      </w:r>
    </w:p>
    <w:p w:rsidR="00691F81" w:rsidRDefault="008B453D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Calibri11ptTun0"/>
        </w:rPr>
        <w:t>sml</w:t>
      </w:r>
      <w:r>
        <w:rPr>
          <w:rStyle w:val="Zkladntext2Calibri11ptTun0"/>
        </w:rPr>
        <w:t xml:space="preserve">uvní pokutu </w:t>
      </w:r>
      <w:r>
        <w:t>ve výši</w:t>
      </w:r>
    </w:p>
    <w:p w:rsidR="00691F81" w:rsidRDefault="008B453D">
      <w:pPr>
        <w:pStyle w:val="Zkladntext20"/>
        <w:shd w:val="clear" w:color="auto" w:fill="auto"/>
        <w:tabs>
          <w:tab w:val="left" w:leader="dot" w:pos="1123"/>
        </w:tabs>
        <w:ind w:firstLine="0"/>
        <w:jc w:val="left"/>
      </w:pPr>
      <w:r>
        <w:tab/>
        <w:t>,- Kč bez DPH za každý i započatý kalendářní den. Tímto není dotčeno právo na náhradu</w:t>
      </w:r>
    </w:p>
    <w:p w:rsidR="00691F81" w:rsidRDefault="008B453D">
      <w:pPr>
        <w:pStyle w:val="Zkladntext20"/>
        <w:shd w:val="clear" w:color="auto" w:fill="auto"/>
        <w:ind w:firstLine="0"/>
        <w:jc w:val="left"/>
      </w:pPr>
      <w:r>
        <w:t>škody.</w:t>
      </w:r>
    </w:p>
    <w:p w:rsidR="00691F81" w:rsidRDefault="008B453D">
      <w:pPr>
        <w:pStyle w:val="Zkladntext40"/>
        <w:numPr>
          <w:ilvl w:val="0"/>
          <w:numId w:val="1"/>
        </w:numPr>
        <w:shd w:val="clear" w:color="auto" w:fill="auto"/>
        <w:tabs>
          <w:tab w:val="left" w:pos="701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8B453D" w:rsidRDefault="008B453D" w:rsidP="008B453D">
      <w:pPr>
        <w:pStyle w:val="Zkladntext40"/>
        <w:shd w:val="clear" w:color="auto" w:fill="auto"/>
        <w:tabs>
          <w:tab w:val="left" w:pos="701"/>
        </w:tabs>
        <w:ind w:firstLine="0"/>
        <w:jc w:val="left"/>
      </w:pPr>
    </w:p>
    <w:p w:rsidR="008B453D" w:rsidRDefault="008B453D">
      <w:pPr>
        <w:pStyle w:val="Zkladntext50"/>
        <w:shd w:val="clear" w:color="auto" w:fill="auto"/>
        <w:jc w:val="left"/>
      </w:pPr>
    </w:p>
    <w:p w:rsidR="008B453D" w:rsidRDefault="008B453D">
      <w:pPr>
        <w:pStyle w:val="Zkladntext50"/>
        <w:shd w:val="clear" w:color="auto" w:fill="auto"/>
        <w:jc w:val="left"/>
      </w:pPr>
    </w:p>
    <w:p w:rsidR="00691F81" w:rsidRDefault="008B453D">
      <w:pPr>
        <w:pStyle w:val="Zkladntext50"/>
        <w:shd w:val="clear" w:color="auto" w:fill="auto"/>
        <w:jc w:val="left"/>
      </w:pPr>
      <w:r>
        <w:t xml:space="preserve">Ing. </w:t>
      </w:r>
      <w:r>
        <w:rPr>
          <w:rStyle w:val="Zkladntext5Tun"/>
        </w:rPr>
        <w:t>Jan Škaroupka</w:t>
      </w:r>
    </w:p>
    <w:p w:rsidR="00691F81" w:rsidRDefault="008B453D">
      <w:pPr>
        <w:pStyle w:val="Zkladntext50"/>
        <w:shd w:val="clear" w:color="auto" w:fill="auto"/>
        <w:jc w:val="left"/>
        <w:sectPr w:rsidR="00691F81">
          <w:pgSz w:w="11909" w:h="16840"/>
          <w:pgMar w:top="1336" w:right="1383" w:bottom="748" w:left="1133" w:header="0" w:footer="3" w:gutter="0"/>
          <w:cols w:space="720"/>
          <w:noEndnote/>
          <w:docGrid w:linePitch="360"/>
        </w:sectPr>
      </w:pPr>
      <w:r>
        <w:t>náměstek ředitele pro ekonomiku a technické služby</w:t>
      </w:r>
    </w:p>
    <w:p w:rsidR="008B453D" w:rsidRDefault="008B453D">
      <w:pPr>
        <w:pStyle w:val="Zkladntext60"/>
        <w:shd w:val="clear" w:color="auto" w:fill="auto"/>
        <w:spacing w:line="191" w:lineRule="exact"/>
      </w:pPr>
    </w:p>
    <w:p w:rsidR="00691F81" w:rsidRDefault="00691F81">
      <w:pPr>
        <w:rPr>
          <w:sz w:val="2"/>
          <w:szCs w:val="2"/>
        </w:rPr>
        <w:sectPr w:rsidR="00691F81">
          <w:type w:val="continuous"/>
          <w:pgSz w:w="11909" w:h="16840"/>
          <w:pgMar w:top="885" w:right="1383" w:bottom="734" w:left="1133" w:header="0" w:footer="3" w:gutter="0"/>
          <w:cols w:space="720"/>
          <w:noEndnote/>
          <w:docGrid w:linePitch="360"/>
        </w:sectPr>
      </w:pPr>
    </w:p>
    <w:p w:rsidR="00691F81" w:rsidRDefault="008B453D">
      <w:pPr>
        <w:pStyle w:val="Nadpis10"/>
        <w:keepNext/>
        <w:keepLines/>
        <w:shd w:val="clear" w:color="auto" w:fill="auto"/>
        <w:spacing w:line="360" w:lineRule="exact"/>
        <w:sectPr w:rsidR="00691F81">
          <w:pgSz w:w="11909" w:h="16840"/>
          <w:pgMar w:top="706" w:right="1440" w:bottom="1430" w:left="1440" w:header="0" w:footer="3" w:gutter="0"/>
          <w:cols w:space="720"/>
          <w:noEndnote/>
          <w:docGrid w:linePitch="360"/>
        </w:sectPr>
      </w:pPr>
      <w:bookmarkStart w:id="1" w:name="bookmark1"/>
      <w:r>
        <w:lastRenderedPageBreak/>
        <w:t>OBJEDNÁVKA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48"/>
        <w:gridCol w:w="6059"/>
        <w:gridCol w:w="1181"/>
        <w:gridCol w:w="1019"/>
      </w:tblGrid>
      <w:tr w:rsidR="00691F81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Firma: KORAKO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1F81" w:rsidRDefault="00691F81"/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toaletní papír malé role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2048rol.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105pt"/>
              </w:rPr>
              <w:t>toalletní</w:t>
            </w:r>
            <w:proofErr w:type="spellEnd"/>
            <w:r>
              <w:rPr>
                <w:rStyle w:val="Zkladntext2105pt"/>
              </w:rPr>
              <w:t xml:space="preserve"> papír </w:t>
            </w:r>
            <w:proofErr w:type="spellStart"/>
            <w:r>
              <w:rPr>
                <w:rStyle w:val="Zkladntext2105pt"/>
              </w:rPr>
              <w:t>Jumbo</w:t>
            </w:r>
            <w:proofErr w:type="spellEnd"/>
            <w:r>
              <w:rPr>
                <w:rStyle w:val="Zkladntext2105pt"/>
              </w:rPr>
              <w:t xml:space="preserve"> 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180rol.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toaletní papír </w:t>
            </w:r>
            <w:proofErr w:type="spellStart"/>
            <w:r>
              <w:rPr>
                <w:rStyle w:val="Zkladntext2105pt"/>
              </w:rPr>
              <w:t>Jumbo</w:t>
            </w:r>
            <w:proofErr w:type="spellEnd"/>
            <w:r>
              <w:rPr>
                <w:rStyle w:val="Zkladntext2105pt"/>
              </w:rPr>
              <w:t xml:space="preserve"> 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240rol.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4.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toaletní papír </w:t>
            </w:r>
            <w:proofErr w:type="spellStart"/>
            <w:r>
              <w:rPr>
                <w:rStyle w:val="Zkladntext2105pt"/>
              </w:rPr>
              <w:t>Jumbo</w:t>
            </w:r>
            <w:proofErr w:type="spellEnd"/>
            <w:r>
              <w:rPr>
                <w:rStyle w:val="Zkladntext2105pt"/>
              </w:rPr>
              <w:t xml:space="preserve"> 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150rol.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5.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ručník </w:t>
            </w:r>
            <w:proofErr w:type="spellStart"/>
            <w:r>
              <w:rPr>
                <w:rStyle w:val="Zkladntext2105pt"/>
              </w:rPr>
              <w:t>cik</w:t>
            </w:r>
            <w:proofErr w:type="spellEnd"/>
            <w:r>
              <w:rPr>
                <w:rStyle w:val="Zkladntext2105pt"/>
              </w:rPr>
              <w:t>-</w:t>
            </w:r>
            <w:proofErr w:type="spellStart"/>
            <w:r>
              <w:rPr>
                <w:rStyle w:val="Zkladntext2105pt"/>
              </w:rPr>
              <w:t>cak</w:t>
            </w:r>
            <w:proofErr w:type="spellEnd"/>
            <w:r>
              <w:rPr>
                <w:rStyle w:val="Zkladntext2105pt"/>
              </w:rPr>
              <w:t xml:space="preserve"> 5000ks v kartonu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140krab.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6.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7.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kontejner na bio odpad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180ks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8.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ubrousky kuchyňské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216bal.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9.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sáček do koše 40I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240rol.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10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sáček do koše zatahovací červený 40I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250rol.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pytel černý na odpad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150rol.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kelímek jednorázový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30ks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105pt"/>
              </w:rPr>
              <w:t>pap.role</w:t>
            </w:r>
            <w:proofErr w:type="spellEnd"/>
            <w:r>
              <w:rPr>
                <w:rStyle w:val="Zkladntext2105pt"/>
              </w:rPr>
              <w:t xml:space="preserve"> </w:t>
            </w:r>
            <w:proofErr w:type="spellStart"/>
            <w:r>
              <w:rPr>
                <w:rStyle w:val="Zkladntext2105pt"/>
              </w:rPr>
              <w:t>Katrin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papírové </w:t>
            </w:r>
            <w:proofErr w:type="spellStart"/>
            <w:r>
              <w:rPr>
                <w:rStyle w:val="Zkladntext2105pt"/>
              </w:rPr>
              <w:t>útěrky</w:t>
            </w:r>
            <w:proofErr w:type="spellEnd"/>
            <w:r>
              <w:rPr>
                <w:rStyle w:val="Zkladntext2105pt"/>
              </w:rPr>
              <w:t xml:space="preserve"> role (</w:t>
            </w:r>
            <w:proofErr w:type="gramStart"/>
            <w:r>
              <w:rPr>
                <w:rStyle w:val="Zkladntext2105pt"/>
              </w:rPr>
              <w:t>kuchyňské ) bal</w:t>
            </w:r>
            <w:proofErr w:type="gramEnd"/>
            <w:r>
              <w:rPr>
                <w:rStyle w:val="Zkladntext2105pt"/>
              </w:rPr>
              <w:t>.á2ks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360bal.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15.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sáček na materiál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100ks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16.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>
              <w:rPr>
                <w:rStyle w:val="Zkladntext2105pt"/>
              </w:rPr>
              <w:t>zemovka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100ks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17.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houbička na nádobí </w:t>
            </w:r>
            <w:proofErr w:type="gramStart"/>
            <w:r>
              <w:rPr>
                <w:rStyle w:val="Zkladntext2105pt"/>
              </w:rPr>
              <w:t>bal.á 2ks</w:t>
            </w:r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240bal.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16.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prachovka modrá, zelená, růžová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1000ks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19.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pytel červený bal.á25ks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1000ks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20.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 xml:space="preserve">pytel </w:t>
            </w:r>
            <w:proofErr w:type="gramStart"/>
            <w:r>
              <w:rPr>
                <w:rStyle w:val="Zkladntext2105pt"/>
              </w:rPr>
              <w:t>průhledný ( 19998</w:t>
            </w:r>
            <w:proofErr w:type="gramEnd"/>
            <w:r>
              <w:rPr>
                <w:rStyle w:val="Zkladntext2105pt"/>
              </w:rPr>
              <w:t>) bal.á25ks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1000ks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sáček na léky 8x12, uzavíratelný bal. Á100ks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50bal.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smetáček + lopatka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"/>
              </w:rPr>
              <w:t>20ks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24.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25.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26.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27.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28.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29.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30.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31.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  <w:tr w:rsidR="00691F8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F81" w:rsidRDefault="008B453D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Calibri12ptTun"/>
              </w:rPr>
              <w:t>32.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F81" w:rsidRDefault="00691F81">
            <w:pPr>
              <w:rPr>
                <w:sz w:val="10"/>
                <w:szCs w:val="10"/>
              </w:rPr>
            </w:pPr>
          </w:p>
        </w:tc>
      </w:tr>
    </w:tbl>
    <w:p w:rsidR="00691F81" w:rsidRDefault="00691F81">
      <w:pPr>
        <w:rPr>
          <w:sz w:val="2"/>
          <w:szCs w:val="2"/>
        </w:rPr>
      </w:pPr>
    </w:p>
    <w:sectPr w:rsidR="00691F81" w:rsidSect="00691F81">
      <w:type w:val="continuous"/>
      <w:pgSz w:w="11909" w:h="16840"/>
      <w:pgMar w:top="691" w:right="1440" w:bottom="691" w:left="8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53D" w:rsidRDefault="008B453D" w:rsidP="00691F81">
      <w:r>
        <w:separator/>
      </w:r>
    </w:p>
  </w:endnote>
  <w:endnote w:type="continuationSeparator" w:id="0">
    <w:p w:rsidR="008B453D" w:rsidRDefault="008B453D" w:rsidP="00691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53D" w:rsidRDefault="008B453D"/>
  </w:footnote>
  <w:footnote w:type="continuationSeparator" w:id="0">
    <w:p w:rsidR="008B453D" w:rsidRDefault="008B453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F81" w:rsidRDefault="00691F81">
    <w:pPr>
      <w:rPr>
        <w:sz w:val="2"/>
        <w:szCs w:val="2"/>
      </w:rPr>
    </w:pPr>
    <w:r w:rsidRPr="00691F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8.1pt;margin-top:25.5pt;width:464.4pt;height:15.8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1F81" w:rsidRDefault="008B453D">
                <w:pPr>
                  <w:pStyle w:val="ZhlavneboZpat0"/>
                  <w:shd w:val="clear" w:color="auto" w:fill="auto"/>
                  <w:tabs>
                    <w:tab w:val="right" w:pos="9288"/>
                  </w:tabs>
                  <w:spacing w:line="240" w:lineRule="auto"/>
                </w:pPr>
                <w:r>
                  <w:rPr>
                    <w:rStyle w:val="ZhlavneboZpatTimesNewRoman"/>
                    <w:rFonts w:eastAsia="Tahoma"/>
                  </w:rPr>
                  <w:t xml:space="preserve">objednávka Číslo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F81" w:rsidRDefault="00691F81">
    <w:pPr>
      <w:rPr>
        <w:sz w:val="2"/>
        <w:szCs w:val="2"/>
      </w:rPr>
    </w:pPr>
    <w:r w:rsidRPr="00691F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7.15pt;margin-top:19.95pt;width:279.55pt;height:9.3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91F81" w:rsidRDefault="008B453D">
                <w:pPr>
                  <w:pStyle w:val="ZhlavneboZpat0"/>
                  <w:shd w:val="clear" w:color="auto" w:fill="auto"/>
                  <w:tabs>
                    <w:tab w:val="right" w:pos="5591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 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4D00"/>
    <w:multiLevelType w:val="multilevel"/>
    <w:tmpl w:val="9874377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91F81"/>
    <w:rsid w:val="00691F81"/>
    <w:rsid w:val="008B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91F8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91F81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691F81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691F81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Calibri12ptTun">
    <w:name w:val="Základní text (2) + Calibri;12 pt;Tučné"/>
    <w:basedOn w:val="Zkladntext2"/>
    <w:rsid w:val="00691F81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05pt">
    <w:name w:val="Základní text (2) + 10;5 pt"/>
    <w:basedOn w:val="Zkladntext2"/>
    <w:rsid w:val="00691F81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11pt">
    <w:name w:val="Základní text (2) + Times New Roman;11 pt"/>
    <w:basedOn w:val="Zkladntext2"/>
    <w:rsid w:val="00691F8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8pt">
    <w:name w:val="Základní text (2) + 8 pt"/>
    <w:basedOn w:val="Zkladntext2"/>
    <w:rsid w:val="00691F81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TimesNewRoman">
    <w:name w:val="Základní text (2) + Times New Roman"/>
    <w:basedOn w:val="Zkladntext2"/>
    <w:rsid w:val="00691F8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691F8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691F8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691F8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691F81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1">
    <w:name w:val="Základní text (3)"/>
    <w:basedOn w:val="Zkladntext3"/>
    <w:rsid w:val="00691F8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691F8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Calibri11ptTun">
    <w:name w:val="Základní text (2) + Calibri;11 pt;Tučné"/>
    <w:basedOn w:val="Zkladntext2"/>
    <w:rsid w:val="00691F81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Calibri11ptTun0">
    <w:name w:val="Základní text (2) + Calibri;11 pt;Tučné"/>
    <w:basedOn w:val="Zkladntext2"/>
    <w:rsid w:val="00691F81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691F8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hlavneboZpatTimesNewRoman0">
    <w:name w:val="Záhlaví nebo Zápatí + Times New Roman"/>
    <w:basedOn w:val="ZhlavneboZpat"/>
    <w:rsid w:val="00691F8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hlavneboZpat105ptTunKurzva">
    <w:name w:val="Záhlaví nebo Zápatí + 10;5 pt;Tučné;Kurzíva"/>
    <w:basedOn w:val="ZhlavneboZpat"/>
    <w:rsid w:val="00691F81"/>
    <w:rPr>
      <w:b/>
      <w:bCs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TimesNewRomanKurzva">
    <w:name w:val="Záhlaví nebo Zápatí + Times New Roman;Kurzíva"/>
    <w:basedOn w:val="ZhlavneboZpat"/>
    <w:rsid w:val="00691F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2">
    <w:name w:val="Základní text (2)"/>
    <w:basedOn w:val="Zkladntext2"/>
    <w:rsid w:val="00691F8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691F8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sid w:val="00691F8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Tahoma95ptNetun">
    <w:name w:val="Základní text (4) + Tahoma;9;5 pt;Ne tučné"/>
    <w:basedOn w:val="Zkladntext4"/>
    <w:rsid w:val="00691F81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91F8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Tun">
    <w:name w:val="Základní text (5) + Tučné"/>
    <w:basedOn w:val="Zkladntext5"/>
    <w:rsid w:val="00691F81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91F8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sid w:val="00691F81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sid w:val="00691F81"/>
    <w:rPr>
      <w:rFonts w:ascii="Calibri" w:eastAsia="Calibri" w:hAnsi="Calibri" w:cs="Calibri"/>
      <w:b w:val="0"/>
      <w:bCs w:val="0"/>
      <w:i/>
      <w:iCs/>
      <w:smallCaps w:val="0"/>
      <w:strike w:val="0"/>
      <w:spacing w:val="-20"/>
      <w:sz w:val="40"/>
      <w:szCs w:val="40"/>
      <w:u w:val="none"/>
    </w:rPr>
  </w:style>
  <w:style w:type="character" w:customStyle="1" w:styleId="Nadpis2TimesNewRoman12ptNekurzvadkovn0pt">
    <w:name w:val="Nadpis #2 + Times New Roman;12 pt;Ne kurzíva;Řádkování 0 pt"/>
    <w:basedOn w:val="Nadpis2"/>
    <w:rsid w:val="00691F81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2Nekurzvadkovn0pt">
    <w:name w:val="Nadpis #2 + Ne kurzíva;Řádkování 0 pt"/>
    <w:basedOn w:val="Nadpis2"/>
    <w:rsid w:val="00691F81"/>
    <w:rPr>
      <w:i/>
      <w:i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21">
    <w:name w:val="Nadpis #2"/>
    <w:basedOn w:val="Nadpis2"/>
    <w:rsid w:val="00691F81"/>
    <w:rPr>
      <w:color w:val="000000"/>
      <w:w w:val="100"/>
      <w:position w:val="0"/>
      <w:u w:val="single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rsid w:val="00691F81"/>
    <w:pPr>
      <w:shd w:val="clear" w:color="auto" w:fill="FFFFFF"/>
      <w:spacing w:line="252" w:lineRule="exact"/>
      <w:jc w:val="right"/>
    </w:pPr>
    <w:rPr>
      <w:rFonts w:ascii="Tahoma" w:eastAsia="Tahoma" w:hAnsi="Tahoma" w:cs="Tahoma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691F81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dpis30">
    <w:name w:val="Nadpis #3"/>
    <w:basedOn w:val="Normln"/>
    <w:link w:val="Nadpis3"/>
    <w:rsid w:val="00691F81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691F81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691F81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691F81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691F81"/>
    <w:pPr>
      <w:shd w:val="clear" w:color="auto" w:fill="FFFFFF"/>
      <w:spacing w:line="187" w:lineRule="exact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Zkladntext60">
    <w:name w:val="Základní text (6)"/>
    <w:basedOn w:val="Normln"/>
    <w:link w:val="Zkladntext6"/>
    <w:rsid w:val="00691F81"/>
    <w:pPr>
      <w:shd w:val="clear" w:color="auto" w:fill="FFFFFF"/>
      <w:spacing w:line="187" w:lineRule="exact"/>
    </w:pPr>
    <w:rPr>
      <w:rFonts w:ascii="Calibri" w:eastAsia="Calibri" w:hAnsi="Calibri" w:cs="Calibri"/>
      <w:sz w:val="17"/>
      <w:szCs w:val="17"/>
    </w:rPr>
  </w:style>
  <w:style w:type="paragraph" w:customStyle="1" w:styleId="Nadpis10">
    <w:name w:val="Nadpis #1"/>
    <w:basedOn w:val="Normln"/>
    <w:link w:val="Nadpis1"/>
    <w:rsid w:val="00691F8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rsid w:val="00691F81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i/>
      <w:iCs/>
      <w:spacing w:val="-20"/>
      <w:sz w:val="40"/>
      <w:szCs w:val="40"/>
    </w:rPr>
  </w:style>
  <w:style w:type="paragraph" w:styleId="Zhlav">
    <w:name w:val="header"/>
    <w:basedOn w:val="Normln"/>
    <w:link w:val="ZhlavChar"/>
    <w:uiPriority w:val="99"/>
    <w:semiHidden/>
    <w:unhideWhenUsed/>
    <w:rsid w:val="008B4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B453D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8B45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B453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jednavky@korako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louw.gov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689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2023-12-23T08:41:00Z</dcterms:created>
  <dcterms:modified xsi:type="dcterms:W3CDTF">2023-12-23T08:48:00Z</dcterms:modified>
</cp:coreProperties>
</file>