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A0E" w:rsidRDefault="00927BB4">
      <w:pPr>
        <w:pStyle w:val="Nzev"/>
        <w:jc w:val="center"/>
      </w:pPr>
      <w:r>
        <w:t>Podnájemní smlouva</w:t>
      </w:r>
    </w:p>
    <w:p w:rsidR="00477A0E" w:rsidRDefault="00477A0E"/>
    <w:p w:rsidR="00477A0E" w:rsidRDefault="00927BB4">
      <w:pPr>
        <w:pBdr>
          <w:top w:val="nil"/>
          <w:left w:val="nil"/>
          <w:bottom w:val="nil"/>
          <w:right w:val="nil"/>
          <w:between w:val="nil"/>
        </w:pBdr>
        <w:spacing w:after="0" w:line="240" w:lineRule="auto"/>
        <w:rPr>
          <w:color w:val="000000"/>
        </w:rPr>
      </w:pPr>
      <w:r>
        <w:rPr>
          <w:color w:val="000000"/>
        </w:rPr>
        <w:t> </w:t>
      </w:r>
    </w:p>
    <w:p w:rsidR="00477A0E" w:rsidRDefault="00927BB4">
      <w:pPr>
        <w:numPr>
          <w:ilvl w:val="0"/>
          <w:numId w:val="1"/>
        </w:numPr>
        <w:pBdr>
          <w:top w:val="nil"/>
          <w:left w:val="nil"/>
          <w:bottom w:val="nil"/>
          <w:right w:val="nil"/>
          <w:between w:val="nil"/>
        </w:pBdr>
        <w:jc w:val="center"/>
        <w:rPr>
          <w:b/>
          <w:color w:val="000000"/>
        </w:rPr>
      </w:pPr>
      <w:r>
        <w:rPr>
          <w:b/>
          <w:color w:val="000000"/>
        </w:rPr>
        <w:t>Smluvní strany</w:t>
      </w:r>
    </w:p>
    <w:p w:rsidR="00477A0E" w:rsidRDefault="00927BB4">
      <w:pPr>
        <w:pBdr>
          <w:top w:val="nil"/>
          <w:left w:val="nil"/>
          <w:bottom w:val="nil"/>
          <w:right w:val="nil"/>
          <w:between w:val="nil"/>
        </w:pBdr>
        <w:spacing w:after="0" w:line="240" w:lineRule="auto"/>
        <w:rPr>
          <w:color w:val="000000"/>
        </w:rPr>
      </w:pPr>
      <w:r>
        <w:rPr>
          <w:b/>
          <w:color w:val="000000"/>
        </w:rPr>
        <w:t>Národní filmový archiv</w:t>
      </w:r>
      <w:r>
        <w:rPr>
          <w:color w:val="000000"/>
        </w:rPr>
        <w:t>, příspěvková organizace</w:t>
      </w:r>
    </w:p>
    <w:p w:rsidR="00477A0E" w:rsidRDefault="00927BB4">
      <w:pPr>
        <w:spacing w:after="0" w:line="240" w:lineRule="auto"/>
      </w:pPr>
      <w:r>
        <w:t>nepodléhající zápisu do obchodního rejstříku, zřízená Ministerstvem kultury ČR, zřizovací listina č. j. MK 13526/2013 OMA ve znění pozdějších změn a doplňků  </w:t>
      </w:r>
      <w:r>
        <w:br/>
        <w:t>se sídlem Praha 3, Malešická 12</w:t>
      </w:r>
      <w:r>
        <w:br/>
        <w:t>IČ: 000 57 266,</w:t>
      </w:r>
      <w:r>
        <w:br/>
        <w:t>DIČ: CZ 000 57 266</w:t>
      </w:r>
      <w:r>
        <w:br/>
        <w:t>Bankovní spojení: Česká národní banka, Na Příkopě 28, 115 03 Praha 1</w:t>
      </w:r>
      <w:r>
        <w:br/>
        <w:t>Č.ú.: 83337011/0710</w:t>
      </w:r>
      <w:r>
        <w:br/>
        <w:t xml:space="preserve">zastoupený </w:t>
      </w:r>
      <w:r w:rsidR="00954CE8">
        <w:t>xxxxxx</w:t>
      </w:r>
    </w:p>
    <w:p w:rsidR="00477A0E" w:rsidRDefault="00927BB4">
      <w:pPr>
        <w:spacing w:after="0" w:line="240" w:lineRule="auto"/>
      </w:pPr>
      <w:r>
        <w:t xml:space="preserve"> (dále jen „pronajímatel“)</w:t>
      </w:r>
    </w:p>
    <w:p w:rsidR="00477A0E" w:rsidRDefault="00477A0E">
      <w:pPr>
        <w:spacing w:after="0" w:line="240" w:lineRule="auto"/>
      </w:pPr>
    </w:p>
    <w:p w:rsidR="00477A0E" w:rsidRDefault="00927BB4">
      <w:pPr>
        <w:spacing w:after="0" w:line="240" w:lineRule="auto"/>
        <w:rPr>
          <w:b/>
        </w:rPr>
      </w:pPr>
      <w:r>
        <w:rPr>
          <w:b/>
        </w:rPr>
        <w:t>a</w:t>
      </w:r>
    </w:p>
    <w:p w:rsidR="00477A0E" w:rsidRDefault="00477A0E">
      <w:pPr>
        <w:spacing w:after="0" w:line="240" w:lineRule="auto"/>
        <w:rPr>
          <w:b/>
        </w:rPr>
      </w:pPr>
    </w:p>
    <w:p w:rsidR="00477A0E" w:rsidRDefault="00927BB4">
      <w:pPr>
        <w:spacing w:after="0" w:line="240" w:lineRule="auto"/>
        <w:rPr>
          <w:b/>
        </w:rPr>
      </w:pPr>
      <w:r>
        <w:rPr>
          <w:b/>
        </w:rPr>
        <w:t>Člověk v tísni, o.p.s.</w:t>
      </w:r>
    </w:p>
    <w:p w:rsidR="00477A0E" w:rsidRDefault="00927BB4">
      <w:pPr>
        <w:spacing w:after="0" w:line="240" w:lineRule="auto"/>
      </w:pPr>
      <w:r>
        <w:t>IČ: 25755277, DIČ: CZ 25755277</w:t>
      </w:r>
    </w:p>
    <w:p w:rsidR="00477A0E" w:rsidRDefault="00927BB4">
      <w:pPr>
        <w:spacing w:after="0" w:line="240" w:lineRule="auto"/>
      </w:pPr>
      <w:r>
        <w:t>Se sídlem Šafaříkova 24, 120 00 Praha 2</w:t>
      </w:r>
    </w:p>
    <w:p w:rsidR="00477A0E" w:rsidRDefault="00927BB4">
      <w:pPr>
        <w:spacing w:after="0" w:line="240" w:lineRule="auto"/>
      </w:pPr>
      <w:r>
        <w:t xml:space="preserve">Zastoupený </w:t>
      </w:r>
      <w:r w:rsidR="00954CE8">
        <w:t>xxxxxxx</w:t>
      </w:r>
    </w:p>
    <w:p w:rsidR="00477A0E" w:rsidRDefault="00927BB4">
      <w:pPr>
        <w:spacing w:after="0" w:line="240" w:lineRule="auto"/>
      </w:pPr>
      <w:r>
        <w:t>(dále jen „nájemce“)</w:t>
      </w:r>
    </w:p>
    <w:p w:rsidR="00477A0E" w:rsidRDefault="00477A0E">
      <w:pPr>
        <w:rPr>
          <w:b/>
        </w:rPr>
      </w:pPr>
    </w:p>
    <w:p w:rsidR="00477A0E" w:rsidRDefault="00927BB4">
      <w:pPr>
        <w:numPr>
          <w:ilvl w:val="0"/>
          <w:numId w:val="1"/>
        </w:numPr>
        <w:pBdr>
          <w:top w:val="nil"/>
          <w:left w:val="nil"/>
          <w:bottom w:val="nil"/>
          <w:right w:val="nil"/>
          <w:between w:val="nil"/>
        </w:pBdr>
        <w:spacing w:after="0" w:line="240" w:lineRule="auto"/>
        <w:jc w:val="center"/>
        <w:rPr>
          <w:b/>
          <w:color w:val="000000"/>
        </w:rPr>
      </w:pPr>
      <w:r>
        <w:rPr>
          <w:b/>
          <w:color w:val="000000"/>
        </w:rPr>
        <w:t>Předmět smlouvy</w:t>
      </w:r>
    </w:p>
    <w:p w:rsidR="00477A0E" w:rsidRDefault="00927BB4">
      <w:pPr>
        <w:numPr>
          <w:ilvl w:val="0"/>
          <w:numId w:val="3"/>
        </w:numPr>
        <w:pBdr>
          <w:top w:val="nil"/>
          <w:left w:val="nil"/>
          <w:bottom w:val="nil"/>
          <w:right w:val="nil"/>
          <w:between w:val="nil"/>
        </w:pBdr>
        <w:spacing w:after="0" w:line="240" w:lineRule="auto"/>
        <w:ind w:left="426" w:hanging="426"/>
        <w:jc w:val="both"/>
      </w:pPr>
      <w:r>
        <w:rPr>
          <w:color w:val="000000"/>
        </w:rPr>
        <w:t xml:space="preserve">Pronajímatel prohlašuje, že je oprávněn přenechat k dočasnému užívání prostory kina Ponrepo (sál, společné prostory a technické zázemí, a to v časech specifikovaných níže), na adrese </w:t>
      </w:r>
      <w:r>
        <w:rPr>
          <w:color w:val="202124"/>
          <w:highlight w:val="white"/>
        </w:rPr>
        <w:t>Bartolomějská 291/11, 110 00 Staré Město.</w:t>
      </w:r>
    </w:p>
    <w:p w:rsidR="00477A0E" w:rsidRDefault="00927BB4">
      <w:pPr>
        <w:numPr>
          <w:ilvl w:val="0"/>
          <w:numId w:val="3"/>
        </w:numPr>
        <w:pBdr>
          <w:top w:val="nil"/>
          <w:left w:val="nil"/>
          <w:bottom w:val="nil"/>
          <w:right w:val="nil"/>
          <w:between w:val="nil"/>
        </w:pBdr>
        <w:spacing w:after="120" w:line="240" w:lineRule="auto"/>
        <w:ind w:left="426" w:hanging="426"/>
        <w:jc w:val="both"/>
        <w:rPr>
          <w:color w:val="000000"/>
        </w:rPr>
      </w:pPr>
      <w:r>
        <w:rPr>
          <w:color w:val="000000"/>
        </w:rPr>
        <w:t>Pronajímatel se touto smlouvou zavazuje přenechat nájemci prostory kina včetně zajištění souvisejících služeb, a to za účelem filmových projekcí a doprovodných aktivit festivalu Jeden svět 2024 v termínu 19. – 28.3. 2024 (dále jen „FESTIVAL“), za což náleží pronajímateli odměna specifikovaná v článku VI této smlouvy.</w:t>
      </w:r>
    </w:p>
    <w:p w:rsidR="00477A0E" w:rsidRDefault="00477A0E">
      <w:pPr>
        <w:spacing w:after="120" w:line="240" w:lineRule="auto"/>
        <w:rPr>
          <w:b/>
        </w:rPr>
      </w:pPr>
    </w:p>
    <w:p w:rsidR="00477A0E" w:rsidRDefault="00927BB4">
      <w:pPr>
        <w:numPr>
          <w:ilvl w:val="0"/>
          <w:numId w:val="1"/>
        </w:numPr>
        <w:pBdr>
          <w:top w:val="nil"/>
          <w:left w:val="nil"/>
          <w:bottom w:val="nil"/>
          <w:right w:val="nil"/>
          <w:between w:val="nil"/>
        </w:pBdr>
        <w:spacing w:after="0" w:line="240" w:lineRule="auto"/>
        <w:jc w:val="center"/>
        <w:rPr>
          <w:b/>
          <w:color w:val="000000"/>
        </w:rPr>
      </w:pPr>
      <w:r>
        <w:rPr>
          <w:b/>
          <w:color w:val="000000"/>
        </w:rPr>
        <w:t>Doba trvání nájmu</w:t>
      </w:r>
    </w:p>
    <w:p w:rsidR="00477A0E" w:rsidRDefault="00927BB4">
      <w:pPr>
        <w:numPr>
          <w:ilvl w:val="1"/>
          <w:numId w:val="1"/>
        </w:numPr>
        <w:pBdr>
          <w:top w:val="nil"/>
          <w:left w:val="nil"/>
          <w:bottom w:val="nil"/>
          <w:right w:val="nil"/>
          <w:between w:val="nil"/>
        </w:pBdr>
        <w:spacing w:after="120" w:line="240" w:lineRule="auto"/>
        <w:ind w:left="426" w:hanging="426"/>
      </w:pPr>
      <w:r>
        <w:rPr>
          <w:color w:val="000000"/>
        </w:rPr>
        <w:t>Doba trvání nájmu se sjednává pro následující dny a časy:</w:t>
      </w:r>
    </w:p>
    <w:p w:rsidR="00477A0E" w:rsidRDefault="00927BB4">
      <w:pPr>
        <w:numPr>
          <w:ilvl w:val="0"/>
          <w:numId w:val="2"/>
        </w:numPr>
        <w:spacing w:after="120" w:line="240" w:lineRule="auto"/>
        <w:jc w:val="both"/>
      </w:pPr>
      <w:r>
        <w:t>20.3. – 28. 3. 2024 od 17:00 do 24:00 (respektive od 14:00 ve víkendových dnech)</w:t>
      </w:r>
    </w:p>
    <w:p w:rsidR="00477A0E" w:rsidRDefault="00927BB4">
      <w:pPr>
        <w:numPr>
          <w:ilvl w:val="0"/>
          <w:numId w:val="2"/>
        </w:numPr>
        <w:spacing w:after="120" w:line="240" w:lineRule="auto"/>
        <w:jc w:val="both"/>
      </w:pPr>
      <w:r>
        <w:t xml:space="preserve">19. 3., 21.3. a 25. 3. – 26. 3. 2024 od 8:00 do 14:00 pro zvláštní projekce pro školy. </w:t>
      </w:r>
      <w:r>
        <w:rPr>
          <w:color w:val="000000"/>
        </w:rPr>
        <w:t>Přesné časy projekcí budou upřesněny po dohodě smluvních stran dodatečně.</w:t>
      </w:r>
    </w:p>
    <w:p w:rsidR="00477A0E" w:rsidRDefault="00927BB4">
      <w:pPr>
        <w:numPr>
          <w:ilvl w:val="1"/>
          <w:numId w:val="1"/>
        </w:numPr>
        <w:pBdr>
          <w:top w:val="nil"/>
          <w:left w:val="nil"/>
          <w:bottom w:val="nil"/>
          <w:right w:val="nil"/>
          <w:between w:val="nil"/>
        </w:pBdr>
        <w:tabs>
          <w:tab w:val="left" w:pos="916"/>
          <w:tab w:val="left" w:pos="993"/>
        </w:tabs>
        <w:spacing w:after="120" w:line="240" w:lineRule="auto"/>
        <w:ind w:left="426" w:hanging="426"/>
        <w:jc w:val="both"/>
        <w:rPr>
          <w:color w:val="000000"/>
        </w:rPr>
      </w:pPr>
      <w:r>
        <w:rPr>
          <w:color w:val="000000"/>
        </w:rPr>
        <w:t>Nad rámec výše uvedených hodin umožní pronajímatel volný vstup minimálně jednu hodinu před prvním promítáním každého promítacího dne až do konce denního programu pro technický personál a organizátory FESTIVALu.</w:t>
      </w:r>
    </w:p>
    <w:p w:rsidR="00477A0E" w:rsidRDefault="00477A0E">
      <w:pPr>
        <w:spacing w:after="120" w:line="240" w:lineRule="auto"/>
        <w:rPr>
          <w:b/>
        </w:rPr>
      </w:pPr>
    </w:p>
    <w:p w:rsidR="00477A0E" w:rsidRDefault="00927BB4">
      <w:pPr>
        <w:numPr>
          <w:ilvl w:val="0"/>
          <w:numId w:val="1"/>
        </w:numPr>
        <w:pBdr>
          <w:top w:val="nil"/>
          <w:left w:val="nil"/>
          <w:bottom w:val="nil"/>
          <w:right w:val="nil"/>
          <w:between w:val="nil"/>
        </w:pBdr>
        <w:spacing w:after="120" w:line="240" w:lineRule="auto"/>
        <w:jc w:val="center"/>
        <w:rPr>
          <w:b/>
          <w:color w:val="000000"/>
        </w:rPr>
      </w:pPr>
      <w:r>
        <w:rPr>
          <w:b/>
          <w:color w:val="000000"/>
        </w:rPr>
        <w:lastRenderedPageBreak/>
        <w:t>Povinnosti nájemce</w:t>
      </w:r>
    </w:p>
    <w:p w:rsidR="00477A0E" w:rsidRDefault="00927BB4">
      <w:pPr>
        <w:spacing w:after="120" w:line="240" w:lineRule="auto"/>
      </w:pPr>
      <w:r>
        <w:t>Nájemce se zavazuje:</w:t>
      </w:r>
    </w:p>
    <w:p w:rsidR="00477A0E" w:rsidRDefault="00927BB4">
      <w:pPr>
        <w:numPr>
          <w:ilvl w:val="0"/>
          <w:numId w:val="4"/>
        </w:numPr>
        <w:pBdr>
          <w:top w:val="nil"/>
          <w:left w:val="nil"/>
          <w:bottom w:val="nil"/>
          <w:right w:val="nil"/>
          <w:between w:val="nil"/>
        </w:pBdr>
        <w:spacing w:after="0" w:line="240" w:lineRule="auto"/>
        <w:ind w:left="425" w:hanging="425"/>
        <w:jc w:val="both"/>
        <w:rPr>
          <w:color w:val="000000"/>
        </w:rPr>
      </w:pPr>
      <w:r>
        <w:rPr>
          <w:color w:val="000000"/>
        </w:rPr>
        <w:t>užívat prostory k ujednanému účelu a zaplatit za to sjednané nájemné,</w:t>
      </w:r>
    </w:p>
    <w:p w:rsidR="00477A0E" w:rsidRDefault="00927BB4">
      <w:pPr>
        <w:numPr>
          <w:ilvl w:val="0"/>
          <w:numId w:val="4"/>
        </w:numPr>
        <w:pBdr>
          <w:top w:val="nil"/>
          <w:left w:val="nil"/>
          <w:bottom w:val="nil"/>
          <w:right w:val="nil"/>
          <w:between w:val="nil"/>
        </w:pBdr>
        <w:spacing w:after="120" w:line="240" w:lineRule="auto"/>
        <w:ind w:left="425" w:hanging="425"/>
        <w:jc w:val="both"/>
      </w:pPr>
      <w:r>
        <w:rPr>
          <w:color w:val="000000"/>
        </w:rPr>
        <w:t>zajistit vše potřebné pro organizaci a řádný průběh FESTIVALu, není-li dále sjednáno, že určité služby zajišťuje pronajímatel,</w:t>
      </w:r>
    </w:p>
    <w:p w:rsidR="00477A0E" w:rsidRDefault="00927BB4">
      <w:pPr>
        <w:numPr>
          <w:ilvl w:val="0"/>
          <w:numId w:val="4"/>
        </w:numPr>
        <w:spacing w:after="120" w:line="240" w:lineRule="auto"/>
        <w:ind w:left="426" w:hanging="426"/>
        <w:jc w:val="both"/>
      </w:pPr>
      <w:r>
        <w:t>zajistit všechny filmy, které budou promítnuty v rámci FESTIVALu; ČVT má právo výběru titulu a nosiče, zároveň ale odpovídá za zajištění autorských práv k filmům i za technickou kvalitu dodaných nosičů,</w:t>
      </w:r>
    </w:p>
    <w:p w:rsidR="00477A0E" w:rsidRDefault="00927BB4">
      <w:pPr>
        <w:numPr>
          <w:ilvl w:val="0"/>
          <w:numId w:val="4"/>
        </w:numPr>
        <w:spacing w:after="120" w:line="240" w:lineRule="auto"/>
        <w:ind w:left="426" w:hanging="426"/>
        <w:jc w:val="both"/>
      </w:pPr>
      <w:r>
        <w:t>zajistit tlumočení v případech nutných, včetně speciální techniky (osobní přijímače) nutné pro simultánní tlumočení a k promítání z nosičů, pro které není kino vybaveno,</w:t>
      </w:r>
    </w:p>
    <w:p w:rsidR="00477A0E" w:rsidRDefault="00927BB4">
      <w:pPr>
        <w:numPr>
          <w:ilvl w:val="0"/>
          <w:numId w:val="4"/>
        </w:numPr>
        <w:spacing w:after="120" w:line="240" w:lineRule="auto"/>
        <w:ind w:left="426" w:hanging="426"/>
        <w:jc w:val="both"/>
      </w:pPr>
      <w:r>
        <w:t>včasné dodání programových katalogů, bulletinů a dalších propagačních předmětů FESTIVALU (dále jen propagační předměty) k umístění v prostorách kina,</w:t>
      </w:r>
    </w:p>
    <w:p w:rsidR="00477A0E" w:rsidRDefault="00927BB4">
      <w:pPr>
        <w:numPr>
          <w:ilvl w:val="0"/>
          <w:numId w:val="4"/>
        </w:numPr>
        <w:spacing w:after="120" w:line="240" w:lineRule="auto"/>
        <w:ind w:left="426" w:hanging="426"/>
        <w:jc w:val="both"/>
      </w:pPr>
      <w:r>
        <w:t>dodání programových podkladů pronajímateli nejpozději do 27. 2. 2024; pronajímatel se zavazuje zveřejnit podrobný program FESTIVALu ve svých propagačních materiálech, bude-li dodržen uvedený termín dodání,</w:t>
      </w:r>
    </w:p>
    <w:p w:rsidR="00477A0E" w:rsidRDefault="00927BB4">
      <w:pPr>
        <w:numPr>
          <w:ilvl w:val="0"/>
          <w:numId w:val="4"/>
        </w:numPr>
        <w:spacing w:after="120" w:line="240" w:lineRule="auto"/>
        <w:ind w:left="426" w:hanging="426"/>
        <w:jc w:val="both"/>
      </w:pPr>
      <w:r>
        <w:t>dodat pronajímateli filmové nosiče nejpozději 48 hodin před začátkem představení, jinak pronajímatel neodpovídá za kvalitu představení,</w:t>
      </w:r>
    </w:p>
    <w:p w:rsidR="00477A0E" w:rsidRDefault="00927BB4">
      <w:pPr>
        <w:numPr>
          <w:ilvl w:val="0"/>
          <w:numId w:val="4"/>
        </w:numPr>
        <w:spacing w:after="120" w:line="240" w:lineRule="auto"/>
        <w:ind w:left="426" w:hanging="426"/>
        <w:jc w:val="both"/>
      </w:pPr>
      <w:r>
        <w:t>určit svého koordinátora včetně telefonního spojení, který bude koordinovat řešení vzniklých problémů během FESTIVALU s osobami určenými pronajímatelem.</w:t>
      </w:r>
    </w:p>
    <w:p w:rsidR="00477A0E" w:rsidRDefault="00927BB4">
      <w:pPr>
        <w:numPr>
          <w:ilvl w:val="0"/>
          <w:numId w:val="4"/>
        </w:numPr>
        <w:spacing w:after="120" w:line="240" w:lineRule="auto"/>
        <w:ind w:left="426" w:hanging="426"/>
        <w:jc w:val="both"/>
        <w:rPr>
          <w:color w:val="000000"/>
        </w:rPr>
      </w:pPr>
      <w:r>
        <w:rPr>
          <w:color w:val="000000"/>
        </w:rPr>
        <w:t>že si pro držitele FESTIVALových akreditací zarezervuje 30 vstupenek v ceně 0 Kč na každou projekci. Těchto 30 vstupenek nebude prodáváno v předprodeji a bude rezervováno přednostně pro držitele akreditací. Zbylé vstupenky pro držitele FESTIVALových akreditací uvolní nájemce do prodeje až půl hodiny před začátkem projekce, ale zároveň bude stále možnost vydat vstupenky za 0 Kč hostům a novinářům. Hosté FESTIVALu se budou prokazovat akreditační kartou, jejíž vzory ve fotokopii dodá ČVT POŘADATELi nejpozději do 4. 3. 2023.</w:t>
      </w:r>
    </w:p>
    <w:p w:rsidR="00477A0E" w:rsidRDefault="00927BB4">
      <w:pPr>
        <w:numPr>
          <w:ilvl w:val="0"/>
          <w:numId w:val="4"/>
        </w:numPr>
        <w:spacing w:after="120" w:line="240" w:lineRule="auto"/>
        <w:ind w:left="426" w:hanging="426"/>
        <w:jc w:val="both"/>
        <w:rPr>
          <w:color w:val="000000"/>
        </w:rPr>
      </w:pPr>
      <w:r>
        <w:rPr>
          <w:color w:val="000000"/>
        </w:rPr>
        <w:t xml:space="preserve">že si zajistí, že budou v sálu zvlášť rezervována 3 provozní místa na každou projekci pro moderátora, tlumočníka a hosta. </w:t>
      </w:r>
    </w:p>
    <w:p w:rsidR="00477A0E" w:rsidRDefault="00927BB4">
      <w:pPr>
        <w:numPr>
          <w:ilvl w:val="0"/>
          <w:numId w:val="4"/>
        </w:numPr>
        <w:spacing w:after="120" w:line="240" w:lineRule="auto"/>
        <w:ind w:left="426" w:hanging="426"/>
        <w:jc w:val="both"/>
        <w:rPr>
          <w:color w:val="000000"/>
        </w:rPr>
      </w:pPr>
      <w:r>
        <w:rPr>
          <w:color w:val="000000"/>
        </w:rPr>
        <w:t>že vyúčtuje výtěžek FESTIVALu nejpozději do 2 týdnů po skončení (viz čl. VI.).</w:t>
      </w:r>
    </w:p>
    <w:p w:rsidR="00477A0E" w:rsidRDefault="00477A0E">
      <w:pPr>
        <w:spacing w:after="120" w:line="240" w:lineRule="auto"/>
        <w:rPr>
          <w:b/>
        </w:rPr>
      </w:pPr>
    </w:p>
    <w:p w:rsidR="00477A0E" w:rsidRDefault="00927BB4">
      <w:pPr>
        <w:numPr>
          <w:ilvl w:val="0"/>
          <w:numId w:val="1"/>
        </w:numPr>
        <w:pBdr>
          <w:top w:val="nil"/>
          <w:left w:val="nil"/>
          <w:bottom w:val="nil"/>
          <w:right w:val="nil"/>
          <w:between w:val="nil"/>
        </w:pBdr>
        <w:spacing w:after="120" w:line="240" w:lineRule="auto"/>
        <w:jc w:val="center"/>
        <w:rPr>
          <w:b/>
          <w:color w:val="000000"/>
        </w:rPr>
      </w:pPr>
      <w:r>
        <w:rPr>
          <w:b/>
          <w:color w:val="000000"/>
        </w:rPr>
        <w:t>Povinnosti pronajímatele</w:t>
      </w:r>
    </w:p>
    <w:p w:rsidR="00477A0E" w:rsidRDefault="00927BB4">
      <w:pPr>
        <w:spacing w:after="120" w:line="240" w:lineRule="auto"/>
        <w:jc w:val="both"/>
      </w:pPr>
      <w:r>
        <w:t>Pronajímatel se zavazuje:</w:t>
      </w:r>
    </w:p>
    <w:p w:rsidR="00477A0E" w:rsidRDefault="00927BB4">
      <w:pPr>
        <w:numPr>
          <w:ilvl w:val="2"/>
          <w:numId w:val="5"/>
        </w:numPr>
        <w:pBdr>
          <w:top w:val="nil"/>
          <w:left w:val="nil"/>
          <w:bottom w:val="nil"/>
          <w:right w:val="nil"/>
          <w:between w:val="nil"/>
        </w:pBdr>
        <w:spacing w:after="0" w:line="240" w:lineRule="auto"/>
        <w:ind w:left="426" w:hanging="426"/>
        <w:jc w:val="both"/>
      </w:pPr>
      <w:r>
        <w:rPr>
          <w:color w:val="000000"/>
        </w:rPr>
        <w:t>přenechat prostory nájemci tak, aby je mohl užívat k ujednanému účelu,</w:t>
      </w:r>
    </w:p>
    <w:p w:rsidR="00477A0E" w:rsidRDefault="00927BB4">
      <w:pPr>
        <w:numPr>
          <w:ilvl w:val="2"/>
          <w:numId w:val="5"/>
        </w:numPr>
        <w:pBdr>
          <w:top w:val="nil"/>
          <w:left w:val="nil"/>
          <w:bottom w:val="nil"/>
          <w:right w:val="nil"/>
          <w:between w:val="nil"/>
        </w:pBdr>
        <w:spacing w:after="0" w:line="240" w:lineRule="auto"/>
        <w:ind w:left="426" w:hanging="426"/>
        <w:jc w:val="both"/>
      </w:pPr>
      <w:r>
        <w:rPr>
          <w:color w:val="000000"/>
        </w:rPr>
        <w:t>udržovat prostory v takovém stavu, aby mohly sloužit k ujednanému účelu,</w:t>
      </w:r>
    </w:p>
    <w:p w:rsidR="00477A0E" w:rsidRDefault="00927BB4">
      <w:pPr>
        <w:numPr>
          <w:ilvl w:val="0"/>
          <w:numId w:val="6"/>
        </w:numPr>
        <w:pBdr>
          <w:top w:val="nil"/>
          <w:left w:val="nil"/>
          <w:bottom w:val="nil"/>
          <w:right w:val="nil"/>
          <w:between w:val="nil"/>
        </w:pBdr>
        <w:spacing w:after="0" w:line="240" w:lineRule="auto"/>
        <w:ind w:left="426" w:hanging="426"/>
        <w:jc w:val="both"/>
        <w:rPr>
          <w:color w:val="000000"/>
        </w:rPr>
      </w:pPr>
      <w:r>
        <w:rPr>
          <w:color w:val="000000"/>
        </w:rPr>
        <w:t>zajistit nájemci nerušené užívání prostor po dobu nájmu,</w:t>
      </w:r>
    </w:p>
    <w:p w:rsidR="00477A0E" w:rsidRDefault="00927BB4">
      <w:pPr>
        <w:numPr>
          <w:ilvl w:val="0"/>
          <w:numId w:val="6"/>
        </w:numPr>
        <w:pBdr>
          <w:top w:val="nil"/>
          <w:left w:val="nil"/>
          <w:bottom w:val="nil"/>
          <w:right w:val="nil"/>
          <w:between w:val="nil"/>
        </w:pBdr>
        <w:spacing w:after="0" w:line="240" w:lineRule="auto"/>
        <w:ind w:left="426" w:hanging="426"/>
        <w:jc w:val="both"/>
        <w:rPr>
          <w:color w:val="000000"/>
        </w:rPr>
      </w:pPr>
      <w:r>
        <w:rPr>
          <w:color w:val="000000"/>
        </w:rPr>
        <w:t xml:space="preserve">zajistit následující služby spojené s nájmem: </w:t>
      </w:r>
    </w:p>
    <w:p w:rsidR="00477A0E" w:rsidRDefault="00927BB4">
      <w:pPr>
        <w:numPr>
          <w:ilvl w:val="0"/>
          <w:numId w:val="7"/>
        </w:numPr>
        <w:pBdr>
          <w:top w:val="nil"/>
          <w:left w:val="nil"/>
          <w:bottom w:val="nil"/>
          <w:right w:val="nil"/>
          <w:between w:val="nil"/>
        </w:pBdr>
        <w:spacing w:after="0" w:line="240" w:lineRule="auto"/>
        <w:jc w:val="both"/>
        <w:rPr>
          <w:color w:val="000000"/>
        </w:rPr>
      </w:pPr>
      <w:r>
        <w:rPr>
          <w:color w:val="000000"/>
        </w:rPr>
        <w:t>zajištění všech služeb, které jsou obvykle poskytovány s nájmem prostor, zejména dodávky tepla, elektřiny, vody atd.,</w:t>
      </w:r>
    </w:p>
    <w:p w:rsidR="00477A0E" w:rsidRDefault="00927BB4">
      <w:pPr>
        <w:numPr>
          <w:ilvl w:val="0"/>
          <w:numId w:val="7"/>
        </w:numPr>
        <w:pBdr>
          <w:top w:val="nil"/>
          <w:left w:val="nil"/>
          <w:bottom w:val="nil"/>
          <w:right w:val="nil"/>
          <w:between w:val="nil"/>
        </w:pBdr>
        <w:spacing w:after="0" w:line="240" w:lineRule="auto"/>
        <w:jc w:val="both"/>
        <w:rPr>
          <w:color w:val="000000"/>
        </w:rPr>
      </w:pPr>
      <w:r>
        <w:rPr>
          <w:color w:val="000000"/>
        </w:rPr>
        <w:t>zajištění uvaděčské služby v dostatečném počtu osob; součástí této služby je i povinnost zajistit dodržování aktuálně platných opatření týkajících se epidemie onemocnění COVID-19,</w:t>
      </w:r>
    </w:p>
    <w:p w:rsidR="00477A0E" w:rsidRDefault="00927BB4">
      <w:pPr>
        <w:numPr>
          <w:ilvl w:val="0"/>
          <w:numId w:val="7"/>
        </w:numPr>
        <w:pBdr>
          <w:top w:val="nil"/>
          <w:left w:val="nil"/>
          <w:bottom w:val="nil"/>
          <w:right w:val="nil"/>
          <w:between w:val="nil"/>
        </w:pBdr>
        <w:spacing w:after="0" w:line="240" w:lineRule="auto"/>
        <w:jc w:val="both"/>
        <w:rPr>
          <w:color w:val="000000"/>
        </w:rPr>
      </w:pPr>
      <w:r>
        <w:rPr>
          <w:color w:val="000000"/>
        </w:rPr>
        <w:lastRenderedPageBreak/>
        <w:t>zajištění promítačů v dostatečném počtu osob; pronajímatel zajistí nástup promítače vždy nejpozději jednu hodinu před každou projekcí</w:t>
      </w:r>
    </w:p>
    <w:p w:rsidR="00477A0E" w:rsidRDefault="00927BB4">
      <w:pPr>
        <w:numPr>
          <w:ilvl w:val="0"/>
          <w:numId w:val="7"/>
        </w:numPr>
        <w:pBdr>
          <w:top w:val="nil"/>
          <w:left w:val="nil"/>
          <w:bottom w:val="nil"/>
          <w:right w:val="nil"/>
          <w:between w:val="nil"/>
        </w:pBdr>
        <w:spacing w:after="0" w:line="240" w:lineRule="auto"/>
        <w:jc w:val="both"/>
        <w:rPr>
          <w:color w:val="000000"/>
        </w:rPr>
      </w:pPr>
      <w:r>
        <w:rPr>
          <w:color w:val="000000"/>
        </w:rPr>
        <w:t>prodej vstupenek jménem nájemce na pokladně kina v termínu festivalu 19. 3. – 28. 3. 2024, a to výhradně prostřednictvím systému Goout a za ceny uvedené dále v čl. VI.; při platbě za vstupenky přes platební terminál bude cena vstupenek hrazena přímo na účet nájemce, výtěžek plateb v hotovosti předá pronajímatel 28.3.2024 po ukončení prodeje určenému zástupci nájemce proti potvrzení o převzetí.</w:t>
      </w:r>
    </w:p>
    <w:p w:rsidR="00477A0E" w:rsidRDefault="00477A0E">
      <w:pPr>
        <w:numPr>
          <w:ilvl w:val="0"/>
          <w:numId w:val="7"/>
        </w:numPr>
        <w:pBdr>
          <w:top w:val="nil"/>
          <w:left w:val="nil"/>
          <w:bottom w:val="nil"/>
          <w:right w:val="nil"/>
          <w:between w:val="nil"/>
        </w:pBdr>
        <w:spacing w:after="120" w:line="240" w:lineRule="auto"/>
        <w:jc w:val="both"/>
        <w:rPr>
          <w:color w:val="000000"/>
        </w:rPr>
      </w:pPr>
    </w:p>
    <w:p w:rsidR="00477A0E" w:rsidRDefault="00927BB4">
      <w:pPr>
        <w:numPr>
          <w:ilvl w:val="0"/>
          <w:numId w:val="6"/>
        </w:numPr>
        <w:spacing w:after="120" w:line="240" w:lineRule="auto"/>
        <w:ind w:left="426" w:hanging="426"/>
        <w:jc w:val="both"/>
        <w:rPr>
          <w:color w:val="000000"/>
        </w:rPr>
      </w:pPr>
      <w:r>
        <w:rPr>
          <w:color w:val="000000"/>
        </w:rPr>
        <w:t xml:space="preserve">k zajištění promítací techniky (konkrétně: digitální projektor, promítací PC) a zvukové techniky potřebné pro realizaci projekcí, </w:t>
      </w:r>
    </w:p>
    <w:p w:rsidR="00477A0E" w:rsidRDefault="00927BB4">
      <w:pPr>
        <w:numPr>
          <w:ilvl w:val="0"/>
          <w:numId w:val="6"/>
        </w:numPr>
        <w:spacing w:after="120" w:line="240" w:lineRule="auto"/>
        <w:ind w:left="426" w:hanging="426"/>
        <w:jc w:val="both"/>
        <w:rPr>
          <w:color w:val="000000"/>
        </w:rPr>
      </w:pPr>
      <w:r>
        <w:rPr>
          <w:color w:val="000000"/>
        </w:rPr>
        <w:t xml:space="preserve">možnost pro umístění loga a propagačních materiálů sponzorů a partnerů FESTIVALu v sále, předsálí a v ostatních prostorách kina </w:t>
      </w:r>
    </w:p>
    <w:p w:rsidR="00477A0E" w:rsidRDefault="00927BB4">
      <w:pPr>
        <w:numPr>
          <w:ilvl w:val="0"/>
          <w:numId w:val="6"/>
        </w:numPr>
        <w:spacing w:after="120" w:line="240" w:lineRule="auto"/>
        <w:ind w:left="426" w:hanging="426"/>
        <w:jc w:val="both"/>
        <w:rPr>
          <w:color w:val="000000"/>
        </w:rPr>
      </w:pPr>
      <w:r>
        <w:rPr>
          <w:color w:val="000000"/>
        </w:rPr>
        <w:t>umístění materiálů propagujících FESTIVAL od 11.3. 2024 do 28. 3. 2024 v reklamních vitrínách kina Ponrepa na pokladně kina; v prostorách kina a foyer nesmí být žádné reklamy, prostor bude vyzdoben pouze propagačním materiálem FESTIVALu a pronajímatele,</w:t>
      </w:r>
    </w:p>
    <w:p w:rsidR="00477A0E" w:rsidRDefault="00927BB4">
      <w:pPr>
        <w:numPr>
          <w:ilvl w:val="0"/>
          <w:numId w:val="6"/>
        </w:numPr>
        <w:spacing w:after="120" w:line="240" w:lineRule="auto"/>
        <w:ind w:left="426" w:hanging="426"/>
        <w:jc w:val="both"/>
        <w:rPr>
          <w:color w:val="000000"/>
        </w:rPr>
      </w:pPr>
      <w:r>
        <w:rPr>
          <w:color w:val="000000"/>
        </w:rPr>
        <w:t>k umístění odkazů na předprodej vstupenek v síti Goout na všechna promítání v kině Ponrepo na web kina od 1. 3. 2022,</w:t>
      </w:r>
    </w:p>
    <w:p w:rsidR="00477A0E" w:rsidRDefault="00927BB4">
      <w:pPr>
        <w:numPr>
          <w:ilvl w:val="0"/>
          <w:numId w:val="6"/>
        </w:numPr>
        <w:pBdr>
          <w:top w:val="nil"/>
          <w:left w:val="nil"/>
          <w:bottom w:val="nil"/>
          <w:right w:val="nil"/>
          <w:between w:val="nil"/>
        </w:pBdr>
        <w:spacing w:after="120" w:line="240" w:lineRule="auto"/>
        <w:ind w:left="426" w:hanging="426"/>
        <w:jc w:val="both"/>
      </w:pPr>
      <w:r>
        <w:rPr>
          <w:color w:val="000000"/>
        </w:rPr>
        <w:t>že před filmy budou promítány pouze upoutávky a reklamy spojené s FESTIVALem.</w:t>
      </w:r>
    </w:p>
    <w:p w:rsidR="00477A0E" w:rsidRDefault="00477A0E">
      <w:pPr>
        <w:spacing w:after="120" w:line="240" w:lineRule="auto"/>
        <w:rPr>
          <w:b/>
        </w:rPr>
      </w:pPr>
    </w:p>
    <w:p w:rsidR="00477A0E" w:rsidRDefault="00927BB4">
      <w:pPr>
        <w:numPr>
          <w:ilvl w:val="0"/>
          <w:numId w:val="1"/>
        </w:numPr>
        <w:pBdr>
          <w:top w:val="nil"/>
          <w:left w:val="nil"/>
          <w:bottom w:val="nil"/>
          <w:right w:val="nil"/>
          <w:between w:val="nil"/>
        </w:pBdr>
        <w:spacing w:after="120" w:line="240" w:lineRule="auto"/>
        <w:jc w:val="center"/>
        <w:rPr>
          <w:b/>
          <w:color w:val="000000"/>
        </w:rPr>
      </w:pPr>
      <w:r>
        <w:rPr>
          <w:b/>
          <w:color w:val="000000"/>
        </w:rPr>
        <w:t>Prodej vstupenek a nájemné</w:t>
      </w:r>
    </w:p>
    <w:p w:rsidR="00477A0E" w:rsidRDefault="00927BB4">
      <w:pPr>
        <w:numPr>
          <w:ilvl w:val="0"/>
          <w:numId w:val="9"/>
        </w:numPr>
        <w:spacing w:after="120" w:line="240" w:lineRule="auto"/>
        <w:ind w:left="426" w:hanging="426"/>
        <w:jc w:val="both"/>
      </w:pPr>
      <w:bookmarkStart w:id="0" w:name="_heading=h.gjdgxs" w:colFirst="0" w:colLast="0"/>
      <w:bookmarkEnd w:id="0"/>
      <w:r>
        <w:t>Nájemce bude prodávat běžné (nezlevněné) vstupenky na festivalové projekce prostřednictvím portálu Goout v termínech 1.3. – 28. 3.2024 za cenu 130 Kč, vstupenky na školní projekce pak za cenu 80 Kč.</w:t>
      </w:r>
    </w:p>
    <w:p w:rsidR="00477A0E" w:rsidRDefault="00927BB4">
      <w:pPr>
        <w:numPr>
          <w:ilvl w:val="0"/>
          <w:numId w:val="9"/>
        </w:numPr>
        <w:spacing w:after="120" w:line="240" w:lineRule="auto"/>
        <w:ind w:left="426" w:hanging="426"/>
        <w:jc w:val="both"/>
      </w:pPr>
      <w:r>
        <w:t>Nájemce bude dále prodávat prostřednictvím portálu Goout vstupenky na veškerá veřejná představení pro držitele karet ZTP, ZTP/P a diváky nad 65 let za 50% částku. Pro diváky s průkazem ZTP/P vydá vstupenku pro jednoho asistenta zdarma.</w:t>
      </w:r>
    </w:p>
    <w:p w:rsidR="00477A0E" w:rsidRDefault="00927BB4">
      <w:pPr>
        <w:numPr>
          <w:ilvl w:val="0"/>
          <w:numId w:val="9"/>
        </w:numPr>
        <w:spacing w:after="120" w:line="240" w:lineRule="auto"/>
        <w:ind w:left="426" w:hanging="426"/>
        <w:jc w:val="both"/>
      </w:pPr>
      <w:r>
        <w:t xml:space="preserve">Nájemce bude prostřednictvím portálu Goout prodávat zvýhodněné balíčky 3 vstupenek za 330 Kč, </w:t>
      </w:r>
      <w:r>
        <w:br/>
        <w:t>5 vstupenek za 550 Kč a 10 vstupenek za 1100 Kč.</w:t>
      </w:r>
    </w:p>
    <w:p w:rsidR="00477A0E" w:rsidRDefault="00927BB4">
      <w:pPr>
        <w:numPr>
          <w:ilvl w:val="0"/>
          <w:numId w:val="9"/>
        </w:numPr>
        <w:spacing w:after="120" w:line="240" w:lineRule="auto"/>
        <w:ind w:left="426" w:hanging="426"/>
        <w:jc w:val="both"/>
      </w:pPr>
      <w:r>
        <w:t>Veškerý prodej vstupenek je realizován prostřednictvím systému Goout. Z hrubé ceny vstupenky si Goout strhává provizi ve výši 5% + DPH, nájemce odvede zákonné poplatky (OSA, Fond kinematografie) a poplatky za platby platební kartou.</w:t>
      </w:r>
    </w:p>
    <w:p w:rsidR="00477A0E" w:rsidRDefault="00927BB4">
      <w:pPr>
        <w:numPr>
          <w:ilvl w:val="0"/>
          <w:numId w:val="9"/>
        </w:numPr>
        <w:spacing w:after="120" w:line="240" w:lineRule="auto"/>
        <w:ind w:left="426" w:hanging="426"/>
        <w:jc w:val="both"/>
      </w:pPr>
      <w:r>
        <w:t>Nájemné je touto smlouvou dohodnuto ve výši, která bude určena jako 50% čistého výtěžku z prodeje vstupenek na festivalové projekce (tedy bez provize Gooutu a po odvodu všech poplatků). V této částce je zahrnuta i cena všech služeb, které pronajímatel v souvislosti s nájmem dle této smlouvy poskytuje nájemci. Takto určená částka nájemného je konečná a maximální a zahrnuje všechny daně a odvody, za které je či bude odpovědný pronajímatel.</w:t>
      </w:r>
    </w:p>
    <w:p w:rsidR="00477A0E" w:rsidRDefault="00927BB4">
      <w:pPr>
        <w:numPr>
          <w:ilvl w:val="0"/>
          <w:numId w:val="9"/>
        </w:numPr>
        <w:spacing w:after="120" w:line="240" w:lineRule="auto"/>
        <w:ind w:left="426" w:hanging="426"/>
        <w:jc w:val="both"/>
      </w:pPr>
      <w:r>
        <w:t>Nájemce do 2 týdnů po skončení FESTIVALu zašle pronajímateli vyúčtování výtěžku prodeje, a to na e-mail</w:t>
      </w:r>
      <w:r w:rsidRPr="00954CE8">
        <w:t>:</w:t>
      </w:r>
      <w:r w:rsidR="00954CE8">
        <w:t>xxxxxxxx</w:t>
      </w:r>
      <w:r>
        <w:t>. Na základě něj pronajímatel vystaví fakturu na částku nájemného včetně služeb. Faktura bude mít splatnost minimálně 15 dní a bude na ní uvedeno, že se jedná o dlouhodobý nájem. Fakturace proběhne bez DPH, protože doba trvání nájmu přesahuje 48 hodin a jedná se tedy o činnost na straně pronajímatele od DPH osvobozenou.</w:t>
      </w:r>
    </w:p>
    <w:p w:rsidR="00477A0E" w:rsidRDefault="00477A0E">
      <w:pPr>
        <w:pBdr>
          <w:top w:val="nil"/>
          <w:left w:val="nil"/>
          <w:bottom w:val="nil"/>
          <w:right w:val="nil"/>
          <w:between w:val="nil"/>
        </w:pBdr>
        <w:spacing w:after="0" w:line="240" w:lineRule="auto"/>
        <w:ind w:left="720"/>
        <w:rPr>
          <w:color w:val="000000"/>
        </w:rPr>
      </w:pPr>
    </w:p>
    <w:p w:rsidR="00477A0E" w:rsidRDefault="00477A0E">
      <w:pPr>
        <w:pBdr>
          <w:top w:val="nil"/>
          <w:left w:val="nil"/>
          <w:bottom w:val="nil"/>
          <w:right w:val="nil"/>
          <w:between w:val="nil"/>
        </w:pBdr>
        <w:spacing w:after="0" w:line="240" w:lineRule="auto"/>
        <w:ind w:left="720"/>
        <w:rPr>
          <w:color w:val="000000"/>
        </w:rPr>
      </w:pPr>
    </w:p>
    <w:p w:rsidR="00477A0E" w:rsidRDefault="00927BB4">
      <w:pPr>
        <w:numPr>
          <w:ilvl w:val="0"/>
          <w:numId w:val="1"/>
        </w:numPr>
        <w:pBdr>
          <w:top w:val="nil"/>
          <w:left w:val="nil"/>
          <w:bottom w:val="nil"/>
          <w:right w:val="nil"/>
          <w:between w:val="nil"/>
        </w:pBdr>
        <w:spacing w:after="120" w:line="240" w:lineRule="auto"/>
        <w:jc w:val="center"/>
        <w:rPr>
          <w:b/>
          <w:color w:val="000000"/>
        </w:rPr>
      </w:pPr>
      <w:r>
        <w:rPr>
          <w:b/>
          <w:color w:val="000000"/>
        </w:rPr>
        <w:t>Závěrečná ujednání</w:t>
      </w:r>
    </w:p>
    <w:p w:rsidR="00477A0E" w:rsidRDefault="00927BB4">
      <w:pPr>
        <w:numPr>
          <w:ilvl w:val="0"/>
          <w:numId w:val="8"/>
        </w:numPr>
        <w:pBdr>
          <w:top w:val="nil"/>
          <w:left w:val="nil"/>
          <w:bottom w:val="nil"/>
          <w:right w:val="nil"/>
          <w:between w:val="nil"/>
        </w:pBdr>
        <w:spacing w:after="0" w:line="240" w:lineRule="auto"/>
        <w:ind w:left="426" w:hanging="426"/>
        <w:jc w:val="both"/>
        <w:rPr>
          <w:color w:val="000000"/>
        </w:rPr>
      </w:pPr>
      <w:r>
        <w:rPr>
          <w:color w:val="000000"/>
        </w:rPr>
        <w:t xml:space="preserve">Smluvní strany prohlašují, že jsou si vědomy, že tuto smlouvu uzavírají v době trvání epidemie COVID-19 a s tím souvisejících opatření ze strany orgánů veřejné moci, a že tato epidemie resp. opatření k jejímu zamezení mohou mít dopad na plnění této smlouvy. </w:t>
      </w:r>
    </w:p>
    <w:p w:rsidR="00477A0E" w:rsidRDefault="00927BB4">
      <w:pPr>
        <w:numPr>
          <w:ilvl w:val="0"/>
          <w:numId w:val="8"/>
        </w:numPr>
        <w:pBdr>
          <w:top w:val="nil"/>
          <w:left w:val="nil"/>
          <w:bottom w:val="nil"/>
          <w:right w:val="nil"/>
          <w:between w:val="nil"/>
        </w:pBdr>
        <w:spacing w:after="0" w:line="240" w:lineRule="auto"/>
        <w:ind w:left="426" w:hanging="426"/>
        <w:jc w:val="both"/>
        <w:rPr>
          <w:color w:val="000000"/>
        </w:rPr>
      </w:pPr>
      <w:r>
        <w:rPr>
          <w:color w:val="000000"/>
        </w:rPr>
        <w:t xml:space="preserve">Pokud dojde po uzavření této smlouvy k takové změně, kterou nebylo možné ovlivnit, a která má dopad na plnění závazků z této smlouvy, budou strany postupovat následovně. </w:t>
      </w:r>
    </w:p>
    <w:p w:rsidR="00477A0E" w:rsidRDefault="00927BB4">
      <w:pPr>
        <w:numPr>
          <w:ilvl w:val="0"/>
          <w:numId w:val="8"/>
        </w:numPr>
        <w:pBdr>
          <w:top w:val="nil"/>
          <w:left w:val="nil"/>
          <w:bottom w:val="nil"/>
          <w:right w:val="nil"/>
          <w:between w:val="nil"/>
        </w:pBdr>
        <w:spacing w:after="0" w:line="240" w:lineRule="auto"/>
        <w:ind w:left="426" w:hanging="426"/>
        <w:jc w:val="both"/>
        <w:rPr>
          <w:color w:val="000000"/>
        </w:rPr>
      </w:pPr>
      <w:r>
        <w:rPr>
          <w:color w:val="000000"/>
        </w:rPr>
        <w:t xml:space="preserve">Smluvní strana, která se bude chtít dovolat podstatné změny okolností v důsledku výše uvedených skutečností, je povinna bezodkladně (nejpozději však do 10 kalendářních dnů od události zakládající podstatnou změnu okolností) druhou stranu o tomto informovat a vyzvat k jednání o změně smlouvy, jinak toto právo zaniká. </w:t>
      </w:r>
    </w:p>
    <w:p w:rsidR="00477A0E" w:rsidRDefault="00927BB4">
      <w:pPr>
        <w:numPr>
          <w:ilvl w:val="0"/>
          <w:numId w:val="8"/>
        </w:numPr>
        <w:pBdr>
          <w:top w:val="nil"/>
          <w:left w:val="nil"/>
          <w:bottom w:val="nil"/>
          <w:right w:val="nil"/>
          <w:between w:val="nil"/>
        </w:pBdr>
        <w:spacing w:after="0" w:line="240" w:lineRule="auto"/>
        <w:ind w:left="426" w:hanging="426"/>
        <w:jc w:val="both"/>
        <w:rPr>
          <w:color w:val="000000"/>
        </w:rPr>
      </w:pPr>
      <w:r>
        <w:rPr>
          <w:color w:val="000000"/>
        </w:rPr>
        <w:t xml:space="preserve">Na základě tohoto informování se smluvní strany zavazují obnovit jednání o právech a povinnostech vyplývajících z této smlouvy a poskytnout si navzájem součinnost tak, aby došlo k naplnění cílů a záměrů, které vedly k uzavření této smlouvy. </w:t>
      </w:r>
    </w:p>
    <w:p w:rsidR="00477A0E" w:rsidRDefault="00927BB4">
      <w:pPr>
        <w:numPr>
          <w:ilvl w:val="0"/>
          <w:numId w:val="8"/>
        </w:numPr>
        <w:pBdr>
          <w:top w:val="nil"/>
          <w:left w:val="nil"/>
          <w:bottom w:val="nil"/>
          <w:right w:val="nil"/>
          <w:between w:val="nil"/>
        </w:pBdr>
        <w:spacing w:after="0" w:line="240" w:lineRule="auto"/>
        <w:ind w:left="426" w:hanging="426"/>
        <w:jc w:val="both"/>
        <w:rPr>
          <w:color w:val="000000"/>
        </w:rPr>
      </w:pPr>
      <w:r>
        <w:rPr>
          <w:color w:val="000000"/>
        </w:rPr>
        <w:t xml:space="preserve">Pokud naplnění cílů a záměrů, které vedly k uzavření této smlouvy, není v důsledku uvedených skutečností možné či pokud některá ze stran z objektivních a prokázaných důvodů nemá zájem na úpravě práv a povinností (např. na pozdějším plnění), může kterákoliv ze stran od této smlouvy písemně odstoupit. Odstoupení má účinky ex nunc, tzn. že se netýká již uskutečněné části plnění, pokud částečné plnění smlouvy neodporuje povaze závazku nebo účelu smlouvy. Bude-li odstoupení od smlouvy provedeno v souladu s uvedeným postupem, nemá žádná ze stran právo na náhradu škody či na jakékoliv sankční plnění, které by jinak dle smlouvy náleželo. </w:t>
      </w:r>
    </w:p>
    <w:p w:rsidR="00477A0E" w:rsidRDefault="00927BB4">
      <w:pPr>
        <w:numPr>
          <w:ilvl w:val="0"/>
          <w:numId w:val="8"/>
        </w:numPr>
        <w:pBdr>
          <w:top w:val="nil"/>
          <w:left w:val="nil"/>
          <w:bottom w:val="nil"/>
          <w:right w:val="nil"/>
          <w:between w:val="nil"/>
        </w:pBdr>
        <w:spacing w:after="0" w:line="240" w:lineRule="auto"/>
        <w:ind w:left="426" w:hanging="426"/>
        <w:jc w:val="both"/>
        <w:rPr>
          <w:color w:val="000000"/>
        </w:rPr>
      </w:pPr>
      <w:r>
        <w:rPr>
          <w:color w:val="000000"/>
        </w:rPr>
        <w:t>Ani jedna ze stran nepřebírá nebezpečí změny okolností podle § 1765 odst. 2 občanského zákoníku. Smluvní strany tímto výslovně vylučují použití § 1766 odst. 2 občanského zákoníku.</w:t>
      </w:r>
    </w:p>
    <w:p w:rsidR="00477A0E" w:rsidRDefault="00927BB4">
      <w:pPr>
        <w:numPr>
          <w:ilvl w:val="0"/>
          <w:numId w:val="8"/>
        </w:numPr>
        <w:pBdr>
          <w:top w:val="nil"/>
          <w:left w:val="nil"/>
          <w:bottom w:val="nil"/>
          <w:right w:val="nil"/>
          <w:between w:val="nil"/>
        </w:pBdr>
        <w:spacing w:after="120" w:line="240" w:lineRule="auto"/>
        <w:ind w:left="426" w:hanging="426"/>
        <w:jc w:val="both"/>
      </w:pPr>
      <w:r>
        <w:rPr>
          <w:color w:val="000000"/>
        </w:rPr>
        <w:t>Smlouva je vyhotovena ve dvou stejnopisech, z nichž po jednom exempláři obdrží oba její účastníci.</w:t>
      </w:r>
    </w:p>
    <w:p w:rsidR="00477A0E" w:rsidRDefault="00477A0E"/>
    <w:p w:rsidR="00477A0E" w:rsidRDefault="00927BB4">
      <w:pPr>
        <w:spacing w:after="120" w:line="240" w:lineRule="auto"/>
      </w:pPr>
      <w:r>
        <w:t>V Praze dne …………….</w:t>
      </w:r>
    </w:p>
    <w:p w:rsidR="00477A0E" w:rsidRDefault="00477A0E">
      <w:pPr>
        <w:spacing w:after="120" w:line="240" w:lineRule="auto"/>
      </w:pPr>
    </w:p>
    <w:p w:rsidR="00477A0E" w:rsidRDefault="00477A0E">
      <w:pPr>
        <w:spacing w:after="120" w:line="240" w:lineRule="auto"/>
      </w:pPr>
    </w:p>
    <w:p w:rsidR="00477A0E" w:rsidRDefault="00927BB4">
      <w:pPr>
        <w:spacing w:after="120" w:line="240" w:lineRule="auto"/>
      </w:pPr>
      <w:r>
        <w:t>……………..…………………..</w:t>
      </w:r>
      <w:r>
        <w:tab/>
      </w:r>
      <w:r>
        <w:tab/>
      </w:r>
      <w:r>
        <w:tab/>
      </w:r>
      <w:r>
        <w:tab/>
        <w:t>..………………………………..</w:t>
      </w:r>
    </w:p>
    <w:p w:rsidR="00477A0E" w:rsidRDefault="00927BB4">
      <w:pPr>
        <w:spacing w:after="120" w:line="240" w:lineRule="auto"/>
      </w:pPr>
      <w:r>
        <w:t>za Pronajímatele</w:t>
      </w:r>
      <w:r>
        <w:tab/>
      </w:r>
      <w:r>
        <w:tab/>
      </w:r>
      <w:r>
        <w:tab/>
      </w:r>
      <w:r>
        <w:tab/>
        <w:t xml:space="preserve">    za Nájemce</w:t>
      </w:r>
    </w:p>
    <w:sectPr w:rsidR="00477A0E" w:rsidSect="00477A0E">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19F" w:rsidRDefault="00D3519F" w:rsidP="00477A0E">
      <w:pPr>
        <w:spacing w:after="0" w:line="240" w:lineRule="auto"/>
      </w:pPr>
      <w:r>
        <w:separator/>
      </w:r>
    </w:p>
  </w:endnote>
  <w:endnote w:type="continuationSeparator" w:id="1">
    <w:p w:rsidR="00D3519F" w:rsidRDefault="00D3519F" w:rsidP="00477A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A0E" w:rsidRDefault="00477A0E">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A0E" w:rsidRDefault="008A4FEC">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sidR="00927BB4">
      <w:rPr>
        <w:color w:val="000000"/>
      </w:rPr>
      <w:instrText>PAGE</w:instrText>
    </w:r>
    <w:r>
      <w:rPr>
        <w:color w:val="000000"/>
      </w:rPr>
      <w:fldChar w:fldCharType="separate"/>
    </w:r>
    <w:r w:rsidR="00954CE8">
      <w:rPr>
        <w:noProof/>
        <w:color w:val="000000"/>
      </w:rPr>
      <w:t>4</w:t>
    </w:r>
    <w:r>
      <w:rPr>
        <w:color w:val="000000"/>
      </w:rPr>
      <w:fldChar w:fldCharType="end"/>
    </w:r>
  </w:p>
  <w:p w:rsidR="00477A0E" w:rsidRDefault="00477A0E">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A0E" w:rsidRDefault="00477A0E">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19F" w:rsidRDefault="00D3519F" w:rsidP="00477A0E">
      <w:pPr>
        <w:spacing w:after="0" w:line="240" w:lineRule="auto"/>
      </w:pPr>
      <w:r>
        <w:separator/>
      </w:r>
    </w:p>
  </w:footnote>
  <w:footnote w:type="continuationSeparator" w:id="1">
    <w:p w:rsidR="00D3519F" w:rsidRDefault="00D3519F" w:rsidP="00477A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A0E" w:rsidRDefault="00477A0E">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A0E" w:rsidRDefault="002320E9">
    <w:pPr>
      <w:pBdr>
        <w:top w:val="nil"/>
        <w:left w:val="nil"/>
        <w:bottom w:val="nil"/>
        <w:right w:val="nil"/>
        <w:between w:val="nil"/>
      </w:pBdr>
      <w:tabs>
        <w:tab w:val="center" w:pos="4536"/>
        <w:tab w:val="right" w:pos="9072"/>
      </w:tabs>
      <w:spacing w:after="0" w:line="240" w:lineRule="auto"/>
      <w:rPr>
        <w:color w:val="000000"/>
      </w:rPr>
    </w:pPr>
    <w:r w:rsidRPr="002320E9">
      <w:rPr>
        <w:color w:val="000000"/>
      </w:rPr>
      <w:t>POH02746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A0E" w:rsidRDefault="00477A0E">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B43D8"/>
    <w:multiLevelType w:val="multilevel"/>
    <w:tmpl w:val="D2780454"/>
    <w:lvl w:ilvl="0">
      <w:start w:val="1"/>
      <w:numFmt w:val="bullet"/>
      <w:lvlText w:val="●"/>
      <w:lvlJc w:val="left"/>
      <w:pPr>
        <w:ind w:left="1197" w:hanging="360"/>
      </w:pPr>
      <w:rPr>
        <w:rFonts w:ascii="Noto Sans Symbols" w:eastAsia="Noto Sans Symbols" w:hAnsi="Noto Sans Symbols" w:cs="Noto Sans Symbols"/>
      </w:rPr>
    </w:lvl>
    <w:lvl w:ilvl="1">
      <w:start w:val="1"/>
      <w:numFmt w:val="bullet"/>
      <w:lvlText w:val="o"/>
      <w:lvlJc w:val="left"/>
      <w:pPr>
        <w:ind w:left="1917" w:hanging="360"/>
      </w:pPr>
      <w:rPr>
        <w:rFonts w:ascii="Courier New" w:eastAsia="Courier New" w:hAnsi="Courier New" w:cs="Courier New"/>
      </w:rPr>
    </w:lvl>
    <w:lvl w:ilvl="2">
      <w:start w:val="1"/>
      <w:numFmt w:val="bullet"/>
      <w:lvlText w:val="▪"/>
      <w:lvlJc w:val="left"/>
      <w:pPr>
        <w:ind w:left="2637" w:hanging="360"/>
      </w:pPr>
      <w:rPr>
        <w:rFonts w:ascii="Noto Sans Symbols" w:eastAsia="Noto Sans Symbols" w:hAnsi="Noto Sans Symbols" w:cs="Noto Sans Symbols"/>
      </w:rPr>
    </w:lvl>
    <w:lvl w:ilvl="3">
      <w:start w:val="1"/>
      <w:numFmt w:val="bullet"/>
      <w:lvlText w:val="●"/>
      <w:lvlJc w:val="left"/>
      <w:pPr>
        <w:ind w:left="3357" w:hanging="360"/>
      </w:pPr>
      <w:rPr>
        <w:rFonts w:ascii="Noto Sans Symbols" w:eastAsia="Noto Sans Symbols" w:hAnsi="Noto Sans Symbols" w:cs="Noto Sans Symbols"/>
      </w:rPr>
    </w:lvl>
    <w:lvl w:ilvl="4">
      <w:start w:val="1"/>
      <w:numFmt w:val="bullet"/>
      <w:lvlText w:val="o"/>
      <w:lvlJc w:val="left"/>
      <w:pPr>
        <w:ind w:left="4077" w:hanging="360"/>
      </w:pPr>
      <w:rPr>
        <w:rFonts w:ascii="Courier New" w:eastAsia="Courier New" w:hAnsi="Courier New" w:cs="Courier New"/>
      </w:rPr>
    </w:lvl>
    <w:lvl w:ilvl="5">
      <w:start w:val="1"/>
      <w:numFmt w:val="bullet"/>
      <w:lvlText w:val="▪"/>
      <w:lvlJc w:val="left"/>
      <w:pPr>
        <w:ind w:left="4797" w:hanging="360"/>
      </w:pPr>
      <w:rPr>
        <w:rFonts w:ascii="Noto Sans Symbols" w:eastAsia="Noto Sans Symbols" w:hAnsi="Noto Sans Symbols" w:cs="Noto Sans Symbols"/>
      </w:rPr>
    </w:lvl>
    <w:lvl w:ilvl="6">
      <w:start w:val="1"/>
      <w:numFmt w:val="bullet"/>
      <w:lvlText w:val="●"/>
      <w:lvlJc w:val="left"/>
      <w:pPr>
        <w:ind w:left="5517" w:hanging="360"/>
      </w:pPr>
      <w:rPr>
        <w:rFonts w:ascii="Noto Sans Symbols" w:eastAsia="Noto Sans Symbols" w:hAnsi="Noto Sans Symbols" w:cs="Noto Sans Symbols"/>
      </w:rPr>
    </w:lvl>
    <w:lvl w:ilvl="7">
      <w:start w:val="1"/>
      <w:numFmt w:val="bullet"/>
      <w:lvlText w:val="o"/>
      <w:lvlJc w:val="left"/>
      <w:pPr>
        <w:ind w:left="6237" w:hanging="360"/>
      </w:pPr>
      <w:rPr>
        <w:rFonts w:ascii="Courier New" w:eastAsia="Courier New" w:hAnsi="Courier New" w:cs="Courier New"/>
      </w:rPr>
    </w:lvl>
    <w:lvl w:ilvl="8">
      <w:start w:val="1"/>
      <w:numFmt w:val="bullet"/>
      <w:lvlText w:val="▪"/>
      <w:lvlJc w:val="left"/>
      <w:pPr>
        <w:ind w:left="6957" w:hanging="360"/>
      </w:pPr>
      <w:rPr>
        <w:rFonts w:ascii="Noto Sans Symbols" w:eastAsia="Noto Sans Symbols" w:hAnsi="Noto Sans Symbols" w:cs="Noto Sans Symbols"/>
      </w:rPr>
    </w:lvl>
  </w:abstractNum>
  <w:abstractNum w:abstractNumId="1">
    <w:nsid w:val="1D2D03EE"/>
    <w:multiLevelType w:val="multilevel"/>
    <w:tmpl w:val="CAACBA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6B52FD9"/>
    <w:multiLevelType w:val="multilevel"/>
    <w:tmpl w:val="8670FAFE"/>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D3A1D90"/>
    <w:multiLevelType w:val="multilevel"/>
    <w:tmpl w:val="CBFC3B7A"/>
    <w:lvl w:ilvl="0">
      <w:start w:val="3"/>
      <w:numFmt w:val="lowerLetter"/>
      <w:lvlText w:val="%1)"/>
      <w:lvlJc w:val="left"/>
      <w:pPr>
        <w:ind w:left="23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B7D51E8"/>
    <w:multiLevelType w:val="multilevel"/>
    <w:tmpl w:val="CF72EE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CCB52B1"/>
    <w:multiLevelType w:val="multilevel"/>
    <w:tmpl w:val="1E7602D6"/>
    <w:lvl w:ilvl="0">
      <w:start w:val="1"/>
      <w:numFmt w:val="upperRoman"/>
      <w:lvlText w:val="%1."/>
      <w:lvlJc w:val="right"/>
      <w:pPr>
        <w:ind w:left="72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3C45814"/>
    <w:multiLevelType w:val="multilevel"/>
    <w:tmpl w:val="68609A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778C15AF"/>
    <w:multiLevelType w:val="multilevel"/>
    <w:tmpl w:val="27960C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C772DB6"/>
    <w:multiLevelType w:val="multilevel"/>
    <w:tmpl w:val="CA6C35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7"/>
  </w:num>
  <w:num w:numId="4">
    <w:abstractNumId w:val="4"/>
  </w:num>
  <w:num w:numId="5">
    <w:abstractNumId w:val="8"/>
  </w:num>
  <w:num w:numId="6">
    <w:abstractNumId w:val="3"/>
  </w:num>
  <w:num w:numId="7">
    <w:abstractNumId w:val="0"/>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477A0E"/>
    <w:rsid w:val="002320E9"/>
    <w:rsid w:val="00477A0E"/>
    <w:rsid w:val="008A4FEC"/>
    <w:rsid w:val="00927BB4"/>
    <w:rsid w:val="00954CE8"/>
    <w:rsid w:val="00D3519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72BD7"/>
  </w:style>
  <w:style w:type="paragraph" w:styleId="Nadpis1">
    <w:name w:val="heading 1"/>
    <w:basedOn w:val="normal"/>
    <w:next w:val="normal"/>
    <w:rsid w:val="00477A0E"/>
    <w:pPr>
      <w:keepNext/>
      <w:keepLines/>
      <w:spacing w:before="480" w:after="120"/>
      <w:outlineLvl w:val="0"/>
    </w:pPr>
    <w:rPr>
      <w:b/>
      <w:sz w:val="48"/>
      <w:szCs w:val="48"/>
    </w:rPr>
  </w:style>
  <w:style w:type="paragraph" w:styleId="Nadpis2">
    <w:name w:val="heading 2"/>
    <w:basedOn w:val="normal"/>
    <w:next w:val="normal"/>
    <w:rsid w:val="00477A0E"/>
    <w:pPr>
      <w:keepNext/>
      <w:keepLines/>
      <w:spacing w:before="360" w:after="80"/>
      <w:outlineLvl w:val="1"/>
    </w:pPr>
    <w:rPr>
      <w:b/>
      <w:sz w:val="36"/>
      <w:szCs w:val="36"/>
    </w:rPr>
  </w:style>
  <w:style w:type="paragraph" w:styleId="Nadpis3">
    <w:name w:val="heading 3"/>
    <w:basedOn w:val="normal"/>
    <w:next w:val="normal"/>
    <w:rsid w:val="00477A0E"/>
    <w:pPr>
      <w:keepNext/>
      <w:keepLines/>
      <w:spacing w:before="280" w:after="80"/>
      <w:outlineLvl w:val="2"/>
    </w:pPr>
    <w:rPr>
      <w:b/>
      <w:sz w:val="28"/>
      <w:szCs w:val="28"/>
    </w:rPr>
  </w:style>
  <w:style w:type="paragraph" w:styleId="Nadpis4">
    <w:name w:val="heading 4"/>
    <w:basedOn w:val="normal"/>
    <w:next w:val="normal"/>
    <w:rsid w:val="00477A0E"/>
    <w:pPr>
      <w:keepNext/>
      <w:keepLines/>
      <w:spacing w:before="240" w:after="40"/>
      <w:outlineLvl w:val="3"/>
    </w:pPr>
    <w:rPr>
      <w:b/>
      <w:sz w:val="24"/>
      <w:szCs w:val="24"/>
    </w:rPr>
  </w:style>
  <w:style w:type="paragraph" w:styleId="Nadpis5">
    <w:name w:val="heading 5"/>
    <w:basedOn w:val="normal"/>
    <w:next w:val="normal"/>
    <w:rsid w:val="00477A0E"/>
    <w:pPr>
      <w:keepNext/>
      <w:keepLines/>
      <w:spacing w:before="220" w:after="40"/>
      <w:outlineLvl w:val="4"/>
    </w:pPr>
    <w:rPr>
      <w:b/>
    </w:rPr>
  </w:style>
  <w:style w:type="paragraph" w:styleId="Nadpis6">
    <w:name w:val="heading 6"/>
    <w:basedOn w:val="normal"/>
    <w:next w:val="normal"/>
    <w:rsid w:val="00477A0E"/>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
    <w:name w:val="normal"/>
    <w:rsid w:val="00477A0E"/>
  </w:style>
  <w:style w:type="table" w:customStyle="1" w:styleId="TableNormal">
    <w:name w:val="Table Normal"/>
    <w:rsid w:val="00477A0E"/>
    <w:tblPr>
      <w:tblCellMar>
        <w:top w:w="0" w:type="dxa"/>
        <w:left w:w="0" w:type="dxa"/>
        <w:bottom w:w="0" w:type="dxa"/>
        <w:right w:w="0" w:type="dxa"/>
      </w:tblCellMar>
    </w:tblPr>
  </w:style>
  <w:style w:type="paragraph" w:styleId="Nzev">
    <w:name w:val="Title"/>
    <w:basedOn w:val="Normln"/>
    <w:next w:val="Normln"/>
    <w:link w:val="NzevChar"/>
    <w:uiPriority w:val="10"/>
    <w:qFormat/>
    <w:rsid w:val="00DA56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A56C1"/>
    <w:rPr>
      <w:rFonts w:asciiTheme="majorHAnsi" w:eastAsiaTheme="majorEastAsia" w:hAnsiTheme="majorHAnsi" w:cstheme="majorBidi"/>
      <w:spacing w:val="-10"/>
      <w:kern w:val="28"/>
      <w:sz w:val="56"/>
      <w:szCs w:val="56"/>
      <w:lang w:val="cs-CZ"/>
    </w:rPr>
  </w:style>
  <w:style w:type="paragraph" w:styleId="Odstavecseseznamem">
    <w:name w:val="List Paragraph"/>
    <w:basedOn w:val="Normln"/>
    <w:uiPriority w:val="34"/>
    <w:qFormat/>
    <w:rsid w:val="00452028"/>
    <w:pPr>
      <w:ind w:left="720"/>
      <w:contextualSpacing/>
    </w:pPr>
  </w:style>
  <w:style w:type="paragraph" w:styleId="Zhlav">
    <w:name w:val="header"/>
    <w:basedOn w:val="Normln"/>
    <w:link w:val="ZhlavChar"/>
    <w:uiPriority w:val="99"/>
    <w:unhideWhenUsed/>
    <w:rsid w:val="00723E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23E53"/>
    <w:rPr>
      <w:lang w:val="cs-CZ"/>
    </w:rPr>
  </w:style>
  <w:style w:type="paragraph" w:styleId="Zpat">
    <w:name w:val="footer"/>
    <w:basedOn w:val="Normln"/>
    <w:link w:val="ZpatChar"/>
    <w:uiPriority w:val="99"/>
    <w:unhideWhenUsed/>
    <w:rsid w:val="00723E53"/>
    <w:pPr>
      <w:tabs>
        <w:tab w:val="center" w:pos="4536"/>
        <w:tab w:val="right" w:pos="9072"/>
      </w:tabs>
      <w:spacing w:after="0" w:line="240" w:lineRule="auto"/>
    </w:pPr>
  </w:style>
  <w:style w:type="character" w:customStyle="1" w:styleId="ZpatChar">
    <w:name w:val="Zápatí Char"/>
    <w:basedOn w:val="Standardnpsmoodstavce"/>
    <w:link w:val="Zpat"/>
    <w:uiPriority w:val="99"/>
    <w:rsid w:val="00723E53"/>
    <w:rPr>
      <w:lang w:val="cs-CZ"/>
    </w:rPr>
  </w:style>
  <w:style w:type="paragraph" w:customStyle="1" w:styleId="xxxmsonormal">
    <w:name w:val="x_x_xmsonormal"/>
    <w:basedOn w:val="Normln"/>
    <w:rsid w:val="002721B6"/>
    <w:pPr>
      <w:spacing w:after="0" w:line="240" w:lineRule="auto"/>
    </w:pPr>
    <w:rPr>
      <w:rFonts w:cs="Times New Roman"/>
    </w:rPr>
  </w:style>
  <w:style w:type="character" w:styleId="Odkaznakoment">
    <w:name w:val="annotation reference"/>
    <w:basedOn w:val="Standardnpsmoodstavce"/>
    <w:uiPriority w:val="99"/>
    <w:semiHidden/>
    <w:unhideWhenUsed/>
    <w:rsid w:val="009B021C"/>
    <w:rPr>
      <w:sz w:val="16"/>
      <w:szCs w:val="16"/>
    </w:rPr>
  </w:style>
  <w:style w:type="paragraph" w:styleId="Textkomente">
    <w:name w:val="annotation text"/>
    <w:basedOn w:val="Normln"/>
    <w:link w:val="TextkomenteChar"/>
    <w:uiPriority w:val="99"/>
    <w:semiHidden/>
    <w:unhideWhenUsed/>
    <w:rsid w:val="009B021C"/>
    <w:pPr>
      <w:spacing w:line="240" w:lineRule="auto"/>
    </w:pPr>
    <w:rPr>
      <w:sz w:val="20"/>
      <w:szCs w:val="20"/>
    </w:rPr>
  </w:style>
  <w:style w:type="character" w:customStyle="1" w:styleId="TextkomenteChar">
    <w:name w:val="Text komentáře Char"/>
    <w:basedOn w:val="Standardnpsmoodstavce"/>
    <w:link w:val="Textkomente"/>
    <w:uiPriority w:val="99"/>
    <w:semiHidden/>
    <w:rsid w:val="009B021C"/>
    <w:rPr>
      <w:sz w:val="20"/>
      <w:szCs w:val="20"/>
      <w:lang w:val="cs-CZ"/>
    </w:rPr>
  </w:style>
  <w:style w:type="paragraph" w:styleId="Pedmtkomente">
    <w:name w:val="annotation subject"/>
    <w:basedOn w:val="Textkomente"/>
    <w:next w:val="Textkomente"/>
    <w:link w:val="PedmtkomenteChar"/>
    <w:uiPriority w:val="99"/>
    <w:semiHidden/>
    <w:unhideWhenUsed/>
    <w:rsid w:val="009B021C"/>
    <w:rPr>
      <w:b/>
      <w:bCs/>
    </w:rPr>
  </w:style>
  <w:style w:type="character" w:customStyle="1" w:styleId="PedmtkomenteChar">
    <w:name w:val="Předmět komentáře Char"/>
    <w:basedOn w:val="TextkomenteChar"/>
    <w:link w:val="Pedmtkomente"/>
    <w:uiPriority w:val="99"/>
    <w:semiHidden/>
    <w:rsid w:val="009B021C"/>
    <w:rPr>
      <w:b/>
      <w:bCs/>
      <w:sz w:val="20"/>
      <w:szCs w:val="20"/>
      <w:lang w:val="cs-CZ"/>
    </w:rPr>
  </w:style>
  <w:style w:type="paragraph" w:styleId="Textbubliny">
    <w:name w:val="Balloon Text"/>
    <w:basedOn w:val="Normln"/>
    <w:link w:val="TextbublinyChar"/>
    <w:uiPriority w:val="99"/>
    <w:semiHidden/>
    <w:unhideWhenUsed/>
    <w:rsid w:val="009B021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B021C"/>
    <w:rPr>
      <w:rFonts w:ascii="Segoe UI" w:hAnsi="Segoe UI" w:cs="Segoe UI"/>
      <w:sz w:val="18"/>
      <w:szCs w:val="18"/>
      <w:lang w:val="cs-CZ"/>
    </w:rPr>
  </w:style>
  <w:style w:type="paragraph" w:styleId="Zkladntext2">
    <w:name w:val="Body Text 2"/>
    <w:basedOn w:val="Normln"/>
    <w:link w:val="Zkladntext2Char"/>
    <w:rsid w:val="00E24361"/>
    <w:pPr>
      <w:spacing w:after="0" w:line="240" w:lineRule="auto"/>
      <w:jc w:val="both"/>
    </w:pPr>
    <w:rPr>
      <w:rFonts w:ascii="Times New Roman" w:eastAsia="Times New Roman" w:hAnsi="Times New Roman" w:cs="Times New Roman"/>
      <w:szCs w:val="20"/>
    </w:rPr>
  </w:style>
  <w:style w:type="character" w:customStyle="1" w:styleId="Zkladntext2Char">
    <w:name w:val="Základní text 2 Char"/>
    <w:basedOn w:val="Standardnpsmoodstavce"/>
    <w:link w:val="Zkladntext2"/>
    <w:rsid w:val="00E24361"/>
    <w:rPr>
      <w:rFonts w:ascii="Times New Roman" w:eastAsia="Times New Roman" w:hAnsi="Times New Roman" w:cs="Times New Roman"/>
      <w:szCs w:val="20"/>
      <w:lang w:val="cs-CZ" w:eastAsia="cs-CZ"/>
    </w:rPr>
  </w:style>
  <w:style w:type="paragraph" w:customStyle="1" w:styleId="Normln1">
    <w:name w:val="Normální1"/>
    <w:rsid w:val="003A72A8"/>
    <w:pPr>
      <w:spacing w:after="0" w:line="240" w:lineRule="auto"/>
    </w:pPr>
    <w:rPr>
      <w:sz w:val="20"/>
      <w:szCs w:val="20"/>
    </w:rPr>
  </w:style>
  <w:style w:type="character" w:styleId="Hypertextovodkaz">
    <w:name w:val="Hyperlink"/>
    <w:basedOn w:val="Standardnpsmoodstavce"/>
    <w:uiPriority w:val="99"/>
    <w:unhideWhenUsed/>
    <w:rsid w:val="00BD1B65"/>
    <w:rPr>
      <w:color w:val="0563C1" w:themeColor="hyperlink"/>
      <w:u w:val="single"/>
    </w:rPr>
  </w:style>
  <w:style w:type="paragraph" w:styleId="Podtitul">
    <w:name w:val="Subtitle"/>
    <w:basedOn w:val="normal"/>
    <w:next w:val="normal"/>
    <w:rsid w:val="00477A0E"/>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1l6q4p+eJeH9HZli8eObBJZwvNg==">AMUW2mX67F6XNHFrGQZ1hZk9xQRqSjghrGcJ7MgqLQcrJEiawCHeev7IQRd+F7ZUzXf5V/VOPYlNEWwX2VPa9O0/Gr+IoVfxyr/HrxnhGjP4+bnzH4giYK9ViAupuh1AENdT8kOpGXpX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1338</Words>
  <Characters>7900</Characters>
  <Application>Microsoft Office Word</Application>
  <DocSecurity>0</DocSecurity>
  <Lines>65</Lines>
  <Paragraphs>18</Paragraphs>
  <ScaleCrop>false</ScaleCrop>
  <Company>HP Inc.</Company>
  <LinksUpToDate>false</LinksUpToDate>
  <CharactersWithSpaces>9220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Touš Jan</dc:creator>
  <cp:lastModifiedBy>Hana Soudková</cp:lastModifiedBy>
  <cp:revision>2</cp:revision>
  <dcterms:created xsi:type="dcterms:W3CDTF">2023-12-22T11:32:00Z</dcterms:created>
  <dcterms:modified xsi:type="dcterms:W3CDTF">2023-12-22T11:32:00Z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0x0101009810D661E47AAA44A838AB603D86717C</vt:lpwstr>
  </property>
  <property fmtid="{D5CDD505-2E9C-101B-9397-08002B2CF9AE}" pid="3" name="MediaServiceImageTags">
    <vt:lpwstr/>
  </property>
</Properties>
</file>