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bankovní spojení: Česká národní banka, pobočka Praha</w:t>
      </w:r>
    </w:p>
    <w:p w14:paraId="39ACCABE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číslo účtu: 837011/0710</w:t>
      </w:r>
    </w:p>
    <w:p w14:paraId="34EA9FFF" w14:textId="77777777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kontaktní osoba: Mgr. Zdeněk Veselý, tel.:723 135 593, e-mail: vesely@agentura-cas-cz</w:t>
      </w:r>
    </w:p>
    <w:p w14:paraId="2808C803" w14:textId="0DF0B4D0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color w:val="000000"/>
          <w:sz w:val="22"/>
          <w:szCs w:val="22"/>
        </w:rPr>
        <w:t>Partner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581E5F53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 pro rozvoj architektury a stavitelství</w:t>
      </w:r>
    </w:p>
    <w:p w14:paraId="203BD815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se sídlem Praha 1, Václavské nám. 31/833, PSČ 11000</w:t>
      </w:r>
    </w:p>
    <w:p w14:paraId="32DD6AC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IČ: 002 73 309</w:t>
      </w:r>
    </w:p>
    <w:p w14:paraId="73573E1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zapsaná v nadačním rejstříku vedeném Městským soudem v Praze oddíl N, vložka 68</w:t>
      </w:r>
    </w:p>
    <w:p w14:paraId="7ED2CD59" w14:textId="74F70A91" w:rsidR="00E271F1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zastoupena ing. arch. Janem Fibigerem, CSc., předsedou správní rady</w:t>
      </w:r>
    </w:p>
    <w:p w14:paraId="781CBEBF" w14:textId="54010BD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4CB6D459" w:rsidR="00784073" w:rsidRPr="007A3EDD" w:rsidRDefault="006936C1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Partner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>
        <w:rPr>
          <w:rFonts w:ascii="Cambria" w:hAnsi="Cambria" w:cstheme="minorHAnsi"/>
          <w:sz w:val="22"/>
          <w:szCs w:val="22"/>
        </w:rPr>
        <w:t>Nadace</w:t>
      </w:r>
      <w:r w:rsidR="00E60005" w:rsidRPr="00E60005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>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r w:rsidR="00564557" w:rsidRPr="007A3EDD">
        <w:rPr>
          <w:rFonts w:ascii="Cambria" w:hAnsi="Cambria" w:cstheme="minorHAnsi"/>
          <w:sz w:val="22"/>
          <w:szCs w:val="22"/>
        </w:rPr>
        <w:t>ust.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50458C2B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13FD03D5" w14:textId="39EA89F3" w:rsidR="00EF253A" w:rsidRPr="007A3EDD" w:rsidRDefault="00E469C6" w:rsidP="00EF25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Smluvní strany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spolu </w:t>
      </w:r>
      <w:r w:rsidR="00A77AC8" w:rsidRPr="008B1453">
        <w:rPr>
          <w:rFonts w:ascii="Cambria" w:hAnsi="Cambria" w:cstheme="minorHAnsi"/>
          <w:sz w:val="22"/>
          <w:szCs w:val="22"/>
        </w:rPr>
        <w:t>dne</w:t>
      </w:r>
      <w:r w:rsidR="00EF253A" w:rsidRPr="008B1453">
        <w:rPr>
          <w:rFonts w:ascii="Cambria" w:hAnsi="Cambria" w:cstheme="minorHAnsi"/>
          <w:sz w:val="22"/>
          <w:szCs w:val="22"/>
        </w:rPr>
        <w:t xml:space="preserve"> </w:t>
      </w:r>
      <w:r w:rsidR="00376CE6" w:rsidRPr="008B1453">
        <w:rPr>
          <w:rFonts w:ascii="Cambria" w:hAnsi="Cambria" w:cstheme="minorHAnsi"/>
          <w:sz w:val="22"/>
          <w:szCs w:val="22"/>
        </w:rPr>
        <w:t xml:space="preserve">1. </w:t>
      </w:r>
      <w:r w:rsidR="008C1445">
        <w:rPr>
          <w:rFonts w:ascii="Cambria" w:hAnsi="Cambria" w:cstheme="minorHAnsi"/>
          <w:sz w:val="22"/>
          <w:szCs w:val="22"/>
        </w:rPr>
        <w:t>10</w:t>
      </w:r>
      <w:r w:rsidR="00376CE6" w:rsidRPr="008B1453">
        <w:rPr>
          <w:rFonts w:ascii="Cambria" w:hAnsi="Cambria" w:cstheme="minorHAnsi"/>
          <w:sz w:val="22"/>
          <w:szCs w:val="22"/>
        </w:rPr>
        <w:t>.</w:t>
      </w:r>
      <w:r w:rsidR="008B4552" w:rsidRPr="008B1453">
        <w:rPr>
          <w:rFonts w:ascii="Cambria" w:hAnsi="Cambria" w:cstheme="minorHAnsi"/>
          <w:sz w:val="22"/>
          <w:szCs w:val="22"/>
        </w:rPr>
        <w:t xml:space="preserve"> 2023 uzavřely</w:t>
      </w:r>
      <w:r w:rsidR="008B4552">
        <w:rPr>
          <w:rFonts w:ascii="Cambria" w:hAnsi="Cambria" w:cstheme="minorHAnsi"/>
          <w:sz w:val="22"/>
          <w:szCs w:val="22"/>
        </w:rPr>
        <w:t xml:space="preserve"> </w:t>
      </w:r>
      <w:r w:rsidR="005935A1">
        <w:rPr>
          <w:rFonts w:ascii="Cambria" w:hAnsi="Cambria" w:cstheme="minorHAnsi"/>
          <w:sz w:val="22"/>
          <w:szCs w:val="22"/>
        </w:rPr>
        <w:t>smlouvu o</w:t>
      </w:r>
      <w:r w:rsidR="00465FAE">
        <w:rPr>
          <w:rFonts w:ascii="Cambria" w:hAnsi="Cambria" w:cstheme="minorHAnsi"/>
          <w:sz w:val="22"/>
          <w:szCs w:val="22"/>
        </w:rPr>
        <w:t xml:space="preserve"> </w:t>
      </w:r>
      <w:r w:rsidR="000F0CC4">
        <w:rPr>
          <w:rFonts w:ascii="Cambria" w:hAnsi="Cambria" w:cstheme="minorHAnsi"/>
          <w:sz w:val="22"/>
          <w:szCs w:val="22"/>
        </w:rPr>
        <w:t>partnerství</w:t>
      </w:r>
      <w:r w:rsidR="00465FAE">
        <w:rPr>
          <w:rFonts w:ascii="Cambria" w:hAnsi="Cambria" w:cstheme="minorHAnsi"/>
          <w:sz w:val="22"/>
          <w:szCs w:val="22"/>
        </w:rPr>
        <w:t xml:space="preserve"> a</w:t>
      </w:r>
      <w:r w:rsidR="005935A1">
        <w:rPr>
          <w:rFonts w:ascii="Cambria" w:hAnsi="Cambria" w:cstheme="minorHAnsi"/>
          <w:sz w:val="22"/>
          <w:szCs w:val="22"/>
        </w:rPr>
        <w:t xml:space="preserve"> propagaci</w:t>
      </w:r>
      <w:r w:rsidR="00174122">
        <w:rPr>
          <w:rFonts w:ascii="Cambria" w:hAnsi="Cambria" w:cstheme="minorHAnsi"/>
          <w:sz w:val="22"/>
          <w:szCs w:val="22"/>
        </w:rPr>
        <w:t xml:space="preserve"> (dále jen „</w:t>
      </w:r>
      <w:r w:rsidR="00174122" w:rsidRPr="00174122">
        <w:rPr>
          <w:rFonts w:ascii="Cambria" w:hAnsi="Cambria" w:cstheme="minorHAnsi"/>
          <w:b/>
          <w:bCs/>
          <w:sz w:val="22"/>
          <w:szCs w:val="22"/>
        </w:rPr>
        <w:t>Smlouva</w:t>
      </w:r>
      <w:r w:rsidR="00174122">
        <w:rPr>
          <w:rFonts w:ascii="Cambria" w:hAnsi="Cambria" w:cstheme="minorHAnsi"/>
          <w:sz w:val="22"/>
          <w:szCs w:val="22"/>
        </w:rPr>
        <w:t>“)</w:t>
      </w:r>
      <w:r w:rsidR="00CA154B">
        <w:rPr>
          <w:rFonts w:ascii="Cambria" w:hAnsi="Cambria" w:cstheme="minorHAnsi"/>
          <w:sz w:val="22"/>
          <w:szCs w:val="22"/>
        </w:rPr>
        <w:t>, na základě které</w:t>
      </w:r>
      <w:r w:rsidR="00174122">
        <w:rPr>
          <w:rFonts w:ascii="Cambria" w:hAnsi="Cambria" w:cstheme="minorHAnsi"/>
          <w:sz w:val="22"/>
          <w:szCs w:val="22"/>
        </w:rPr>
        <w:t xml:space="preserve"> se</w:t>
      </w:r>
      <w:r w:rsidR="00CA154B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>Nadace zavázala pro</w:t>
      </w:r>
      <w:r w:rsidR="00174122">
        <w:rPr>
          <w:rFonts w:ascii="Cambria" w:hAnsi="Cambria" w:cstheme="minorHAnsi"/>
          <w:sz w:val="22"/>
          <w:szCs w:val="22"/>
        </w:rPr>
        <w:t xml:space="preserve"> Partnera zajistit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propagaci </w:t>
      </w:r>
      <w:r w:rsidR="004F2D84">
        <w:rPr>
          <w:rFonts w:ascii="Cambria" w:hAnsi="Cambria" w:cstheme="minorHAnsi"/>
          <w:sz w:val="22"/>
          <w:szCs w:val="22"/>
        </w:rPr>
        <w:t>P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artnera a jeho výrobků a služeb v rámci Koncepce BIM a Partnera v rámci </w:t>
      </w:r>
      <w:r w:rsidR="0049114A" w:rsidRPr="0049114A">
        <w:rPr>
          <w:rFonts w:ascii="Cambria" w:hAnsi="Cambria" w:cstheme="minorHAnsi"/>
          <w:sz w:val="22"/>
          <w:szCs w:val="22"/>
        </w:rPr>
        <w:t>soutěžní přehlídky Stavba roku 2023</w:t>
      </w:r>
      <w:r w:rsidR="00174122">
        <w:rPr>
          <w:rFonts w:ascii="Cambria" w:hAnsi="Cambria" w:cstheme="minorHAnsi"/>
          <w:sz w:val="22"/>
          <w:szCs w:val="22"/>
        </w:rPr>
        <w:t xml:space="preserve">, v rozsahu dle přílohy č. 1 Smlouvy.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 xml:space="preserve"> </w:t>
      </w:r>
    </w:p>
    <w:p w14:paraId="6D9C7F44" w14:textId="5EE0DDD7" w:rsidR="00654018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B918B8" w:rsidRPr="007A3EDD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A3EDD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A3EDD">
        <w:rPr>
          <w:rFonts w:ascii="Cambria" w:hAnsi="Cambria" w:cstheme="minorHAnsi"/>
          <w:sz w:val="22"/>
          <w:szCs w:val="22"/>
        </w:rPr>
        <w:t>povinnosti vyplývající jim z</w:t>
      </w:r>
      <w:r w:rsidR="0012675F">
        <w:rPr>
          <w:rFonts w:ascii="Cambria" w:hAnsi="Cambria" w:cstheme="minorHAnsi"/>
          <w:sz w:val="22"/>
          <w:szCs w:val="22"/>
        </w:rPr>
        <w:t>e Smlouvy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byly řádně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požadavku </w:t>
      </w:r>
      <w:r w:rsidR="0012675F">
        <w:rPr>
          <w:rFonts w:ascii="Cambria" w:hAnsi="Cambria" w:cstheme="minorHAnsi"/>
          <w:sz w:val="22"/>
          <w:szCs w:val="22"/>
        </w:rPr>
        <w:t>Partnera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>splněny</w:t>
      </w:r>
      <w:r w:rsidR="00C170C1" w:rsidRPr="007A3EDD">
        <w:rPr>
          <w:rFonts w:ascii="Cambria" w:hAnsi="Cambria" w:cstheme="minorHAnsi"/>
          <w:sz w:val="22"/>
          <w:szCs w:val="22"/>
        </w:rPr>
        <w:t>.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49270A0" w14:textId="5D31B7D0" w:rsidR="00164FE3" w:rsidRPr="007A3EDD" w:rsidRDefault="00164FE3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Na základě Smlouvy vystavila Nadace fakturu – daňový doklad č. 230600</w:t>
      </w:r>
      <w:r w:rsidR="008C1445">
        <w:rPr>
          <w:rFonts w:ascii="Cambria" w:hAnsi="Cambria" w:cstheme="minorHAnsi"/>
          <w:sz w:val="22"/>
          <w:szCs w:val="22"/>
        </w:rPr>
        <w:t>201</w:t>
      </w:r>
      <w:r w:rsidR="007024FC">
        <w:rPr>
          <w:rFonts w:ascii="Cambria" w:hAnsi="Cambria" w:cstheme="minorHAnsi"/>
          <w:sz w:val="22"/>
          <w:szCs w:val="22"/>
        </w:rPr>
        <w:t xml:space="preserve">, na částku </w:t>
      </w:r>
      <w:r w:rsidR="008C1445">
        <w:rPr>
          <w:rFonts w:ascii="Cambria" w:hAnsi="Cambria" w:cstheme="minorHAnsi"/>
          <w:sz w:val="22"/>
          <w:szCs w:val="22"/>
        </w:rPr>
        <w:t>275</w:t>
      </w:r>
      <w:r w:rsidR="007024FC">
        <w:rPr>
          <w:rFonts w:ascii="Cambria" w:hAnsi="Cambria" w:cstheme="minorHAnsi"/>
          <w:sz w:val="22"/>
          <w:szCs w:val="22"/>
        </w:rPr>
        <w:t xml:space="preserve">.000 Kč bez DPH (částku </w:t>
      </w:r>
      <w:r w:rsidR="008C1445">
        <w:rPr>
          <w:rFonts w:ascii="Cambria" w:hAnsi="Cambria" w:cstheme="minorHAnsi"/>
          <w:sz w:val="22"/>
          <w:szCs w:val="22"/>
        </w:rPr>
        <w:t>332.750</w:t>
      </w:r>
      <w:r w:rsidR="007024FC">
        <w:rPr>
          <w:rFonts w:ascii="Cambria" w:hAnsi="Cambria" w:cstheme="minorHAnsi"/>
          <w:sz w:val="22"/>
          <w:szCs w:val="22"/>
        </w:rPr>
        <w:t xml:space="preserve"> Kč, včetně DPH</w:t>
      </w:r>
      <w:r w:rsidR="004D6CC8">
        <w:rPr>
          <w:rFonts w:ascii="Cambria" w:hAnsi="Cambria" w:cstheme="minorHAnsi"/>
          <w:sz w:val="22"/>
          <w:szCs w:val="22"/>
        </w:rPr>
        <w:t>; dále jen „</w:t>
      </w:r>
      <w:r w:rsidR="004D6CC8" w:rsidRPr="004D6CC8">
        <w:rPr>
          <w:rFonts w:ascii="Cambria" w:hAnsi="Cambria" w:cstheme="minorHAnsi"/>
          <w:b/>
          <w:bCs/>
          <w:sz w:val="22"/>
          <w:szCs w:val="22"/>
        </w:rPr>
        <w:t>Faktura</w:t>
      </w:r>
      <w:r w:rsidR="004D6CC8">
        <w:rPr>
          <w:rFonts w:ascii="Cambria" w:hAnsi="Cambria" w:cstheme="minorHAnsi"/>
          <w:sz w:val="22"/>
          <w:szCs w:val="22"/>
        </w:rPr>
        <w:t>“)</w:t>
      </w:r>
      <w:r w:rsidR="007024FC">
        <w:rPr>
          <w:rFonts w:ascii="Cambria" w:hAnsi="Cambria" w:cstheme="minorHAnsi"/>
          <w:sz w:val="22"/>
          <w:szCs w:val="22"/>
        </w:rPr>
        <w:t xml:space="preserve">.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0823F1EA" w:rsidR="00654018" w:rsidRPr="0049114A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357DDB">
        <w:rPr>
          <w:rFonts w:ascii="Cambria" w:hAnsi="Cambria" w:cstheme="minorHAnsi"/>
          <w:sz w:val="22"/>
          <w:szCs w:val="22"/>
        </w:rPr>
        <w:t xml:space="preserve">Nadace </w:t>
      </w:r>
      <w:r w:rsidR="00AB1B7E">
        <w:rPr>
          <w:rFonts w:ascii="Cambria" w:hAnsi="Cambria" w:cstheme="minorHAnsi"/>
          <w:sz w:val="22"/>
          <w:szCs w:val="22"/>
        </w:rPr>
        <w:t>poskytl</w:t>
      </w:r>
      <w:r w:rsidR="0012675F">
        <w:rPr>
          <w:rFonts w:ascii="Cambria" w:hAnsi="Cambria" w:cstheme="minorHAnsi"/>
          <w:sz w:val="22"/>
          <w:szCs w:val="22"/>
        </w:rPr>
        <w:t>a</w:t>
      </w:r>
      <w:r w:rsidR="00AB1B7E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 xml:space="preserve">plnění Partnerovi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</w:t>
      </w:r>
      <w:r w:rsidR="0012675F">
        <w:rPr>
          <w:rFonts w:ascii="Cambria" w:hAnsi="Cambria" w:cstheme="minorHAnsi"/>
          <w:sz w:val="22"/>
          <w:szCs w:val="22"/>
        </w:rPr>
        <w:t xml:space="preserve">Smlouvy </w:t>
      </w:r>
      <w:r w:rsidR="00095245" w:rsidRPr="007A3EDD">
        <w:rPr>
          <w:rFonts w:ascii="Cambria" w:hAnsi="Cambria" w:cstheme="minorHAnsi"/>
          <w:sz w:val="22"/>
          <w:szCs w:val="22"/>
        </w:rPr>
        <w:t>v době stanovené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 </w:t>
      </w:r>
      <w:r w:rsidR="0012675F" w:rsidRPr="0049114A">
        <w:rPr>
          <w:rFonts w:ascii="Cambria" w:hAnsi="Cambria" w:cstheme="minorHAnsi"/>
          <w:sz w:val="22"/>
          <w:szCs w:val="22"/>
        </w:rPr>
        <w:t>Smlouvou</w:t>
      </w:r>
      <w:r w:rsidR="009F2D7E" w:rsidRPr="0049114A">
        <w:rPr>
          <w:rFonts w:ascii="Cambria" w:hAnsi="Cambria" w:cstheme="minorHAnsi"/>
          <w:sz w:val="22"/>
          <w:szCs w:val="22"/>
        </w:rPr>
        <w:t>.</w:t>
      </w:r>
      <w:r w:rsidR="00964772" w:rsidRPr="0049114A">
        <w:rPr>
          <w:rFonts w:ascii="Cambria" w:hAnsi="Cambria" w:cstheme="minorHAnsi"/>
          <w:sz w:val="22"/>
          <w:szCs w:val="22"/>
        </w:rPr>
        <w:t xml:space="preserve"> Účinnosti však nabyla Smlouva až dnem uveřejnění v registru smluv</w:t>
      </w:r>
      <w:r w:rsidR="0049114A" w:rsidRPr="0049114A">
        <w:rPr>
          <w:rFonts w:ascii="Cambria" w:hAnsi="Cambria" w:cstheme="minorHAnsi"/>
          <w:sz w:val="22"/>
          <w:szCs w:val="22"/>
        </w:rPr>
        <w:t xml:space="preserve"> v souladu se zákonem</w:t>
      </w:r>
      <w:r w:rsidR="00654018" w:rsidRPr="0049114A">
        <w:rPr>
          <w:rFonts w:ascii="Cambria" w:hAnsi="Cambria" w:cstheme="minorHAnsi"/>
          <w:sz w:val="22"/>
          <w:szCs w:val="22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0548F3" w:rsidRPr="0049114A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49114A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49114A">
        <w:rPr>
          <w:rFonts w:ascii="Cambria" w:hAnsi="Cambria" w:cstheme="minorHAnsi"/>
          <w:sz w:val="22"/>
          <w:szCs w:val="22"/>
        </w:rPr>
        <w:t>“)</w:t>
      </w:r>
      <w:r w:rsidR="00F85855" w:rsidRPr="0049114A">
        <w:rPr>
          <w:rFonts w:ascii="Cambria" w:hAnsi="Cambria" w:cstheme="minorHAnsi"/>
          <w:sz w:val="22"/>
          <w:szCs w:val="22"/>
        </w:rPr>
        <w:t xml:space="preserve">, </w:t>
      </w:r>
      <w:r w:rsidR="00222454" w:rsidRPr="0049114A">
        <w:rPr>
          <w:rFonts w:ascii="Cambria" w:hAnsi="Cambria" w:cstheme="minorHAnsi"/>
          <w:sz w:val="22"/>
          <w:szCs w:val="22"/>
        </w:rPr>
        <w:t>tj. ke dni podpisu této dohody</w:t>
      </w:r>
      <w:r w:rsidR="00654018" w:rsidRPr="0049114A">
        <w:rPr>
          <w:rFonts w:ascii="Cambria" w:hAnsi="Cambria" w:cstheme="minorHAnsi"/>
          <w:sz w:val="22"/>
          <w:szCs w:val="22"/>
        </w:rPr>
        <w:t xml:space="preserve">. </w:t>
      </w:r>
      <w:r w:rsidR="00222454" w:rsidRPr="0049114A">
        <w:rPr>
          <w:rFonts w:ascii="Cambria" w:hAnsi="Cambria" w:cstheme="minorHAnsi"/>
          <w:sz w:val="22"/>
          <w:szCs w:val="22"/>
        </w:rPr>
        <w:t xml:space="preserve"> </w:t>
      </w:r>
    </w:p>
    <w:p w14:paraId="61ADBE39" w14:textId="17390C63" w:rsidR="00767A92" w:rsidRDefault="00222454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49114A">
        <w:rPr>
          <w:rFonts w:ascii="Cambria" w:hAnsi="Cambria" w:cstheme="minorHAnsi"/>
          <w:sz w:val="22"/>
          <w:szCs w:val="22"/>
        </w:rPr>
        <w:t xml:space="preserve">Uveřejněním </w:t>
      </w:r>
      <w:r w:rsidR="0012675F" w:rsidRPr="0049114A">
        <w:rPr>
          <w:rFonts w:ascii="Cambria" w:hAnsi="Cambria" w:cstheme="minorHAnsi"/>
          <w:sz w:val="22"/>
          <w:szCs w:val="22"/>
        </w:rPr>
        <w:t xml:space="preserve">Smlouvy nabyla Smlouva </w:t>
      </w:r>
      <w:r w:rsidRPr="0049114A">
        <w:rPr>
          <w:rFonts w:ascii="Cambria" w:hAnsi="Cambria" w:cstheme="minorHAnsi"/>
          <w:sz w:val="22"/>
          <w:szCs w:val="22"/>
        </w:rPr>
        <w:t xml:space="preserve">účinnosti, a tedy </w:t>
      </w:r>
      <w:r w:rsidR="009C4DC0" w:rsidRPr="0049114A">
        <w:rPr>
          <w:rFonts w:ascii="Cambria" w:hAnsi="Cambria" w:cstheme="minorHAnsi"/>
          <w:sz w:val="22"/>
          <w:szCs w:val="22"/>
        </w:rPr>
        <w:t xml:space="preserve">od podpisu Smlouva do </w:t>
      </w:r>
      <w:r w:rsidR="00141FB1" w:rsidRPr="0049114A">
        <w:rPr>
          <w:rFonts w:ascii="Cambria" w:hAnsi="Cambria" w:cstheme="minorHAnsi"/>
          <w:sz w:val="22"/>
          <w:szCs w:val="22"/>
        </w:rPr>
        <w:t>nabytí její účinnosti</w:t>
      </w:r>
      <w:r w:rsidRPr="007A3EDD">
        <w:rPr>
          <w:rFonts w:ascii="Cambria" w:hAnsi="Cambria" w:cstheme="minorHAnsi"/>
          <w:sz w:val="22"/>
          <w:szCs w:val="22"/>
        </w:rPr>
        <w:t xml:space="preserve"> došlo </w:t>
      </w:r>
      <w:r w:rsidR="00767A92" w:rsidRPr="007A3EDD">
        <w:rPr>
          <w:rFonts w:ascii="Cambria" w:hAnsi="Cambria" w:cstheme="minorHAnsi"/>
          <w:sz w:val="22"/>
          <w:szCs w:val="22"/>
        </w:rPr>
        <w:t>ke vzájemnému bezdůvodnému obohacení smluvních stran, a to ve smyslu ust.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141FB1">
        <w:rPr>
          <w:rFonts w:ascii="Cambria" w:hAnsi="Cambria" w:cstheme="minorHAnsi"/>
          <w:sz w:val="22"/>
          <w:szCs w:val="22"/>
        </w:rPr>
        <w:t>Partner</w:t>
      </w:r>
      <w:r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obohatil o </w:t>
      </w:r>
      <w:r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357DDB">
        <w:rPr>
          <w:rFonts w:ascii="Cambria" w:hAnsi="Cambria" w:cstheme="minorHAnsi"/>
          <w:sz w:val="22"/>
          <w:szCs w:val="22"/>
        </w:rPr>
        <w:t>Nadac</w:t>
      </w:r>
      <w:r w:rsidR="00AA3CA4">
        <w:rPr>
          <w:rFonts w:ascii="Cambria" w:hAnsi="Cambria" w:cstheme="minorHAnsi"/>
          <w:sz w:val="22"/>
          <w:szCs w:val="22"/>
        </w:rPr>
        <w:t>í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8C1445">
        <w:rPr>
          <w:rFonts w:ascii="Cambria" w:hAnsi="Cambria" w:cstheme="minorHAnsi"/>
          <w:sz w:val="22"/>
          <w:szCs w:val="22"/>
        </w:rPr>
        <w:t>275.000 Kč bez DPH (částku 332.750 Kč, včetně DPH)</w:t>
      </w:r>
      <w:r w:rsidR="007024FC">
        <w:rPr>
          <w:rFonts w:ascii="Cambria" w:hAnsi="Cambria" w:cstheme="minorHAnsi"/>
          <w:sz w:val="22"/>
          <w:szCs w:val="22"/>
        </w:rPr>
        <w:t xml:space="preserve">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se obohatil</w:t>
      </w:r>
      <w:r w:rsidR="00141FB1">
        <w:rPr>
          <w:rFonts w:ascii="Cambria" w:hAnsi="Cambria" w:cstheme="minorHAnsi"/>
          <w:sz w:val="22"/>
          <w:szCs w:val="22"/>
        </w:rPr>
        <w:t>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plněním </w:t>
      </w:r>
      <w:r w:rsidR="00AA3CA4">
        <w:rPr>
          <w:rFonts w:ascii="Cambria" w:hAnsi="Cambria" w:cstheme="minorHAnsi"/>
          <w:sz w:val="22"/>
          <w:szCs w:val="22"/>
        </w:rPr>
        <w:t>Partnera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Pr="007A3EDD">
        <w:rPr>
          <w:rFonts w:ascii="Cambria" w:hAnsi="Cambria" w:cstheme="minorHAnsi"/>
          <w:sz w:val="22"/>
          <w:szCs w:val="22"/>
        </w:rPr>
        <w:t xml:space="preserve"> úhradě finančního </w:t>
      </w:r>
      <w:r w:rsidR="004D6CC8">
        <w:rPr>
          <w:rFonts w:ascii="Cambria" w:hAnsi="Cambria" w:cstheme="minorHAnsi"/>
          <w:sz w:val="22"/>
          <w:szCs w:val="22"/>
        </w:rPr>
        <w:t>plnění dle Faktury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4D6CC8">
        <w:rPr>
          <w:rFonts w:ascii="Cambria" w:hAnsi="Cambria" w:cstheme="minorHAnsi"/>
          <w:sz w:val="22"/>
          <w:szCs w:val="22"/>
        </w:rPr>
        <w:t xml:space="preserve">ve výši </w:t>
      </w:r>
      <w:r w:rsidR="008C1445">
        <w:rPr>
          <w:rFonts w:ascii="Cambria" w:hAnsi="Cambria" w:cstheme="minorHAnsi"/>
          <w:sz w:val="22"/>
          <w:szCs w:val="22"/>
        </w:rPr>
        <w:t>275.000 Kč bez DPH (částku 332.750 Kč, včetně DPH)</w:t>
      </w:r>
      <w:r w:rsidR="004D6CC8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4DC07DE0" w14:textId="77777777" w:rsidR="006E683E" w:rsidRPr="007A3EDD" w:rsidRDefault="006E683E" w:rsidP="006E683E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ust.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ust. § 1982 odst. 2 občanského zákoníku oba nároky v důsledku započtení zanikají. </w:t>
      </w:r>
    </w:p>
    <w:p w14:paraId="20EE5A8D" w14:textId="6AC83A7B" w:rsidR="00FA4AA2" w:rsidRPr="007A3EDD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726B7713" w14:textId="26215386" w:rsidR="000548F3" w:rsidRPr="007A3EDD" w:rsidRDefault="000548F3" w:rsidP="00F51263">
      <w:p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20C3846D" w14:textId="77777777" w:rsidR="005152D9" w:rsidRPr="007A3EDD" w:rsidRDefault="005152D9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Nedílnou součástí této dohody jsou níže uvedené přílohy:</w:t>
      </w:r>
    </w:p>
    <w:p w14:paraId="07BC1BDF" w14:textId="55D847D1" w:rsidR="005152D9" w:rsidRPr="007A3EDD" w:rsidRDefault="005152D9" w:rsidP="005152D9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Příloha č. 1 – </w:t>
      </w:r>
      <w:r w:rsidR="003A61A5">
        <w:rPr>
          <w:rFonts w:ascii="Cambria" w:hAnsi="Cambria" w:cstheme="minorHAnsi"/>
          <w:sz w:val="22"/>
          <w:szCs w:val="22"/>
        </w:rPr>
        <w:t>Smlouva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dne 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68556870" w:rsidR="00E271F1" w:rsidRPr="007A3EDD" w:rsidRDefault="00A004EC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>
        <w:rPr>
          <w:rFonts w:ascii="Cambria" w:eastAsia="Verdana" w:hAnsi="Cambria"/>
          <w:color w:val="000000"/>
          <w:sz w:val="22"/>
          <w:szCs w:val="22"/>
        </w:rPr>
        <w:t>Partner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5844D1F3" w:rsidR="007A3EDD" w:rsidRPr="007A3EDD" w:rsidRDefault="00E271F1" w:rsidP="00C33B3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4" w:hanging="4956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C33B3B" w:rsidRPr="00C33B3B">
        <w:rPr>
          <w:rFonts w:ascii="Cambria" w:eastAsia="Verdana" w:hAnsi="Cambria"/>
          <w:color w:val="000000"/>
          <w:sz w:val="22"/>
          <w:szCs w:val="22"/>
        </w:rPr>
        <w:t>Nadace pro rozvoj architektury a stavitelství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EF62" w14:textId="77777777" w:rsidR="007678F2" w:rsidRDefault="007678F2" w:rsidP="00E25414">
      <w:r>
        <w:separator/>
      </w:r>
    </w:p>
  </w:endnote>
  <w:endnote w:type="continuationSeparator" w:id="0">
    <w:p w14:paraId="57BA87E1" w14:textId="77777777" w:rsidR="007678F2" w:rsidRDefault="007678F2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7708" w14:textId="77777777" w:rsidR="007678F2" w:rsidRDefault="007678F2" w:rsidP="00E25414">
      <w:r>
        <w:separator/>
      </w:r>
    </w:p>
  </w:footnote>
  <w:footnote w:type="continuationSeparator" w:id="0">
    <w:p w14:paraId="619E030A" w14:textId="77777777" w:rsidR="007678F2" w:rsidRDefault="007678F2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0F0CC4"/>
    <w:rsid w:val="00104484"/>
    <w:rsid w:val="00107E7D"/>
    <w:rsid w:val="00122185"/>
    <w:rsid w:val="0012675F"/>
    <w:rsid w:val="00141FB1"/>
    <w:rsid w:val="0016188D"/>
    <w:rsid w:val="00164FE3"/>
    <w:rsid w:val="00171663"/>
    <w:rsid w:val="00174122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225C"/>
    <w:rsid w:val="002A077D"/>
    <w:rsid w:val="002D10DB"/>
    <w:rsid w:val="002E70EF"/>
    <w:rsid w:val="00315B61"/>
    <w:rsid w:val="00357DDB"/>
    <w:rsid w:val="00376CE6"/>
    <w:rsid w:val="003A61A5"/>
    <w:rsid w:val="003B5036"/>
    <w:rsid w:val="003B6705"/>
    <w:rsid w:val="003E5655"/>
    <w:rsid w:val="004223B9"/>
    <w:rsid w:val="004557F3"/>
    <w:rsid w:val="0046020F"/>
    <w:rsid w:val="00465FAE"/>
    <w:rsid w:val="00485754"/>
    <w:rsid w:val="0049114A"/>
    <w:rsid w:val="004D6CC8"/>
    <w:rsid w:val="004F2D84"/>
    <w:rsid w:val="00505832"/>
    <w:rsid w:val="005152D9"/>
    <w:rsid w:val="00544EB9"/>
    <w:rsid w:val="00563BCF"/>
    <w:rsid w:val="00564557"/>
    <w:rsid w:val="00587C65"/>
    <w:rsid w:val="005935A1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36C1"/>
    <w:rsid w:val="00694773"/>
    <w:rsid w:val="006966E5"/>
    <w:rsid w:val="006D5DB6"/>
    <w:rsid w:val="006D7571"/>
    <w:rsid w:val="006D7BC6"/>
    <w:rsid w:val="006E0136"/>
    <w:rsid w:val="006E10EF"/>
    <w:rsid w:val="006E3A12"/>
    <w:rsid w:val="006E4058"/>
    <w:rsid w:val="006E683E"/>
    <w:rsid w:val="007024FC"/>
    <w:rsid w:val="007518F2"/>
    <w:rsid w:val="007678F2"/>
    <w:rsid w:val="00767A92"/>
    <w:rsid w:val="00775905"/>
    <w:rsid w:val="00783E91"/>
    <w:rsid w:val="00784073"/>
    <w:rsid w:val="007975AA"/>
    <w:rsid w:val="007A071F"/>
    <w:rsid w:val="007A3EDD"/>
    <w:rsid w:val="007A41B9"/>
    <w:rsid w:val="007F0D81"/>
    <w:rsid w:val="00807028"/>
    <w:rsid w:val="00812BED"/>
    <w:rsid w:val="00826350"/>
    <w:rsid w:val="00860431"/>
    <w:rsid w:val="008607DD"/>
    <w:rsid w:val="008745AA"/>
    <w:rsid w:val="00895651"/>
    <w:rsid w:val="008A5B94"/>
    <w:rsid w:val="008B1453"/>
    <w:rsid w:val="008B4552"/>
    <w:rsid w:val="008C1445"/>
    <w:rsid w:val="008C5E0C"/>
    <w:rsid w:val="008E6208"/>
    <w:rsid w:val="008F4DAF"/>
    <w:rsid w:val="009062E0"/>
    <w:rsid w:val="00936968"/>
    <w:rsid w:val="00960572"/>
    <w:rsid w:val="00964772"/>
    <w:rsid w:val="00981BBA"/>
    <w:rsid w:val="00982B3D"/>
    <w:rsid w:val="00990086"/>
    <w:rsid w:val="009C4DC0"/>
    <w:rsid w:val="009F2D7E"/>
    <w:rsid w:val="00A004EC"/>
    <w:rsid w:val="00A00FA9"/>
    <w:rsid w:val="00A13C89"/>
    <w:rsid w:val="00A1677D"/>
    <w:rsid w:val="00A31836"/>
    <w:rsid w:val="00A378B6"/>
    <w:rsid w:val="00A407A7"/>
    <w:rsid w:val="00A40A31"/>
    <w:rsid w:val="00A42A6A"/>
    <w:rsid w:val="00A5236E"/>
    <w:rsid w:val="00A77AC8"/>
    <w:rsid w:val="00AA3CA4"/>
    <w:rsid w:val="00AB1B7E"/>
    <w:rsid w:val="00AB4335"/>
    <w:rsid w:val="00AC3498"/>
    <w:rsid w:val="00AC614C"/>
    <w:rsid w:val="00B07736"/>
    <w:rsid w:val="00B23004"/>
    <w:rsid w:val="00B540CB"/>
    <w:rsid w:val="00B8230A"/>
    <w:rsid w:val="00B918B8"/>
    <w:rsid w:val="00BA1949"/>
    <w:rsid w:val="00BA3A97"/>
    <w:rsid w:val="00BB0EF2"/>
    <w:rsid w:val="00BC5855"/>
    <w:rsid w:val="00BE632C"/>
    <w:rsid w:val="00BE6A66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33B3B"/>
    <w:rsid w:val="00CA154B"/>
    <w:rsid w:val="00CE6E62"/>
    <w:rsid w:val="00CF0738"/>
    <w:rsid w:val="00CF13E7"/>
    <w:rsid w:val="00CF2539"/>
    <w:rsid w:val="00CF350C"/>
    <w:rsid w:val="00D0255F"/>
    <w:rsid w:val="00D06464"/>
    <w:rsid w:val="00D14E0B"/>
    <w:rsid w:val="00D80078"/>
    <w:rsid w:val="00D873C6"/>
    <w:rsid w:val="00D912BF"/>
    <w:rsid w:val="00DC1A64"/>
    <w:rsid w:val="00DC427A"/>
    <w:rsid w:val="00DC6FBC"/>
    <w:rsid w:val="00DD23B4"/>
    <w:rsid w:val="00DE1584"/>
    <w:rsid w:val="00E118D1"/>
    <w:rsid w:val="00E21139"/>
    <w:rsid w:val="00E244BF"/>
    <w:rsid w:val="00E25414"/>
    <w:rsid w:val="00E271F1"/>
    <w:rsid w:val="00E42035"/>
    <w:rsid w:val="00E469C6"/>
    <w:rsid w:val="00E60005"/>
    <w:rsid w:val="00E75146"/>
    <w:rsid w:val="00E75264"/>
    <w:rsid w:val="00EC44B4"/>
    <w:rsid w:val="00ED0722"/>
    <w:rsid w:val="00EF253A"/>
    <w:rsid w:val="00F2097A"/>
    <w:rsid w:val="00F36E88"/>
    <w:rsid w:val="00F44FAB"/>
    <w:rsid w:val="00F476A0"/>
    <w:rsid w:val="00F51263"/>
    <w:rsid w:val="00F54E28"/>
    <w:rsid w:val="00F63EB4"/>
    <w:rsid w:val="00F85855"/>
    <w:rsid w:val="00FA4AA2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Michal Svatoň</cp:lastModifiedBy>
  <cp:revision>43</cp:revision>
  <cp:lastPrinted>2018-11-22T14:41:00Z</cp:lastPrinted>
  <dcterms:created xsi:type="dcterms:W3CDTF">2023-06-19T10:09:00Z</dcterms:created>
  <dcterms:modified xsi:type="dcterms:W3CDTF">2023-12-21T06:43:00Z</dcterms:modified>
</cp:coreProperties>
</file>