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DBD9" w14:textId="5B094C59" w:rsidR="00727A01" w:rsidRDefault="00727A01" w:rsidP="00727A01">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Pr>
          <w:rFonts w:ascii="Times New Roman" w:hAnsi="Times New Roman" w:cs="Times New Roman"/>
          <w:b/>
          <w:bCs/>
          <w:color w:val="000000"/>
          <w:sz w:val="32"/>
          <w:szCs w:val="32"/>
        </w:rPr>
        <w:t xml:space="preserve">MLOUVA č. </w:t>
      </w:r>
      <w:r>
        <w:rPr>
          <w:rFonts w:ascii="Times New Roman" w:hAnsi="Times New Roman" w:cs="Times New Roman"/>
          <w:b/>
          <w:bCs/>
          <w:color w:val="000000"/>
          <w:sz w:val="32"/>
          <w:szCs w:val="32"/>
        </w:rPr>
        <w:t>23196</w:t>
      </w:r>
    </w:p>
    <w:p w14:paraId="622CD7A4" w14:textId="77777777" w:rsidR="00727A01" w:rsidRPr="00735790" w:rsidRDefault="00727A01" w:rsidP="00727A01">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(dále jen „smlouva“)</w:t>
      </w:r>
    </w:p>
    <w:p w14:paraId="6D59972D" w14:textId="77777777" w:rsidR="00727A01" w:rsidRPr="00A61714" w:rsidRDefault="00727A01" w:rsidP="00727A01">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 xml:space="preserve">níže uvedeného dne, měsíce a roku v souladu příslušnými ustanoveními obecně závazných právních předpisů, zejména s </w:t>
      </w:r>
      <w:proofErr w:type="spellStart"/>
      <w:r w:rsidRPr="005E32E1">
        <w:rPr>
          <w:rFonts w:ascii="Times New Roman" w:hAnsi="Times New Roman" w:cs="Verdana"/>
          <w:color w:val="000000"/>
          <w:sz w:val="20"/>
          <w:szCs w:val="20"/>
        </w:rPr>
        <w:t>ust</w:t>
      </w:r>
      <w:proofErr w:type="spellEnd"/>
      <w:r w:rsidRPr="005E32E1">
        <w:rPr>
          <w:rFonts w:ascii="Times New Roman" w:hAnsi="Times New Roman" w:cs="Verdana"/>
          <w:color w:val="000000"/>
          <w:sz w:val="20"/>
          <w:szCs w:val="20"/>
        </w:rPr>
        <w:t>. § 2430 a násl. zákona č. 89/2012 Sb. občanského zákoníku,</w:t>
      </w:r>
      <w:r w:rsidRPr="005E32E1">
        <w:rPr>
          <w:rFonts w:ascii="Times New Roman" w:hAnsi="Times New Roman" w:cs="Verdana"/>
          <w:color w:val="000000"/>
          <w:sz w:val="20"/>
          <w:szCs w:val="20"/>
        </w:rPr>
        <w:br/>
        <w:t>ve znění pozdějších předpisů (dále jen „OZ“), uzavřená mezi:</w:t>
      </w:r>
    </w:p>
    <w:p w14:paraId="21098911" w14:textId="77777777" w:rsidR="00727A01" w:rsidRPr="00915371" w:rsidRDefault="00727A01" w:rsidP="00727A01">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05DC246D" w14:textId="77777777" w:rsidR="00727A01" w:rsidRPr="00915371" w:rsidRDefault="00727A01" w:rsidP="00727A0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696E1581" w14:textId="77777777" w:rsidR="00727A01" w:rsidRDefault="00727A01" w:rsidP="00727A01">
      <w:pPr>
        <w:widowControl w:val="0"/>
        <w:tabs>
          <w:tab w:val="left" w:pos="9638"/>
        </w:tabs>
        <w:autoSpaceDE w:val="0"/>
        <w:ind w:right="567"/>
        <w:rPr>
          <w:rFonts w:ascii="Times New Roman" w:hAnsi="Times New Roman" w:cs="Times New Roman"/>
          <w:color w:val="000000"/>
        </w:rPr>
      </w:pPr>
    </w:p>
    <w:p w14:paraId="3F3BE0A3" w14:textId="77777777" w:rsidR="00727A01" w:rsidRDefault="00727A01" w:rsidP="00727A01">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7725A0D5" w14:textId="77777777" w:rsidR="00727A01" w:rsidRPr="00657640" w:rsidRDefault="00727A01" w:rsidP="00727A01">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w:t>
      </w:r>
      <w:proofErr w:type="gramStart"/>
      <w:r w:rsidRPr="00657640">
        <w:rPr>
          <w:b/>
          <w:bCs/>
          <w:sz w:val="22"/>
          <w:szCs w:val="22"/>
        </w:rPr>
        <w:t>2b</w:t>
      </w:r>
      <w:proofErr w:type="gramEnd"/>
      <w:r w:rsidRPr="00657640">
        <w:rPr>
          <w:b/>
          <w:bCs/>
          <w:sz w:val="22"/>
          <w:szCs w:val="22"/>
        </w:rPr>
        <w:t xml:space="preserve"> ze dne 19. 11. 1991, </w:t>
      </w:r>
    </w:p>
    <w:p w14:paraId="7998007D" w14:textId="77777777" w:rsidR="00727A01" w:rsidRDefault="00727A01" w:rsidP="00727A01">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5757B804" w14:textId="77777777" w:rsidR="00727A01" w:rsidRDefault="00727A01" w:rsidP="00727A01">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00839060</w:t>
      </w:r>
    </w:p>
    <w:p w14:paraId="5B3B4DFD" w14:textId="77777777" w:rsidR="00727A01" w:rsidRDefault="00727A01" w:rsidP="00727A01">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zastoupená ředitelem organizace: Bc. Marek Vodák</w:t>
      </w:r>
    </w:p>
    <w:p w14:paraId="0D2BC944" w14:textId="77777777" w:rsidR="00727A01" w:rsidRDefault="00727A01" w:rsidP="00727A01">
      <w:pPr>
        <w:pStyle w:val="Normlnweb"/>
        <w:tabs>
          <w:tab w:val="left" w:pos="9638"/>
        </w:tabs>
        <w:spacing w:before="0" w:beforeAutospacing="0" w:after="0" w:line="240" w:lineRule="auto"/>
      </w:pPr>
    </w:p>
    <w:p w14:paraId="63D4EDD3" w14:textId="77777777" w:rsidR="00727A01" w:rsidRDefault="00727A01" w:rsidP="00727A01">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„příkazce“</w:t>
      </w:r>
    </w:p>
    <w:p w14:paraId="7AB4935C" w14:textId="77777777" w:rsidR="00727A01" w:rsidRDefault="00727A01" w:rsidP="00727A01">
      <w:pPr>
        <w:widowControl w:val="0"/>
        <w:tabs>
          <w:tab w:val="left" w:pos="9638"/>
        </w:tabs>
        <w:autoSpaceDE w:val="0"/>
        <w:ind w:right="567"/>
        <w:rPr>
          <w:rFonts w:ascii="Times New Roman" w:hAnsi="Times New Roman" w:cs="Times New Roman"/>
          <w:color w:val="000000"/>
        </w:rPr>
      </w:pPr>
    </w:p>
    <w:p w14:paraId="7C863D35" w14:textId="77777777" w:rsidR="00727A01" w:rsidRDefault="00727A01" w:rsidP="00727A01">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44E72625" w14:textId="77777777" w:rsidR="00727A01" w:rsidRDefault="00727A01" w:rsidP="00727A01">
      <w:pPr>
        <w:widowControl w:val="0"/>
        <w:tabs>
          <w:tab w:val="left" w:pos="9638"/>
        </w:tabs>
        <w:autoSpaceDE w:val="0"/>
        <w:ind w:right="567"/>
        <w:rPr>
          <w:rFonts w:ascii="Times New Roman" w:hAnsi="Times New Roman" w:cs="Times New Roman"/>
          <w:color w:val="000000"/>
        </w:rPr>
      </w:pPr>
    </w:p>
    <w:p w14:paraId="72AF3813" w14:textId="77777777" w:rsidR="00727A01" w:rsidRPr="00A85904" w:rsidRDefault="00727A01" w:rsidP="00727A01">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 xml:space="preserve">Vojtěch </w:t>
      </w:r>
      <w:proofErr w:type="spellStart"/>
      <w:r>
        <w:rPr>
          <w:rFonts w:ascii="Times New Roman" w:hAnsi="Times New Roman" w:cs="Times New Roman"/>
          <w:color w:val="000000"/>
          <w:lang w:eastAsia="cs-CZ"/>
        </w:rPr>
        <w:t>Mrňa</w:t>
      </w:r>
      <w:proofErr w:type="spellEnd"/>
    </w:p>
    <w:p w14:paraId="47071A8D" w14:textId="77777777" w:rsidR="00727A01" w:rsidRPr="00A85904" w:rsidRDefault="00727A01" w:rsidP="00727A01">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se sídlem: </w:t>
      </w:r>
      <w:r>
        <w:rPr>
          <w:rFonts w:ascii="Times New Roman" w:hAnsi="Times New Roman" w:cs="Times New Roman"/>
          <w:color w:val="000000"/>
          <w:lang w:eastAsia="cs-CZ"/>
        </w:rPr>
        <w:t>Loucká 2682/40, 671 81 Znojmo</w:t>
      </w:r>
    </w:p>
    <w:p w14:paraId="7692718E" w14:textId="77777777" w:rsidR="00727A01" w:rsidRDefault="00727A01" w:rsidP="00727A01">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Pr>
          <w:rFonts w:ascii="Times New Roman" w:hAnsi="Times New Roman" w:cs="Times New Roman"/>
          <w:color w:val="000000"/>
          <w:lang w:eastAsia="cs-CZ"/>
        </w:rPr>
        <w:t>06521118</w:t>
      </w:r>
    </w:p>
    <w:p w14:paraId="6B1B48B9" w14:textId="77777777" w:rsidR="00727A01" w:rsidRPr="00A85904" w:rsidRDefault="00727A01" w:rsidP="00727A01">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10C1D007" w14:textId="77777777" w:rsidR="00727A01" w:rsidRDefault="00727A01" w:rsidP="00727A01">
      <w:pPr>
        <w:widowControl w:val="0"/>
        <w:tabs>
          <w:tab w:val="left" w:pos="9638"/>
        </w:tabs>
        <w:autoSpaceDE w:val="0"/>
        <w:ind w:right="567"/>
        <w:rPr>
          <w:rFonts w:ascii="Times New Roman" w:hAnsi="Times New Roman" w:cs="Times New Roman"/>
          <w:color w:val="000000"/>
          <w:lang w:eastAsia="cs-CZ"/>
        </w:rPr>
      </w:pPr>
    </w:p>
    <w:p w14:paraId="765668E4" w14:textId="77777777" w:rsidR="00727A01" w:rsidRDefault="00727A01" w:rsidP="00727A01">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 „</w:t>
      </w:r>
      <w:r>
        <w:rPr>
          <w:rFonts w:ascii="Times New Roman" w:hAnsi="Times New Roman" w:cs="Times New Roman"/>
          <w:i/>
          <w:iCs/>
          <w:color w:val="000000"/>
        </w:rPr>
        <w:t xml:space="preserve">příkazník“ </w:t>
      </w:r>
    </w:p>
    <w:p w14:paraId="6C02F68D" w14:textId="77777777" w:rsidR="00727A01" w:rsidRDefault="00727A01" w:rsidP="00727A0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48B965A6" w14:textId="77777777" w:rsidR="00727A01" w:rsidRPr="005E32E1" w:rsidRDefault="00727A01" w:rsidP="00727A0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společně též jako </w:t>
      </w:r>
      <w:r>
        <w:rPr>
          <w:rFonts w:ascii="Times New Roman" w:hAnsi="Times New Roman" w:cs="Times New Roman"/>
          <w:i/>
          <w:iCs/>
          <w:color w:val="000000"/>
        </w:rPr>
        <w:t>„smluvní strany“</w:t>
      </w:r>
    </w:p>
    <w:p w14:paraId="0B7D76D6" w14:textId="77777777" w:rsidR="00727A01" w:rsidRDefault="00727A01" w:rsidP="00727A01">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II</w:t>
      </w:r>
    </w:p>
    <w:p w14:paraId="6744A7F0" w14:textId="77777777" w:rsidR="00727A01" w:rsidRDefault="00727A01" w:rsidP="00727A01">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4FEB84DE" w14:textId="77777777" w:rsidR="00727A01" w:rsidRPr="00220A20" w:rsidRDefault="00727A01" w:rsidP="00727A01">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cs="Times New Roman"/>
          <w:color w:val="000000"/>
        </w:rPr>
        <w:t>Město Znojmo je mimo jiné, výlučným vlastníkem:</w:t>
      </w:r>
    </w:p>
    <w:p w14:paraId="19551AF5" w14:textId="77777777" w:rsidR="00727A01" w:rsidRDefault="00727A01" w:rsidP="00727A01">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pozemek </w:t>
      </w:r>
      <w:proofErr w:type="spellStart"/>
      <w:r>
        <w:rPr>
          <w:rFonts w:ascii="Times New Roman" w:eastAsia="Times New Roman" w:hAnsi="Times New Roman" w:cs="Times New Roman"/>
          <w:kern w:val="0"/>
          <w:lang w:eastAsia="cs-CZ" w:bidi="ar-SA"/>
        </w:rPr>
        <w:t>parc</w:t>
      </w:r>
      <w:proofErr w:type="spellEnd"/>
      <w:r>
        <w:rPr>
          <w:rFonts w:ascii="Times New Roman" w:eastAsia="Times New Roman" w:hAnsi="Times New Roman" w:cs="Times New Roman"/>
          <w:kern w:val="0"/>
          <w:lang w:eastAsia="cs-CZ" w:bidi="ar-SA"/>
        </w:rPr>
        <w:t xml:space="preserve">. č. 2155/1 – sportoviště a rekreační plocha o výměře </w:t>
      </w:r>
      <w:proofErr w:type="gramStart"/>
      <w:r>
        <w:rPr>
          <w:rFonts w:ascii="Times New Roman" w:eastAsia="Times New Roman" w:hAnsi="Times New Roman" w:cs="Times New Roman"/>
          <w:kern w:val="0"/>
          <w:lang w:eastAsia="cs-CZ" w:bidi="ar-SA"/>
        </w:rPr>
        <w:t>15331m</w:t>
      </w:r>
      <w:r w:rsidRPr="003817FA">
        <w:rPr>
          <w:rFonts w:ascii="Times New Roman" w:eastAsia="Times New Roman" w:hAnsi="Times New Roman" w:cs="Times New Roman"/>
          <w:kern w:val="0"/>
          <w:vertAlign w:val="superscript"/>
          <w:lang w:eastAsia="cs-CZ" w:bidi="ar-SA"/>
        </w:rPr>
        <w:t>2</w:t>
      </w:r>
      <w:proofErr w:type="gramEnd"/>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w:t>
      </w:r>
      <w:r w:rsidRPr="005F69CB">
        <w:rPr>
          <w:rFonts w:ascii="Times New Roman" w:eastAsia="Times New Roman" w:hAnsi="Times New Roman" w:cs="Times New Roman"/>
          <w:kern w:val="0"/>
          <w:lang w:eastAsia="cs-CZ" w:bidi="ar-SA"/>
        </w:rPr>
        <w:t>otbalové hřiště Městský stadion v Horním parku</w:t>
      </w:r>
      <w:r>
        <w:rPr>
          <w:rFonts w:ascii="Times New Roman" w:eastAsia="Times New Roman" w:hAnsi="Times New Roman" w:cs="Times New Roman"/>
          <w:kern w:val="0"/>
          <w:lang w:eastAsia="cs-CZ" w:bidi="ar-SA"/>
        </w:rPr>
        <w:t>;</w:t>
      </w:r>
    </w:p>
    <w:p w14:paraId="70F7E877" w14:textId="77777777" w:rsidR="00727A01" w:rsidRDefault="00727A01" w:rsidP="00727A01">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1269/1 – sportoviště a rekreační plocha o výměře 9541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p>
    <w:p w14:paraId="719E17A9" w14:textId="77777777" w:rsidR="00727A01" w:rsidRDefault="00727A01" w:rsidP="00727A01">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 pozemek par. č. 31/1 – zeleň o výměře 20752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č. 10001 pro katastrální území Znojmo – Louka, okres Znojmo, Katastrální úřad pro Jihomoravský kraj, Katastrální pracoviště Znojmo – tzv. Plovárna Louka;</w:t>
      </w:r>
    </w:p>
    <w:p w14:paraId="58FEA71A" w14:textId="77777777" w:rsidR="00727A01" w:rsidRDefault="00727A01" w:rsidP="00727A01">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97/2 – jiná plocha o výměře 2045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 xml:space="preserve">č. 10001 pro katastrální území </w:t>
      </w:r>
      <w:proofErr w:type="spellStart"/>
      <w:r>
        <w:rPr>
          <w:rFonts w:ascii="Times New Roman" w:eastAsia="Times New Roman" w:hAnsi="Times New Roman" w:cs="Times New Roman"/>
          <w:kern w:val="0"/>
          <w:lang w:eastAsia="cs-CZ" w:bidi="ar-SA"/>
        </w:rPr>
        <w:t>Mramotice</w:t>
      </w:r>
      <w:proofErr w:type="spellEnd"/>
      <w:r>
        <w:rPr>
          <w:rFonts w:ascii="Times New Roman" w:eastAsia="Times New Roman" w:hAnsi="Times New Roman" w:cs="Times New Roman"/>
          <w:kern w:val="0"/>
          <w:lang w:eastAsia="cs-CZ" w:bidi="ar-SA"/>
        </w:rPr>
        <w:t>, okres Znojmo, Katastrální úřad pro Jihomoravský kraj, Katastrální pracoviště Znojmo,</w:t>
      </w:r>
    </w:p>
    <w:p w14:paraId="3C5D8243" w14:textId="77777777" w:rsidR="00727A01" w:rsidRDefault="00727A01" w:rsidP="00727A01">
      <w:pPr>
        <w:pStyle w:val="Odstavecseseznamem"/>
        <w:spacing w:before="120"/>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97/3 – jiná plocha o výměře 499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p>
    <w:p w14:paraId="6A5B1ACE" w14:textId="77777777" w:rsidR="00727A01" w:rsidRPr="00220A20" w:rsidRDefault="00727A01" w:rsidP="00727A01">
      <w:pPr>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 – jiná plocha o výměře 835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r>
        <w:rPr>
          <w:rFonts w:ascii="Times New Roman" w:eastAsia="Times New Roman" w:hAnsi="Times New Roman" w:cs="Times New Roman"/>
          <w:kern w:val="0"/>
          <w:lang w:eastAsia="cs-CZ" w:bidi="ar-SA"/>
        </w:rPr>
        <w:t xml:space="preserve"> – tzv. Plovárna </w:t>
      </w:r>
      <w:proofErr w:type="spellStart"/>
      <w:r>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w:t>
      </w:r>
    </w:p>
    <w:p w14:paraId="44204234" w14:textId="77777777" w:rsidR="00727A01" w:rsidRDefault="00727A01" w:rsidP="00727A01">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 xml:space="preserve">Správa nemovitostí města Znojma, příspěvková organizace, je organizací města Znojma, které byla na základě Zřizovací listiny a komisionářské smlouvy mimo jiné svěřeny do obhospodařování pozemky </w:t>
      </w:r>
      <w:proofErr w:type="spellStart"/>
      <w:r>
        <w:rPr>
          <w:rFonts w:ascii="Times New Roman" w:hAnsi="Times New Roman"/>
        </w:rPr>
        <w:t>spec</w:t>
      </w:r>
      <w:proofErr w:type="spellEnd"/>
      <w:r>
        <w:rPr>
          <w:rFonts w:ascii="Times New Roman" w:hAnsi="Times New Roman"/>
        </w:rPr>
        <w:t>. v čl. II odst. 1.</w:t>
      </w:r>
    </w:p>
    <w:p w14:paraId="249897EA" w14:textId="77777777" w:rsidR="00727A01" w:rsidRDefault="00727A01" w:rsidP="00727A01">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Příkazník prohlašuje, že je v souladu se svým živnostenským oprávněním, plně způsobilý k výkonu činností uvedených v čl. III této smlouvy.</w:t>
      </w:r>
    </w:p>
    <w:p w14:paraId="0D08A961" w14:textId="77777777" w:rsidR="00727A01" w:rsidRPr="00220A20" w:rsidRDefault="00727A01" w:rsidP="00727A01">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r>
        <w:rPr>
          <w:rFonts w:ascii="Times New Roman" w:hAnsi="Times New Roman" w:cs="Times New Roman"/>
          <w:b/>
          <w:bCs/>
          <w:color w:val="000000"/>
        </w:rPr>
        <w:t>I</w:t>
      </w:r>
    </w:p>
    <w:p w14:paraId="205698A6" w14:textId="77777777" w:rsidR="00727A01" w:rsidRDefault="00727A01" w:rsidP="00727A01">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352AEACD" w14:textId="77777777" w:rsidR="00727A01" w:rsidRPr="002C0D96" w:rsidRDefault="00727A01" w:rsidP="00727A01">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 xml:space="preserve">Předmětem této smlouvy je zajištění </w:t>
      </w:r>
      <w:r w:rsidRPr="002C0D96">
        <w:rPr>
          <w:rFonts w:ascii="Times New Roman" w:hAnsi="Times New Roman" w:cs="Times New Roman"/>
          <w:color w:val="000000"/>
        </w:rPr>
        <w:t xml:space="preserve">odborného dohledu nad údržbou travnatých ploch pozemku </w:t>
      </w:r>
      <w:proofErr w:type="spellStart"/>
      <w:r w:rsidRPr="002C0D96">
        <w:rPr>
          <w:rFonts w:ascii="Times New Roman" w:hAnsi="Times New Roman" w:cs="Times New Roman"/>
          <w:color w:val="000000"/>
        </w:rPr>
        <w:t>spec</w:t>
      </w:r>
      <w:proofErr w:type="spellEnd"/>
      <w:r w:rsidRPr="002C0D96">
        <w:rPr>
          <w:rFonts w:ascii="Times New Roman" w:hAnsi="Times New Roman" w:cs="Times New Roman"/>
          <w:color w:val="000000"/>
        </w:rPr>
        <w:t xml:space="preserve">. v čl. II odst. 1, spočívající </w:t>
      </w:r>
      <w:r w:rsidRPr="002C0D96">
        <w:rPr>
          <w:rFonts w:ascii="Times New Roman" w:hAnsi="Times New Roman" w:cs="Times New Roman"/>
          <w:bCs/>
          <w:color w:val="000000"/>
        </w:rPr>
        <w:t>zejména v:</w:t>
      </w:r>
    </w:p>
    <w:p w14:paraId="4A7E93C9"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stanovení </w:t>
      </w:r>
      <w:r>
        <w:rPr>
          <w:rFonts w:ascii="Times New Roman" w:hAnsi="Times New Roman"/>
        </w:rPr>
        <w:t>plánu údržby;</w:t>
      </w:r>
    </w:p>
    <w:p w14:paraId="74F873A3"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hnojení</w:t>
      </w:r>
      <w:r>
        <w:rPr>
          <w:rFonts w:ascii="Times New Roman" w:hAnsi="Times New Roman"/>
        </w:rPr>
        <w:t>;</w:t>
      </w:r>
    </w:p>
    <w:p w14:paraId="7A792A73"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závlah</w:t>
      </w:r>
      <w:r>
        <w:rPr>
          <w:rFonts w:ascii="Times New Roman" w:hAnsi="Times New Roman"/>
        </w:rPr>
        <w:t>;</w:t>
      </w:r>
    </w:p>
    <w:p w14:paraId="155E6FE5"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kontrola plnění a kvality služeb údržby </w:t>
      </w:r>
      <w:r>
        <w:rPr>
          <w:rFonts w:ascii="Times New Roman" w:hAnsi="Times New Roman"/>
        </w:rPr>
        <w:t>poskytovaných třetími</w:t>
      </w:r>
      <w:r w:rsidRPr="008F238D">
        <w:rPr>
          <w:rFonts w:ascii="Times New Roman" w:hAnsi="Times New Roman"/>
        </w:rPr>
        <w:t xml:space="preserve"> stran</w:t>
      </w:r>
      <w:r>
        <w:rPr>
          <w:rFonts w:ascii="Times New Roman" w:hAnsi="Times New Roman"/>
        </w:rPr>
        <w:t>ami;</w:t>
      </w:r>
      <w:r>
        <w:rPr>
          <w:rFonts w:ascii="Times New Roman" w:hAnsi="Times New Roman"/>
        </w:rPr>
        <w:tab/>
      </w:r>
    </w:p>
    <w:p w14:paraId="62F7703E"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pravidelná kontrola stavu travnatých ploch</w:t>
      </w:r>
      <w:r>
        <w:rPr>
          <w:rFonts w:ascii="Times New Roman" w:hAnsi="Times New Roman"/>
        </w:rPr>
        <w:t>;</w:t>
      </w:r>
    </w:p>
    <w:p w14:paraId="4999E260"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identifikace rizik – plísní a návrhu odstranění</w:t>
      </w:r>
      <w:r>
        <w:rPr>
          <w:rFonts w:ascii="Times New Roman" w:hAnsi="Times New Roman"/>
        </w:rPr>
        <w:t>;</w:t>
      </w:r>
    </w:p>
    <w:p w14:paraId="2F8E4D46" w14:textId="77777777" w:rsidR="00727A01" w:rsidRPr="008F238D"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kontrola stavu techniky zajišťující údržbu travnatých ploch</w:t>
      </w:r>
      <w:r>
        <w:rPr>
          <w:rFonts w:ascii="Times New Roman" w:hAnsi="Times New Roman"/>
        </w:rPr>
        <w:t>;</w:t>
      </w:r>
    </w:p>
    <w:p w14:paraId="01374C74" w14:textId="77777777" w:rsidR="00727A01" w:rsidRDefault="00727A01" w:rsidP="00727A01">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návrh řešení údržby v delším </w:t>
      </w:r>
      <w:r>
        <w:rPr>
          <w:rFonts w:ascii="Times New Roman" w:hAnsi="Times New Roman"/>
        </w:rPr>
        <w:t xml:space="preserve">časovém </w:t>
      </w:r>
      <w:r w:rsidRPr="008F238D">
        <w:rPr>
          <w:rFonts w:ascii="Times New Roman" w:hAnsi="Times New Roman"/>
        </w:rPr>
        <w:t>horizontu</w:t>
      </w:r>
      <w:r>
        <w:rPr>
          <w:rFonts w:ascii="Times New Roman" w:hAnsi="Times New Roman"/>
        </w:rPr>
        <w:t>.</w:t>
      </w:r>
    </w:p>
    <w:p w14:paraId="417C9F56" w14:textId="77777777" w:rsidR="00727A01" w:rsidRPr="00220A20" w:rsidRDefault="00727A01" w:rsidP="00727A01">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64F96BA0" w14:textId="77777777" w:rsidR="00727A01" w:rsidRDefault="00727A01" w:rsidP="00727A01">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FA2C612" w14:textId="77777777" w:rsidR="00727A01" w:rsidRPr="00A63A18" w:rsidRDefault="00727A01" w:rsidP="00727A01">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činnosti vykonává svým jménem, svými prostředky a na svůj účet a náklad, případné víc</w:t>
      </w:r>
      <w:r>
        <w:rPr>
          <w:rFonts w:ascii="Times New Roman" w:eastAsia="Times New Roman" w:hAnsi="Times New Roman" w:cs="Times New Roman"/>
          <w:color w:val="000000"/>
          <w:lang w:eastAsia="cs-CZ"/>
        </w:rPr>
        <w:t>enáklady jsou vždy zahrnuty jako</w:t>
      </w:r>
      <w:r w:rsidRPr="00A63A18">
        <w:rPr>
          <w:rFonts w:ascii="Times New Roman" w:eastAsia="Times New Roman" w:hAnsi="Times New Roman" w:cs="Times New Roman"/>
          <w:color w:val="000000"/>
          <w:lang w:eastAsia="cs-CZ"/>
        </w:rPr>
        <w:t xml:space="preserve"> součást paušálu odměny.</w:t>
      </w:r>
    </w:p>
    <w:p w14:paraId="32957E6D" w14:textId="77777777" w:rsidR="00727A01" w:rsidRPr="00A63A18" w:rsidRDefault="00727A01" w:rsidP="00727A01">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postupovat s odbornou péčí při plnění předmětu smlouvy v zájmu příkazce,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2C1FE5EE" w14:textId="77777777" w:rsidR="00727A01" w:rsidRPr="00A63A18" w:rsidRDefault="00727A01" w:rsidP="00727A01">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5EC49621" w14:textId="77777777" w:rsidR="00727A01" w:rsidRPr="00A63A18" w:rsidRDefault="00727A01" w:rsidP="00727A01">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36C05272" w14:textId="77777777" w:rsidR="00727A01" w:rsidRPr="00A63A18" w:rsidRDefault="00727A01" w:rsidP="00727A01">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 xml:space="preserve">Zjistí-li příkazník při zajišťování předmětu této </w:t>
      </w:r>
      <w:r>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způsobem, oznámí to neprodleně příkazci, se kterým se dohodne na odstranění daných překážek. </w:t>
      </w:r>
      <w:proofErr w:type="gramStart"/>
      <w:r w:rsidRPr="00A63A18">
        <w:rPr>
          <w:rFonts w:ascii="Times New Roman" w:eastAsia="Times New Roman" w:hAnsi="Times New Roman" w:cs="Times New Roman"/>
          <w:color w:val="000000"/>
          <w:lang w:eastAsia="cs-CZ"/>
        </w:rPr>
        <w:t>Nedohodnou</w:t>
      </w:r>
      <w:r>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proofErr w:type="gram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B27ACD2" w14:textId="77777777" w:rsidR="00727A01" w:rsidRPr="00A63A18" w:rsidRDefault="00727A01" w:rsidP="00727A01">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0C1D99C2" w14:textId="77777777" w:rsidR="00727A01" w:rsidRPr="00A63A18" w:rsidRDefault="00727A01" w:rsidP="00727A01">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66A0540F" w14:textId="77777777" w:rsidR="00727A01" w:rsidRPr="00A63A18" w:rsidRDefault="00727A01" w:rsidP="00727A01">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2FC5A036" w14:textId="77777777" w:rsidR="00727A01" w:rsidRPr="00A63A18" w:rsidRDefault="00727A01" w:rsidP="00727A01">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 xml:space="preserve">Příkazce je povinen poskytovat příkazníkovi během plnění předmětu smlouvy přiměřenou součinnost. </w:t>
      </w:r>
    </w:p>
    <w:p w14:paraId="4BA00C83" w14:textId="77777777" w:rsidR="00727A01" w:rsidRPr="00A63A18" w:rsidRDefault="00727A01" w:rsidP="00727A01">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 xml:space="preserve">Příkazce je povinen příkazníkovi vyplatit odměnu podle </w:t>
      </w:r>
      <w:r>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smlouvy. </w:t>
      </w:r>
    </w:p>
    <w:p w14:paraId="560CCFB6" w14:textId="77777777" w:rsidR="00727A01" w:rsidRDefault="00727A01" w:rsidP="00727A01">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Čl. V</w:t>
      </w:r>
    </w:p>
    <w:p w14:paraId="448955F4" w14:textId="77777777" w:rsidR="00727A01" w:rsidRDefault="00727A01" w:rsidP="00727A01">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63B34D80" w14:textId="77777777" w:rsidR="00727A01" w:rsidRPr="005740E7" w:rsidRDefault="00727A01" w:rsidP="00727A01">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proofErr w:type="gramStart"/>
      <w:r w:rsidRPr="005441D5">
        <w:rPr>
          <w:rFonts w:ascii="Times New Roman" w:eastAsia="Times New Roman" w:hAnsi="Times New Roman" w:cs="Times New Roman"/>
          <w:b/>
          <w:bCs/>
          <w:color w:val="000000"/>
          <w:lang w:eastAsia="cs-CZ"/>
        </w:rPr>
        <w:t>15.000,-</w:t>
      </w:r>
      <w:proofErr w:type="gramEnd"/>
      <w:r w:rsidRPr="00632DB9">
        <w:rPr>
          <w:rFonts w:ascii="Times New Roman" w:eastAsia="Times New Roman" w:hAnsi="Times New Roman" w:cs="Times New Roman"/>
          <w:b/>
          <w:color w:val="000000"/>
          <w:lang w:eastAsia="cs-CZ"/>
        </w:rPr>
        <w:t xml:space="preserve"> Kč</w:t>
      </w:r>
      <w:r>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Pr>
          <w:rFonts w:ascii="Times New Roman" w:eastAsia="Times New Roman" w:hAnsi="Times New Roman" w:cs="Times New Roman"/>
          <w:color w:val="000000"/>
          <w:lang w:eastAsia="cs-CZ"/>
        </w:rPr>
        <w:t>patnáct tisíc korun českých (dále jen „o</w:t>
      </w:r>
      <w:r w:rsidRPr="00A63A18">
        <w:rPr>
          <w:rFonts w:ascii="Times New Roman" w:eastAsia="Times New Roman" w:hAnsi="Times New Roman" w:cs="Times New Roman"/>
          <w:color w:val="000000"/>
          <w:lang w:eastAsia="cs-CZ"/>
        </w:rPr>
        <w:t>dměna“).</w:t>
      </w:r>
    </w:p>
    <w:p w14:paraId="70B11BDC" w14:textId="77777777" w:rsidR="00727A01" w:rsidRPr="005740E7" w:rsidRDefault="00727A01" w:rsidP="00727A01">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586CA7F" w14:textId="77777777" w:rsidR="00727A01" w:rsidRPr="005740E7" w:rsidRDefault="00727A01" w:rsidP="00727A01">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 xml:space="preserve">Faktura musí obsahovat potřebné náležitosti daňového dokladu ve smyslu zákona </w:t>
      </w:r>
      <w:r>
        <w:rPr>
          <w:rFonts w:ascii="Times New Roman" w:eastAsia="Times New Roman" w:hAnsi="Times New Roman" w:cs="Times New Roman"/>
          <w:color w:val="000000"/>
          <w:lang w:eastAsia="cs-CZ"/>
        </w:rPr>
        <w:br/>
      </w:r>
      <w:r w:rsidRPr="005740E7">
        <w:rPr>
          <w:rFonts w:ascii="Times New Roman" w:eastAsia="Times New Roman" w:hAnsi="Times New Roman" w:cs="Times New Roman"/>
          <w:color w:val="000000"/>
          <w:lang w:eastAsia="cs-CZ"/>
        </w:rPr>
        <w:t>č. 235/2004 Sb., o dani z přidané hodnoty, ve znění pozdějších předpisů</w:t>
      </w:r>
      <w:r>
        <w:rPr>
          <w:rFonts w:ascii="Times New Roman" w:eastAsia="Times New Roman" w:hAnsi="Times New Roman" w:cs="Times New Roman"/>
          <w:color w:val="000000"/>
          <w:lang w:eastAsia="cs-CZ"/>
        </w:rPr>
        <w:t>.</w:t>
      </w:r>
    </w:p>
    <w:p w14:paraId="2F13427B" w14:textId="77777777" w:rsidR="00727A01" w:rsidRPr="00A63A18" w:rsidRDefault="00727A01" w:rsidP="00727A01">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Příkazník má nárok na úhradu dalších nákladů, které </w:t>
      </w:r>
      <w:r>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10EA2215" w14:textId="77777777" w:rsidR="00727A01" w:rsidRDefault="00727A01" w:rsidP="00727A01">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012A385B" w14:textId="77777777" w:rsidR="00727A01" w:rsidRDefault="00727A01" w:rsidP="00727A01">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4BC09B6D" w14:textId="77777777" w:rsidR="00727A01" w:rsidRDefault="00727A01" w:rsidP="00727A01">
      <w:pPr>
        <w:rPr>
          <w:rFonts w:ascii="Times New Roman" w:eastAsia="Times New Roman" w:hAnsi="Times New Roman" w:cs="Times New Roman"/>
          <w:color w:val="000000"/>
          <w:lang w:eastAsia="cs-CZ"/>
        </w:rPr>
      </w:pPr>
    </w:p>
    <w:p w14:paraId="3717906C" w14:textId="5AF99D0C" w:rsidR="00727A01" w:rsidRPr="0068484E" w:rsidRDefault="00727A01" w:rsidP="00727A01">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Pr="005740E7">
        <w:rPr>
          <w:rFonts w:ascii="Times New Roman" w:eastAsia="Times New Roman" w:hAnsi="Times New Roman" w:cs="Times New Roman"/>
          <w:color w:val="000000"/>
          <w:lang w:eastAsia="cs-CZ"/>
        </w:rPr>
        <w:t xml:space="preserve">mlouva se uzavírá na dobu určitou, </w:t>
      </w:r>
      <w:r>
        <w:rPr>
          <w:rFonts w:ascii="Times New Roman" w:eastAsia="Times New Roman" w:hAnsi="Times New Roman" w:cs="Times New Roman"/>
          <w:color w:val="000000"/>
          <w:lang w:eastAsia="cs-CZ"/>
        </w:rPr>
        <w:t>od 1.1.202</w:t>
      </w:r>
      <w:r>
        <w:rPr>
          <w:rFonts w:ascii="Times New Roman" w:eastAsia="Times New Roman" w:hAnsi="Times New Roman" w:cs="Times New Roman"/>
          <w:color w:val="000000"/>
          <w:lang w:eastAsia="cs-CZ"/>
        </w:rPr>
        <w:t>4</w:t>
      </w:r>
      <w:r>
        <w:rPr>
          <w:rFonts w:ascii="Times New Roman" w:eastAsia="Times New Roman" w:hAnsi="Times New Roman" w:cs="Times New Roman"/>
          <w:color w:val="000000"/>
          <w:lang w:eastAsia="cs-CZ"/>
        </w:rPr>
        <w:t xml:space="preserve"> </w:t>
      </w:r>
      <w:r w:rsidRPr="005740E7">
        <w:rPr>
          <w:rFonts w:ascii="Times New Roman" w:eastAsia="Times New Roman" w:hAnsi="Times New Roman" w:cs="Times New Roman"/>
          <w:color w:val="000000"/>
          <w:lang w:eastAsia="cs-CZ"/>
        </w:rPr>
        <w:t>do 31.12.202</w:t>
      </w:r>
      <w:r>
        <w:rPr>
          <w:rFonts w:ascii="Times New Roman" w:eastAsia="Times New Roman" w:hAnsi="Times New Roman" w:cs="Times New Roman"/>
          <w:color w:val="000000"/>
          <w:lang w:eastAsia="cs-CZ"/>
        </w:rPr>
        <w:t>4</w:t>
      </w:r>
      <w:r w:rsidRPr="005740E7">
        <w:rPr>
          <w:rFonts w:ascii="Times New Roman" w:eastAsia="Times New Roman" w:hAnsi="Times New Roman" w:cs="Times New Roman"/>
          <w:color w:val="000000"/>
          <w:lang w:eastAsia="cs-CZ"/>
        </w:rPr>
        <w:t>.</w:t>
      </w:r>
    </w:p>
    <w:p w14:paraId="1E0C4CCA" w14:textId="77777777" w:rsidR="00727A01" w:rsidRPr="00A61714" w:rsidRDefault="00727A01" w:rsidP="00727A01">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Pr="0068484E">
        <w:rPr>
          <w:rFonts w:ascii="Times New Roman" w:hAnsi="Times New Roman"/>
        </w:rPr>
        <w:t>ato smlouva může být ukončena písemnou dohodou smluvních stran.</w:t>
      </w:r>
    </w:p>
    <w:p w14:paraId="58EA94C8" w14:textId="77777777" w:rsidR="00727A01" w:rsidRPr="00A61714" w:rsidRDefault="00727A01" w:rsidP="00727A01">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3A5AADB9" w14:textId="77777777" w:rsidR="00727A01" w:rsidRPr="00A61714" w:rsidRDefault="00727A01" w:rsidP="00727A01">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Pr="0068484E">
        <w:rPr>
          <w:rFonts w:ascii="Times New Roman" w:eastAsia="Times New Roman" w:hAnsi="Times New Roman" w:cs="Times New Roman"/>
          <w:color w:val="000000"/>
          <w:lang w:eastAsia="cs-CZ"/>
        </w:rPr>
        <w:t>říkazník povinen.</w:t>
      </w:r>
    </w:p>
    <w:p w14:paraId="43C76FB8" w14:textId="77777777" w:rsidR="00727A01" w:rsidRPr="00A61714" w:rsidRDefault="00727A01" w:rsidP="00727A01">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písemném upozornění v přiměřené náhradní lhůtě, která mu k tomu bude příkazníkem poskytnuta.</w:t>
      </w:r>
    </w:p>
    <w:p w14:paraId="5515B3B1" w14:textId="77777777" w:rsidR="00727A01" w:rsidRPr="00355481" w:rsidRDefault="00727A01" w:rsidP="00727A01">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3C9B82F0" w14:textId="77777777" w:rsidR="00727A01" w:rsidRDefault="00727A01" w:rsidP="00727A01">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příkazce zjistí opakující se neplnění nebo vadné plnění ve dvou po sobě následujících měsících;</w:t>
      </w:r>
    </w:p>
    <w:p w14:paraId="34FB11C5" w14:textId="77777777" w:rsidR="00727A01" w:rsidRDefault="00727A01" w:rsidP="00727A01">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příkazník porušuje opakovaně přes písemné upozornění příkazce své povinnosti touto smlouvou sjednané;</w:t>
      </w:r>
    </w:p>
    <w:p w14:paraId="1EE59194" w14:textId="77777777" w:rsidR="00727A01" w:rsidRDefault="00727A01" w:rsidP="00727A01">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bude proti příkazníkovi zahájeno insolvenční řízení;</w:t>
      </w:r>
    </w:p>
    <w:p w14:paraId="680E9A87" w14:textId="77777777" w:rsidR="00727A01" w:rsidRPr="00A61714" w:rsidRDefault="00727A01" w:rsidP="00727A01">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udaný objem nebo udaná kvalita příkazníkem fakturovaných prací bude v rozporu se skutečně vykonanou prací.</w:t>
      </w:r>
    </w:p>
    <w:p w14:paraId="134B1CFD" w14:textId="77777777" w:rsidR="00727A01" w:rsidRPr="00A61714" w:rsidRDefault="00727A01" w:rsidP="00727A01">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43A3D79F" w14:textId="77777777" w:rsidR="00727A01" w:rsidRPr="00A61714" w:rsidRDefault="00727A01" w:rsidP="00727A01">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Pr="0068484E">
        <w:rPr>
          <w:rFonts w:ascii="Times New Roman" w:eastAsia="Times New Roman" w:hAnsi="Times New Roman" w:cs="Times New Roman"/>
          <w:color w:val="000000"/>
          <w:lang w:eastAsia="cs-CZ"/>
        </w:rPr>
        <w:t>ávazek z příkazu zaniká též smrtí příkazníka.</w:t>
      </w:r>
    </w:p>
    <w:p w14:paraId="7F93D410" w14:textId="77777777" w:rsidR="00727A01" w:rsidRDefault="00727A01" w:rsidP="00727A01">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Čl. IX</w:t>
      </w:r>
    </w:p>
    <w:p w14:paraId="653B59D4" w14:textId="77777777" w:rsidR="00727A01" w:rsidRPr="000324C4" w:rsidRDefault="00727A01" w:rsidP="00727A01">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30F20923" w14:textId="77777777" w:rsidR="00727A01" w:rsidRDefault="00727A01" w:rsidP="00727A01">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50554580" w14:textId="77777777" w:rsidR="00727A01" w:rsidRPr="00E07DDD" w:rsidRDefault="00727A01" w:rsidP="00727A01">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72582BC5" w14:textId="77777777" w:rsidR="00727A01" w:rsidRPr="00915371" w:rsidRDefault="00727A01" w:rsidP="00727A01">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3B941077" w14:textId="77777777" w:rsidR="00727A01" w:rsidRPr="000324C4" w:rsidRDefault="00727A01" w:rsidP="00727A01">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 že s obsahem smlouvy souhlasí, měly možnost smlouvu přečíst, s jejím obsahem se detailně seznámit a že vyjadřuje jejich pravou a svobodnou vůli</w:t>
      </w:r>
      <w:r>
        <w:rPr>
          <w:rFonts w:ascii="Times New Roman" w:hAnsi="Times New Roman" w:cs="Times New Roman"/>
          <w:color w:val="000000"/>
        </w:rPr>
        <w:t xml:space="preserve">, </w:t>
      </w:r>
      <w:r>
        <w:rPr>
          <w:rFonts w:ascii="Times New Roman" w:hAnsi="Times New Roman" w:cs="Times New Roman"/>
          <w:color w:val="000000"/>
        </w:rPr>
        <w:br/>
        <w:t>na důkaz čehož připojují níže své podpisy.</w:t>
      </w:r>
    </w:p>
    <w:p w14:paraId="3A486E49" w14:textId="77777777" w:rsidR="00727A01" w:rsidRDefault="00727A01" w:rsidP="00727A01">
      <w:pPr>
        <w:tabs>
          <w:tab w:val="left" w:pos="9638"/>
        </w:tabs>
        <w:spacing w:before="52"/>
        <w:rPr>
          <w:rFonts w:ascii="Times New Roman" w:hAnsi="Times New Roman"/>
          <w:b/>
          <w:color w:val="000000"/>
          <w:lang w:eastAsia="cs-CZ"/>
        </w:rPr>
      </w:pPr>
    </w:p>
    <w:p w14:paraId="07BBC42F" w14:textId="77777777" w:rsidR="00727A01" w:rsidRDefault="00727A01" w:rsidP="00727A01">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4961F47F" w14:textId="77777777" w:rsidR="00727A01" w:rsidRDefault="00727A01" w:rsidP="00727A01">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Pr>
          <w:rFonts w:ascii="Times New Roman" w:hAnsi="Times New Roman"/>
          <w:b/>
          <w:color w:val="000000"/>
          <w:lang w:eastAsia="cs-CZ"/>
        </w:rPr>
        <w:tab/>
        <w:t xml:space="preserve">Ve Znojmě, dne </w:t>
      </w:r>
    </w:p>
    <w:p w14:paraId="4DED9988" w14:textId="77777777" w:rsidR="00727A01" w:rsidRDefault="00727A01" w:rsidP="00727A01">
      <w:pPr>
        <w:tabs>
          <w:tab w:val="left" w:pos="9638"/>
        </w:tabs>
        <w:rPr>
          <w:rFonts w:ascii="Times New Roman" w:hAnsi="Times New Roman" w:cs="Verdana"/>
          <w:b/>
        </w:rPr>
      </w:pPr>
    </w:p>
    <w:p w14:paraId="2F27D7BD" w14:textId="77777777" w:rsidR="00727A01" w:rsidRDefault="00727A01" w:rsidP="00727A01">
      <w:pPr>
        <w:tabs>
          <w:tab w:val="left" w:pos="9638"/>
        </w:tabs>
        <w:rPr>
          <w:rFonts w:ascii="Times New Roman" w:hAnsi="Times New Roman" w:cs="Verdana"/>
          <w:b/>
        </w:rPr>
      </w:pPr>
    </w:p>
    <w:p w14:paraId="268C45A1" w14:textId="77777777" w:rsidR="00727A01" w:rsidRDefault="00727A01" w:rsidP="00727A01">
      <w:pPr>
        <w:tabs>
          <w:tab w:val="left" w:pos="9638"/>
        </w:tabs>
        <w:rPr>
          <w:rFonts w:ascii="Times New Roman" w:hAnsi="Times New Roman" w:cs="Verdana"/>
          <w:b/>
        </w:rPr>
      </w:pPr>
    </w:p>
    <w:p w14:paraId="6E57EE67" w14:textId="77777777" w:rsidR="00727A01" w:rsidRDefault="00727A01" w:rsidP="00727A01">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Pr>
          <w:rFonts w:ascii="Times New Roman" w:hAnsi="Times New Roman" w:cs="Verdana"/>
          <w:b/>
        </w:rPr>
        <w:tab/>
        <w:t xml:space="preserve"> ------------------------------------</w:t>
      </w:r>
    </w:p>
    <w:p w14:paraId="3E61D91C" w14:textId="77777777" w:rsidR="00727A01" w:rsidRDefault="00727A01" w:rsidP="00727A01">
      <w:pPr>
        <w:widowControl w:val="0"/>
        <w:tabs>
          <w:tab w:val="left" w:pos="5812"/>
        </w:tabs>
        <w:autoSpaceDE w:val="0"/>
        <w:ind w:right="567"/>
        <w:rPr>
          <w:rFonts w:ascii="Times New Roman" w:hAnsi="Times New Roman"/>
        </w:rPr>
      </w:pPr>
      <w:r>
        <w:rPr>
          <w:rFonts w:ascii="Times New Roman" w:hAnsi="Times New Roman"/>
        </w:rPr>
        <w:t xml:space="preserve">               příkazce</w:t>
      </w:r>
      <w:r>
        <w:rPr>
          <w:rFonts w:ascii="Times New Roman" w:hAnsi="Times New Roman"/>
        </w:rPr>
        <w:tab/>
        <w:t xml:space="preserve">            příkazník</w:t>
      </w:r>
    </w:p>
    <w:p w14:paraId="532F86C3" w14:textId="77777777" w:rsidR="00727A01" w:rsidRDefault="00727A01" w:rsidP="00727A01">
      <w:pPr>
        <w:pStyle w:val="western"/>
        <w:tabs>
          <w:tab w:val="left" w:pos="9638"/>
        </w:tabs>
        <w:spacing w:before="0" w:after="0"/>
      </w:pPr>
      <w:r>
        <w:t xml:space="preserve">       Bc. Marek Vodák                                                                      Vojtěch </w:t>
      </w:r>
      <w:proofErr w:type="spellStart"/>
      <w:r>
        <w:t>Mrňa</w:t>
      </w:r>
      <w:proofErr w:type="spellEnd"/>
      <w:r>
        <w:t xml:space="preserve">  </w:t>
      </w:r>
    </w:p>
    <w:p w14:paraId="18BF9DD9" w14:textId="1EE6C296" w:rsidR="00727A01" w:rsidRPr="00727A01" w:rsidRDefault="00727A01" w:rsidP="00A127E9">
      <w:pPr>
        <w:pStyle w:val="western"/>
        <w:tabs>
          <w:tab w:val="left" w:pos="9638"/>
        </w:tabs>
        <w:spacing w:before="0" w:after="0"/>
      </w:pPr>
      <w:r>
        <w:t xml:space="preserve">Správa nemovitostí města Znojma, </w:t>
      </w:r>
      <w:r>
        <w:tab/>
      </w:r>
      <w:r>
        <w:rPr>
          <w:rFonts w:cs="Verdana"/>
        </w:rPr>
        <w:t xml:space="preserve"> </w:t>
      </w:r>
      <w:r w:rsidR="00A127E9">
        <w:rPr>
          <w:rFonts w:cs="Verdana"/>
        </w:rPr>
        <w:t xml:space="preserve">             </w:t>
      </w:r>
      <w:r>
        <w:rPr>
          <w:rFonts w:cs="Verdana"/>
        </w:rPr>
        <w:t>příspěvková organizace</w:t>
      </w:r>
    </w:p>
    <w:p w14:paraId="197104FB" w14:textId="08B4BECA" w:rsidR="00871651" w:rsidRDefault="00A127E9" w:rsidP="00A127E9">
      <w:pPr>
        <w:widowControl w:val="0"/>
        <w:tabs>
          <w:tab w:val="left" w:pos="9638"/>
        </w:tabs>
        <w:autoSpaceDE w:val="0"/>
        <w:ind w:right="567"/>
        <w:rPr>
          <w:rFonts w:ascii="Times New Roman" w:hAnsi="Times New Roman"/>
        </w:rPr>
      </w:pPr>
      <w:r>
        <w:rPr>
          <w:rFonts w:ascii="Times New Roman" w:hAnsi="Times New Roman"/>
        </w:rPr>
        <w:t xml:space="preserve">       </w:t>
      </w:r>
      <w:r w:rsidR="00727A01">
        <w:rPr>
          <w:rFonts w:ascii="Times New Roman" w:hAnsi="Times New Roman"/>
        </w:rPr>
        <w:t xml:space="preserve">ředitel </w:t>
      </w:r>
      <w:r w:rsidR="00727A01">
        <w:rPr>
          <w:rFonts w:ascii="Times New Roman" w:hAnsi="Times New Roman"/>
        </w:rPr>
        <w:t>organizace</w:t>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7"/>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11B3" w14:textId="77777777" w:rsidR="00AE789F" w:rsidRDefault="00AE789F">
      <w:r>
        <w:separator/>
      </w:r>
    </w:p>
  </w:endnote>
  <w:endnote w:type="continuationSeparator" w:id="0">
    <w:p w14:paraId="11FA5C82" w14:textId="77777777" w:rsidR="00AE789F" w:rsidRDefault="00A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28E8" w14:textId="77777777" w:rsidR="00DF3767" w:rsidRDefault="00897509">
    <w:pPr>
      <w:pStyle w:val="Zpat"/>
      <w:jc w:val="right"/>
    </w:pPr>
    <w:r>
      <w:fldChar w:fldCharType="begin"/>
    </w:r>
    <w:r w:rsidR="00DF3767">
      <w:instrText>PAGE</w:instrText>
    </w:r>
    <w:r>
      <w:fldChar w:fldCharType="separate"/>
    </w:r>
    <w:r w:rsidR="00851F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F992" w14:textId="77777777" w:rsidR="00AE789F" w:rsidRDefault="00AE789F">
      <w:r>
        <w:separator/>
      </w:r>
    </w:p>
  </w:footnote>
  <w:footnote w:type="continuationSeparator" w:id="0">
    <w:p w14:paraId="1EA7060E" w14:textId="77777777" w:rsidR="00AE789F" w:rsidRDefault="00AE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4408" w14:textId="77777777" w:rsidR="00851F67" w:rsidRDefault="00851F67" w:rsidP="00851F67">
    <w:pPr>
      <w:pStyle w:val="Zhlav"/>
      <w:jc w:val="right"/>
      <w:rPr>
        <w:rFonts w:ascii="Times New Roman" w:hAnsi="Times New Roman" w:cs="Times New Roman"/>
      </w:rPr>
    </w:pPr>
  </w:p>
  <w:p w14:paraId="5C91A76B" w14:textId="1AE29F8D" w:rsidR="004D308D" w:rsidRPr="00851F67" w:rsidRDefault="004D308D" w:rsidP="00727A01">
    <w:pPr>
      <w:pStyle w:val="Zhlav"/>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5"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6"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9"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9750609">
    <w:abstractNumId w:val="0"/>
  </w:num>
  <w:num w:numId="2" w16cid:durableId="647171031">
    <w:abstractNumId w:val="2"/>
  </w:num>
  <w:num w:numId="3" w16cid:durableId="2007130430">
    <w:abstractNumId w:val="9"/>
  </w:num>
  <w:num w:numId="4" w16cid:durableId="110440688">
    <w:abstractNumId w:val="5"/>
  </w:num>
  <w:num w:numId="5" w16cid:durableId="1452557196">
    <w:abstractNumId w:val="1"/>
  </w:num>
  <w:num w:numId="6" w16cid:durableId="764350184">
    <w:abstractNumId w:val="6"/>
  </w:num>
  <w:num w:numId="7" w16cid:durableId="816073372">
    <w:abstractNumId w:val="8"/>
  </w:num>
  <w:num w:numId="8" w16cid:durableId="483745501">
    <w:abstractNumId w:val="3"/>
  </w:num>
  <w:num w:numId="9" w16cid:durableId="1430850357">
    <w:abstractNumId w:val="7"/>
  </w:num>
  <w:num w:numId="10" w16cid:durableId="3652995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55B53"/>
    <w:rsid w:val="00062BFF"/>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207196"/>
    <w:rsid w:val="00220A20"/>
    <w:rsid w:val="002321C3"/>
    <w:rsid w:val="002363C8"/>
    <w:rsid w:val="00271763"/>
    <w:rsid w:val="002A5BA0"/>
    <w:rsid w:val="002B32C8"/>
    <w:rsid w:val="002C0D96"/>
    <w:rsid w:val="002C2AF0"/>
    <w:rsid w:val="002C467E"/>
    <w:rsid w:val="002F0FBD"/>
    <w:rsid w:val="003130EB"/>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308D"/>
    <w:rsid w:val="004D7886"/>
    <w:rsid w:val="0051473D"/>
    <w:rsid w:val="00520606"/>
    <w:rsid w:val="0052670C"/>
    <w:rsid w:val="00531318"/>
    <w:rsid w:val="0053276F"/>
    <w:rsid w:val="0053469A"/>
    <w:rsid w:val="00541806"/>
    <w:rsid w:val="00542699"/>
    <w:rsid w:val="005573CB"/>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27A01"/>
    <w:rsid w:val="00735790"/>
    <w:rsid w:val="00745490"/>
    <w:rsid w:val="007602F0"/>
    <w:rsid w:val="007624B0"/>
    <w:rsid w:val="00782FC1"/>
    <w:rsid w:val="0078561C"/>
    <w:rsid w:val="007B0DE2"/>
    <w:rsid w:val="007C4A63"/>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5494"/>
    <w:rsid w:val="00970B31"/>
    <w:rsid w:val="009B3251"/>
    <w:rsid w:val="00A00080"/>
    <w:rsid w:val="00A127E9"/>
    <w:rsid w:val="00A30F63"/>
    <w:rsid w:val="00A34DCA"/>
    <w:rsid w:val="00A43D0B"/>
    <w:rsid w:val="00A46F54"/>
    <w:rsid w:val="00A55121"/>
    <w:rsid w:val="00A61714"/>
    <w:rsid w:val="00A63A18"/>
    <w:rsid w:val="00A67EA5"/>
    <w:rsid w:val="00A7631E"/>
    <w:rsid w:val="00A7636D"/>
    <w:rsid w:val="00A85904"/>
    <w:rsid w:val="00AB0404"/>
    <w:rsid w:val="00AB7AB7"/>
    <w:rsid w:val="00AD2636"/>
    <w:rsid w:val="00AE789F"/>
    <w:rsid w:val="00B0487D"/>
    <w:rsid w:val="00B354F8"/>
    <w:rsid w:val="00B42014"/>
    <w:rsid w:val="00B55075"/>
    <w:rsid w:val="00B71117"/>
    <w:rsid w:val="00B753EC"/>
    <w:rsid w:val="00B9755B"/>
    <w:rsid w:val="00BA083B"/>
    <w:rsid w:val="00BD4E79"/>
    <w:rsid w:val="00C1705C"/>
    <w:rsid w:val="00CB7667"/>
    <w:rsid w:val="00CE18FD"/>
    <w:rsid w:val="00CE5795"/>
    <w:rsid w:val="00D31FA1"/>
    <w:rsid w:val="00D33558"/>
    <w:rsid w:val="00D361E0"/>
    <w:rsid w:val="00D551E0"/>
    <w:rsid w:val="00D92E1F"/>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15:docId w15:val="{B671862E-F018-472F-AF7D-8A33DC5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8453</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2023-12-06T13:37:00Z</cp:lastPrinted>
  <dcterms:created xsi:type="dcterms:W3CDTF">2023-12-07T05:46:00Z</dcterms:created>
  <dcterms:modified xsi:type="dcterms:W3CDTF">2023-12-07T05:46:00Z</dcterms:modified>
</cp:coreProperties>
</file>