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1711"/>
        <w:gridCol w:w="1925"/>
      </w:tblGrid>
      <w:tr w:rsidR="00EB6467" w:rsidRPr="00EB6467" w:rsidTr="00EB6467">
        <w:trPr>
          <w:trHeight w:val="30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Rekapitulace změn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vícepráce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méněpráce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SO 101 ul. Mánesova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233 580,72 Kč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50 775,34 Kč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SO 102 ul. Tylova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94 811,86 Kč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SO 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174 561,94 Kč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233 580,72 Kč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320 149,14 Kč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vícepráce a méněpráce v Kč bez DPH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-86 568,42 Kč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6467" w:rsidRPr="00EB6467" w:rsidTr="00EB6467">
        <w:trPr>
          <w:trHeight w:val="30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Rekapitulace ceny díla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dle smlouvy o dílo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4 776 081,66 Kč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dle dodatku č. 1 ke smlouvě o dílo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-86 568,42 Kč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díla bez DPH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4 689 513,24 Kč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color w:val="000000"/>
                <w:lang w:eastAsia="cs-CZ"/>
              </w:rPr>
              <w:t>984 797,78 Kč</w:t>
            </w:r>
          </w:p>
        </w:tc>
      </w:tr>
      <w:tr w:rsidR="00EB6467" w:rsidRPr="00EB6467" w:rsidTr="00EB6467">
        <w:trPr>
          <w:trHeight w:val="30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díla včetně DPH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6467" w:rsidRPr="00EB6467" w:rsidRDefault="00EB6467" w:rsidP="00EB6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64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5 674 311,02 Kč</w:t>
            </w:r>
          </w:p>
        </w:tc>
      </w:tr>
    </w:tbl>
    <w:p w:rsidR="00E850AF" w:rsidRDefault="00E850AF">
      <w:bookmarkStart w:id="0" w:name="_GoBack"/>
      <w:bookmarkEnd w:id="0"/>
    </w:p>
    <w:sectPr w:rsidR="00E8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E850AF"/>
    <w:rsid w:val="00E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83E2-A231-4CA8-992E-C77FF7B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Pospíchalová Nedvědová</dc:creator>
  <cp:keywords/>
  <dc:description/>
  <cp:lastModifiedBy>Petra Pospíchalová Nedvědová</cp:lastModifiedBy>
  <cp:revision>1</cp:revision>
  <dcterms:created xsi:type="dcterms:W3CDTF">2023-12-22T10:27:00Z</dcterms:created>
  <dcterms:modified xsi:type="dcterms:W3CDTF">2023-12-22T10:28:00Z</dcterms:modified>
</cp:coreProperties>
</file>