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62CBB">
        <w:t>KAA-SZ-277/2017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62CBB" w:rsidRPr="00C62CBB">
        <w:rPr>
          <w:rFonts w:cs="Arial"/>
          <w:szCs w:val="20"/>
        </w:rPr>
        <w:t xml:space="preserve">Ing. </w:t>
      </w:r>
      <w:r w:rsidR="00C62CBB">
        <w:t>Dalibor Závacký</w:t>
      </w:r>
      <w:r w:rsidRPr="00A3020E">
        <w:rPr>
          <w:rFonts w:cs="Arial"/>
          <w:szCs w:val="20"/>
        </w:rPr>
        <w:t xml:space="preserve">, </w:t>
      </w:r>
      <w:r w:rsidR="00C62CBB" w:rsidRPr="00C62CBB">
        <w:rPr>
          <w:rFonts w:cs="Arial"/>
          <w:szCs w:val="20"/>
        </w:rPr>
        <w:t>ředitel kontaktního</w:t>
      </w:r>
      <w:r w:rsidR="00C62CBB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62CBB" w:rsidRPr="00C62CBB">
        <w:rPr>
          <w:rFonts w:cs="Arial"/>
          <w:szCs w:val="20"/>
        </w:rPr>
        <w:t>Dobrovského 1278</w:t>
      </w:r>
      <w:r w:rsidR="00C62CB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62CBB" w:rsidRPr="00C62CB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62CBB" w:rsidRPr="00C62CBB">
        <w:rPr>
          <w:rFonts w:cs="Arial"/>
          <w:szCs w:val="20"/>
        </w:rPr>
        <w:t xml:space="preserve">tř. </w:t>
      </w:r>
      <w:r w:rsidR="00C62CBB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62CBB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62CBB" w:rsidRPr="00C62CBB">
        <w:rPr>
          <w:rFonts w:cs="Arial"/>
          <w:szCs w:val="20"/>
        </w:rPr>
        <w:t>INVART servis</w:t>
      </w:r>
      <w:r w:rsidR="00C62CBB">
        <w:t xml:space="preserve"> s. r. o.</w:t>
      </w:r>
      <w:r w:rsidR="00C62CBB" w:rsidRPr="00C62CBB">
        <w:rPr>
          <w:rFonts w:cs="Arial"/>
          <w:vanish/>
          <w:szCs w:val="20"/>
        </w:rPr>
        <w:t>0</w:t>
      </w:r>
    </w:p>
    <w:p w:rsidR="00B066F7" w:rsidRPr="0033691D" w:rsidRDefault="00C62CB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C62CBB">
        <w:rPr>
          <w:rFonts w:cs="Arial"/>
          <w:noProof/>
          <w:szCs w:val="20"/>
        </w:rPr>
        <w:t>Radek Trochta</w:t>
      </w:r>
      <w:r>
        <w:rPr>
          <w:noProof/>
        </w:rPr>
        <w:t>, jednatel</w:t>
      </w:r>
    </w:p>
    <w:p w:rsidR="00B066F7" w:rsidRPr="0033691D" w:rsidRDefault="00C62CB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62CBB">
        <w:rPr>
          <w:rFonts w:cs="Arial"/>
          <w:szCs w:val="20"/>
        </w:rPr>
        <w:t>Březová č</w:t>
      </w:r>
      <w:r>
        <w:t>.p. 527/22, Ráj, 734 01 Karviná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62CBB" w:rsidRPr="00C62CBB">
        <w:rPr>
          <w:rFonts w:cs="Arial"/>
          <w:szCs w:val="20"/>
        </w:rPr>
        <w:t>25854801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62CBB">
        <w:t>CZ.03.1.48/0.0/0.0/15_121/0000058</w:t>
      </w:r>
      <w:r w:rsidR="00282982">
        <w:rPr>
          <w:i/>
          <w:iCs/>
        </w:rPr>
        <w:t xml:space="preserve"> </w:t>
      </w:r>
      <w:r w:rsidR="00C62CB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62CBB">
        <w:rPr>
          <w:noProof/>
        </w:rPr>
        <w:t>administrativní pracovnice - účetní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62CBB">
        <w:t>INVART servis s. r. o. - provozovna, Ostravská č.p. 1937/29, Fryštát, 733 01 Karviná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62CBB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C62CBB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62CBB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C62CBB">
        <w:t>1.7.2017</w:t>
      </w:r>
      <w:r>
        <w:t xml:space="preserve"> na dobu </w:t>
      </w:r>
      <w:r w:rsidR="00C62CBB">
        <w:rPr>
          <w:noProof/>
        </w:rPr>
        <w:t>neurčitou</w:t>
      </w:r>
      <w:r w:rsidR="00DA5E4C">
        <w:t xml:space="preserve">, s týdenní pracovní dobou </w:t>
      </w:r>
      <w:r w:rsidR="00C62CBB">
        <w:rPr>
          <w:noProof/>
        </w:rPr>
        <w:t>25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62CBB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62CBB">
        <w:rPr>
          <w:noProof/>
        </w:rPr>
        <w:t>11 172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62CBB">
        <w:t>67 032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62CBB">
        <w:rPr>
          <w:noProof/>
        </w:rPr>
        <w:t>1.7.2017</w:t>
      </w:r>
      <w:r w:rsidR="00781CAC">
        <w:t xml:space="preserve"> do</w:t>
      </w:r>
      <w:r w:rsidRPr="0058691B">
        <w:t> </w:t>
      </w:r>
      <w:r w:rsidR="00C62CBB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62CBB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62CB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27.6.2017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62C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62CBB" w:rsidP="009B751F">
      <w:pPr>
        <w:keepNext/>
        <w:keepLines/>
        <w:jc w:val="center"/>
        <w:rPr>
          <w:rFonts w:cs="Arial"/>
          <w:szCs w:val="20"/>
        </w:rPr>
      </w:pPr>
      <w:r w:rsidRPr="00C62CBB">
        <w:rPr>
          <w:rFonts w:cs="Arial"/>
          <w:szCs w:val="20"/>
        </w:rPr>
        <w:t>Radek Trochta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62CBB" w:rsidP="009B751F">
      <w:pPr>
        <w:keepNext/>
        <w:keepLines/>
        <w:jc w:val="center"/>
        <w:rPr>
          <w:rFonts w:cs="Arial"/>
          <w:szCs w:val="20"/>
        </w:rPr>
      </w:pPr>
      <w:r w:rsidRPr="00C62CBB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C62CBB" w:rsidP="008269B6">
      <w:pPr>
        <w:keepNext/>
        <w:keepLines/>
        <w:jc w:val="center"/>
        <w:rPr>
          <w:rFonts w:cs="Arial"/>
          <w:szCs w:val="20"/>
        </w:rPr>
      </w:pPr>
      <w:r w:rsidRPr="00C62CBB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62CB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62CBB" w:rsidRPr="00C62CBB">
        <w:rPr>
          <w:rFonts w:cs="Arial"/>
          <w:szCs w:val="20"/>
        </w:rPr>
        <w:t xml:space="preserve">Bc. </w:t>
      </w:r>
      <w:r w:rsidR="00C62CBB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62CBB" w:rsidRPr="00C62CBB">
        <w:rPr>
          <w:rFonts w:cs="Arial"/>
          <w:szCs w:val="20"/>
        </w:rPr>
        <w:t>+420 950</w:t>
      </w:r>
      <w:r w:rsidR="00C62CBB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62CB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CF" w:rsidRDefault="00EF26CF">
      <w:r>
        <w:separator/>
      </w:r>
    </w:p>
  </w:endnote>
  <w:endnote w:type="continuationSeparator" w:id="0">
    <w:p w:rsidR="00EF26CF" w:rsidRDefault="00EF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BB" w:rsidRDefault="00C62C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62CBB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62CBB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CF" w:rsidRDefault="00EF26CF">
      <w:r>
        <w:separator/>
      </w:r>
    </w:p>
  </w:footnote>
  <w:footnote w:type="continuationSeparator" w:id="0">
    <w:p w:rsidR="00EF26CF" w:rsidRDefault="00EF2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BB" w:rsidRDefault="00C62C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BB" w:rsidRDefault="00C62CB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C919AD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AD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2CBB"/>
    <w:rsid w:val="00C66BFF"/>
    <w:rsid w:val="00C8008A"/>
    <w:rsid w:val="00C80735"/>
    <w:rsid w:val="00C83B07"/>
    <w:rsid w:val="00C91302"/>
    <w:rsid w:val="00C919AD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26CF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6883-C9B2-4577-930E-BE83202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2014</Words>
  <Characters>11883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2017-06-27T09:00:00Z</dcterms:created>
  <dcterms:modified xsi:type="dcterms:W3CDTF">2017-06-27T09:00:00Z</dcterms:modified>
</cp:coreProperties>
</file>