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34FF" w14:textId="3DC86F02" w:rsidR="00712875" w:rsidRPr="00823626" w:rsidRDefault="00712875" w:rsidP="00D800C2">
      <w:pPr>
        <w:pStyle w:val="Zkladntextodsazen2"/>
        <w:spacing w:before="120" w:after="0" w:line="240" w:lineRule="auto"/>
        <w:ind w:left="0"/>
        <w:jc w:val="center"/>
        <w:outlineLvl w:val="0"/>
        <w:rPr>
          <w:b/>
          <w:sz w:val="34"/>
          <w:szCs w:val="34"/>
        </w:rPr>
      </w:pPr>
      <w:r w:rsidRPr="00823626">
        <w:rPr>
          <w:b/>
          <w:sz w:val="34"/>
          <w:szCs w:val="34"/>
        </w:rPr>
        <w:t xml:space="preserve">Dodatek č. </w:t>
      </w:r>
      <w:r w:rsidR="0056033E">
        <w:rPr>
          <w:b/>
          <w:sz w:val="34"/>
          <w:szCs w:val="34"/>
        </w:rPr>
        <w:t>1</w:t>
      </w:r>
      <w:r w:rsidR="00A81BD5">
        <w:rPr>
          <w:b/>
          <w:sz w:val="34"/>
          <w:szCs w:val="34"/>
        </w:rPr>
        <w:t>2</w:t>
      </w:r>
      <w:r w:rsidRPr="00823626">
        <w:rPr>
          <w:b/>
          <w:sz w:val="34"/>
          <w:szCs w:val="34"/>
        </w:rPr>
        <w:t xml:space="preserve"> ke smlouvě o dodávce tepelné energie</w:t>
      </w:r>
    </w:p>
    <w:p w14:paraId="37E6E69D" w14:textId="77777777" w:rsidR="00D800C2" w:rsidRPr="00823626" w:rsidRDefault="00D800C2" w:rsidP="00D800C2">
      <w:pPr>
        <w:pStyle w:val="Zkladntextodsazen2"/>
        <w:spacing w:before="120"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823626">
        <w:rPr>
          <w:b/>
          <w:sz w:val="28"/>
          <w:szCs w:val="28"/>
        </w:rPr>
        <w:t>ze dne 05.12.2013</w:t>
      </w:r>
    </w:p>
    <w:p w14:paraId="3029F5EB" w14:textId="77777777" w:rsidR="004C02F4" w:rsidRPr="00823626" w:rsidRDefault="004C02F4" w:rsidP="004C02F4">
      <w:pPr>
        <w:widowControl/>
        <w:spacing w:after="200" w:line="276" w:lineRule="auto"/>
        <w:rPr>
          <w:b/>
          <w:szCs w:val="32"/>
        </w:rPr>
      </w:pPr>
    </w:p>
    <w:p w14:paraId="54CC0CE4" w14:textId="77777777" w:rsidR="00A65237" w:rsidRPr="00823626" w:rsidRDefault="00A65237" w:rsidP="00A65237">
      <w:pPr>
        <w:pStyle w:val="Zkladntextodsazen2"/>
        <w:spacing w:before="240" w:line="240" w:lineRule="auto"/>
        <w:ind w:left="0"/>
        <w:jc w:val="both"/>
        <w:outlineLvl w:val="0"/>
        <w:rPr>
          <w:b/>
          <w:sz w:val="24"/>
          <w:szCs w:val="32"/>
        </w:rPr>
      </w:pPr>
      <w:r w:rsidRPr="00823626">
        <w:rPr>
          <w:b/>
          <w:sz w:val="24"/>
          <w:szCs w:val="32"/>
        </w:rPr>
        <w:t>Příloha č. 2</w:t>
      </w:r>
    </w:p>
    <w:p w14:paraId="33175C79" w14:textId="77777777" w:rsidR="00A65237" w:rsidRPr="00BC6990" w:rsidRDefault="00A65237" w:rsidP="00A65237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b/>
          <w:sz w:val="24"/>
          <w:szCs w:val="32"/>
        </w:rPr>
      </w:pPr>
      <w:r w:rsidRPr="00BC6990">
        <w:rPr>
          <w:b/>
          <w:sz w:val="24"/>
          <w:szCs w:val="32"/>
        </w:rPr>
        <w:t>k</w:t>
      </w:r>
      <w:r w:rsidR="001E1632" w:rsidRPr="00BC6990">
        <w:rPr>
          <w:b/>
          <w:sz w:val="24"/>
          <w:szCs w:val="32"/>
        </w:rPr>
        <w:t>e smlouvě o dodávkách tepla a T</w:t>
      </w:r>
      <w:r w:rsidR="007B27C1" w:rsidRPr="00BC6990">
        <w:rPr>
          <w:b/>
          <w:sz w:val="24"/>
          <w:szCs w:val="32"/>
        </w:rPr>
        <w:t>U</w:t>
      </w:r>
      <w:r w:rsidRPr="00BC6990">
        <w:rPr>
          <w:b/>
          <w:sz w:val="24"/>
          <w:szCs w:val="32"/>
        </w:rPr>
        <w:t>V</w:t>
      </w:r>
      <w:r w:rsidR="004E54B4" w:rsidRPr="00BC6990">
        <w:rPr>
          <w:b/>
          <w:sz w:val="24"/>
          <w:szCs w:val="32"/>
        </w:rPr>
        <w:t xml:space="preserve"> z 05.12.2013</w:t>
      </w:r>
    </w:p>
    <w:p w14:paraId="2243590A" w14:textId="77777777" w:rsidR="00A65237" w:rsidRPr="00DF680C" w:rsidRDefault="00A65237" w:rsidP="00A65237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b/>
          <w:sz w:val="32"/>
          <w:szCs w:val="32"/>
        </w:rPr>
      </w:pPr>
      <w:r w:rsidRPr="00DF680C">
        <w:rPr>
          <w:b/>
          <w:sz w:val="32"/>
          <w:szCs w:val="32"/>
        </w:rPr>
        <w:t xml:space="preserve">Cenové ujednání </w:t>
      </w:r>
    </w:p>
    <w:p w14:paraId="0CBB8843" w14:textId="77777777" w:rsidR="00A908A5" w:rsidRPr="00DF680C" w:rsidRDefault="00A908A5" w:rsidP="00A908A5">
      <w:pPr>
        <w:outlineLvl w:val="0"/>
        <w:rPr>
          <w:szCs w:val="24"/>
        </w:rPr>
      </w:pPr>
      <w:r w:rsidRPr="00DF680C">
        <w:rPr>
          <w:b/>
          <w:bCs/>
          <w:szCs w:val="24"/>
        </w:rPr>
        <w:t>1. Služby Boskovice s.r.o.</w:t>
      </w:r>
    </w:p>
    <w:p w14:paraId="11672B97" w14:textId="77777777" w:rsidR="00E83D64" w:rsidRPr="00DF680C" w:rsidRDefault="00E83D64" w:rsidP="00E83D64">
      <w:pPr>
        <w:spacing w:line="276" w:lineRule="auto"/>
        <w:rPr>
          <w:szCs w:val="24"/>
        </w:rPr>
      </w:pPr>
      <w:r w:rsidRPr="00DF680C">
        <w:rPr>
          <w:szCs w:val="24"/>
        </w:rPr>
        <w:t xml:space="preserve">se sídlem: 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U Lázní 2063/3, 680 01 Boskovice</w:t>
      </w:r>
    </w:p>
    <w:p w14:paraId="3DFFEAA4" w14:textId="77777777" w:rsidR="00E83D64" w:rsidRPr="00DF680C" w:rsidRDefault="00E83D64" w:rsidP="00E83D64">
      <w:pPr>
        <w:spacing w:line="276" w:lineRule="auto"/>
        <w:rPr>
          <w:szCs w:val="24"/>
        </w:rPr>
      </w:pPr>
      <w:r w:rsidRPr="00DF680C">
        <w:rPr>
          <w:szCs w:val="24"/>
        </w:rPr>
        <w:t xml:space="preserve">zastoupená: 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 xml:space="preserve">Mgr. Milanem </w:t>
      </w:r>
      <w:proofErr w:type="spellStart"/>
      <w:r w:rsidRPr="00DF680C">
        <w:rPr>
          <w:szCs w:val="24"/>
        </w:rPr>
        <w:t>Stryou</w:t>
      </w:r>
      <w:proofErr w:type="spellEnd"/>
      <w:r w:rsidRPr="00DF680C">
        <w:rPr>
          <w:szCs w:val="24"/>
        </w:rPr>
        <w:t>, jednatelem společností</w:t>
      </w:r>
    </w:p>
    <w:p w14:paraId="1DD9648E" w14:textId="77777777" w:rsidR="00E83D64" w:rsidRPr="00DF680C" w:rsidRDefault="00E83D64" w:rsidP="00E83D64">
      <w:pPr>
        <w:spacing w:line="276" w:lineRule="auto"/>
        <w:outlineLvl w:val="0"/>
        <w:rPr>
          <w:szCs w:val="24"/>
        </w:rPr>
      </w:pPr>
      <w:r w:rsidRPr="00DF680C">
        <w:rPr>
          <w:szCs w:val="24"/>
        </w:rPr>
        <w:t xml:space="preserve">IČ : 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26944855</w:t>
      </w:r>
    </w:p>
    <w:p w14:paraId="37F3604C" w14:textId="77777777" w:rsidR="00E83D64" w:rsidRPr="00DF680C" w:rsidRDefault="00E83D64" w:rsidP="00E83D64">
      <w:pPr>
        <w:spacing w:line="276" w:lineRule="auto"/>
        <w:outlineLvl w:val="0"/>
        <w:rPr>
          <w:szCs w:val="24"/>
        </w:rPr>
      </w:pPr>
      <w:r w:rsidRPr="00DF680C">
        <w:rPr>
          <w:szCs w:val="24"/>
        </w:rPr>
        <w:t>DIČ: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CZ26944855</w:t>
      </w:r>
    </w:p>
    <w:p w14:paraId="0EC20CBE" w14:textId="77777777" w:rsidR="00E83D64" w:rsidRPr="00DF680C" w:rsidRDefault="00E83D64" w:rsidP="00E83D64">
      <w:pPr>
        <w:spacing w:line="276" w:lineRule="auto"/>
        <w:rPr>
          <w:szCs w:val="24"/>
        </w:rPr>
      </w:pPr>
      <w:r w:rsidRPr="00DF680C">
        <w:rPr>
          <w:szCs w:val="24"/>
        </w:rPr>
        <w:t xml:space="preserve">bankovní spojení: </w:t>
      </w:r>
      <w:r w:rsidRPr="00DF680C">
        <w:rPr>
          <w:szCs w:val="24"/>
        </w:rPr>
        <w:tab/>
      </w:r>
      <w:r w:rsidRPr="00DF680C">
        <w:rPr>
          <w:szCs w:val="24"/>
        </w:rPr>
        <w:tab/>
        <w:t>Komerční banka, a.s.</w:t>
      </w:r>
    </w:p>
    <w:p w14:paraId="456F934A" w14:textId="77777777" w:rsidR="00E83D64" w:rsidRPr="00DF680C" w:rsidRDefault="00E83D64" w:rsidP="00E83D64">
      <w:pPr>
        <w:spacing w:line="276" w:lineRule="auto"/>
        <w:rPr>
          <w:szCs w:val="24"/>
        </w:rPr>
      </w:pPr>
      <w:r w:rsidRPr="00DF680C">
        <w:rPr>
          <w:szCs w:val="24"/>
        </w:rPr>
        <w:t xml:space="preserve">č. účtu: 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35-2095650207/0100</w:t>
      </w:r>
    </w:p>
    <w:p w14:paraId="6472558C" w14:textId="77777777" w:rsidR="00E83D64" w:rsidRPr="00DF680C" w:rsidRDefault="00E83D64" w:rsidP="00E83D64">
      <w:pPr>
        <w:spacing w:line="276" w:lineRule="auto"/>
        <w:rPr>
          <w:szCs w:val="24"/>
        </w:rPr>
      </w:pPr>
    </w:p>
    <w:p w14:paraId="1148C9A2" w14:textId="77777777" w:rsidR="00E83D64" w:rsidRPr="00DF680C" w:rsidRDefault="00E83D64" w:rsidP="00E83D64">
      <w:pPr>
        <w:spacing w:line="276" w:lineRule="auto"/>
        <w:rPr>
          <w:szCs w:val="24"/>
        </w:rPr>
      </w:pPr>
      <w:r w:rsidRPr="00DF680C">
        <w:rPr>
          <w:szCs w:val="24"/>
        </w:rPr>
        <w:t>zaměstnanci pověření činností:</w:t>
      </w:r>
    </w:p>
    <w:p w14:paraId="306C034D" w14:textId="77777777" w:rsidR="009053B3" w:rsidRDefault="00E83D64" w:rsidP="009053B3">
      <w:pPr>
        <w:spacing w:line="276" w:lineRule="auto"/>
        <w:ind w:left="2832" w:hanging="2832"/>
        <w:rPr>
          <w:szCs w:val="24"/>
        </w:rPr>
      </w:pPr>
      <w:r w:rsidRPr="00DF680C">
        <w:rPr>
          <w:szCs w:val="24"/>
        </w:rPr>
        <w:t>ve věcech technických:</w:t>
      </w:r>
      <w:r w:rsidRPr="00DF680C">
        <w:rPr>
          <w:szCs w:val="24"/>
        </w:rPr>
        <w:tab/>
        <w:t xml:space="preserve">Ladislav Čížek, mobil: 606 796 561, </w:t>
      </w:r>
    </w:p>
    <w:p w14:paraId="3AC76455" w14:textId="77777777" w:rsidR="00E83D64" w:rsidRPr="00DF680C" w:rsidRDefault="00E83D64" w:rsidP="009053B3">
      <w:pPr>
        <w:spacing w:line="276" w:lineRule="auto"/>
        <w:ind w:left="2832"/>
        <w:rPr>
          <w:szCs w:val="24"/>
        </w:rPr>
      </w:pPr>
      <w:r w:rsidRPr="00DF680C">
        <w:rPr>
          <w:szCs w:val="24"/>
        </w:rPr>
        <w:t xml:space="preserve">email: </w:t>
      </w:r>
      <w:r w:rsidR="009053B3">
        <w:rPr>
          <w:szCs w:val="24"/>
        </w:rPr>
        <w:t>ladislav.</w:t>
      </w:r>
      <w:r w:rsidRPr="00DF680C">
        <w:rPr>
          <w:szCs w:val="24"/>
        </w:rPr>
        <w:t>cizek@</w:t>
      </w:r>
      <w:r w:rsidR="009053B3">
        <w:rPr>
          <w:szCs w:val="24"/>
        </w:rPr>
        <w:t>sluzby</w:t>
      </w:r>
      <w:r w:rsidRPr="00DF680C">
        <w:rPr>
          <w:szCs w:val="24"/>
        </w:rPr>
        <w:t>boskovice.cz</w:t>
      </w:r>
    </w:p>
    <w:p w14:paraId="0E60F609" w14:textId="68E9AFBA" w:rsidR="00E83D64" w:rsidRPr="00DF680C" w:rsidRDefault="00E83D64" w:rsidP="00E83D64">
      <w:pPr>
        <w:spacing w:line="276" w:lineRule="auto"/>
        <w:rPr>
          <w:szCs w:val="24"/>
        </w:rPr>
      </w:pPr>
      <w:r w:rsidRPr="00DF680C">
        <w:rPr>
          <w:szCs w:val="24"/>
        </w:rPr>
        <w:t>ve věcech obchodních:</w:t>
      </w:r>
      <w:r w:rsidRPr="00DF680C">
        <w:rPr>
          <w:szCs w:val="24"/>
        </w:rPr>
        <w:tab/>
        <w:t xml:space="preserve">Ing. Ladislava Plisková, mobil: </w:t>
      </w:r>
      <w:r w:rsidR="006F5556">
        <w:rPr>
          <w:szCs w:val="24"/>
        </w:rPr>
        <w:t>735 150 688</w:t>
      </w:r>
      <w:r w:rsidRPr="00DF680C">
        <w:rPr>
          <w:szCs w:val="24"/>
        </w:rPr>
        <w:t xml:space="preserve">, </w:t>
      </w:r>
    </w:p>
    <w:p w14:paraId="38CB72FD" w14:textId="77777777" w:rsidR="00E83D64" w:rsidRPr="00DF680C" w:rsidRDefault="00E83D64" w:rsidP="00E83D64">
      <w:pPr>
        <w:spacing w:line="276" w:lineRule="auto"/>
        <w:ind w:left="2124" w:firstLine="708"/>
        <w:rPr>
          <w:szCs w:val="24"/>
        </w:rPr>
      </w:pPr>
      <w:r w:rsidRPr="00DF680C">
        <w:rPr>
          <w:szCs w:val="24"/>
        </w:rPr>
        <w:t xml:space="preserve">email: </w:t>
      </w:r>
      <w:r w:rsidR="009053B3">
        <w:rPr>
          <w:szCs w:val="24"/>
        </w:rPr>
        <w:t>ladislava.pliskova</w:t>
      </w:r>
      <w:r w:rsidRPr="00DF680C">
        <w:rPr>
          <w:szCs w:val="24"/>
        </w:rPr>
        <w:t>@</w:t>
      </w:r>
      <w:r w:rsidR="009053B3">
        <w:rPr>
          <w:szCs w:val="24"/>
        </w:rPr>
        <w:t>sluzby</w:t>
      </w:r>
      <w:r w:rsidRPr="00DF680C">
        <w:rPr>
          <w:szCs w:val="24"/>
        </w:rPr>
        <w:t>boskovice.cz</w:t>
      </w:r>
    </w:p>
    <w:p w14:paraId="700724D5" w14:textId="77777777" w:rsidR="00A908A5" w:rsidRPr="00DF680C" w:rsidRDefault="00A908A5" w:rsidP="00A908A5">
      <w:pPr>
        <w:rPr>
          <w:b/>
          <w:szCs w:val="24"/>
        </w:rPr>
      </w:pPr>
    </w:p>
    <w:p w14:paraId="5D1CDFCF" w14:textId="77777777" w:rsidR="00A908A5" w:rsidRPr="00DF680C" w:rsidRDefault="00A908A5" w:rsidP="00A908A5">
      <w:pPr>
        <w:rPr>
          <w:b/>
          <w:szCs w:val="24"/>
        </w:rPr>
      </w:pPr>
      <w:r w:rsidRPr="00DF680C">
        <w:rPr>
          <w:b/>
          <w:szCs w:val="24"/>
        </w:rPr>
        <w:tab/>
      </w:r>
      <w:r w:rsidRPr="00DF680C">
        <w:rPr>
          <w:b/>
          <w:szCs w:val="24"/>
        </w:rPr>
        <w:tab/>
      </w:r>
      <w:r w:rsidRPr="00DF680C">
        <w:rPr>
          <w:b/>
          <w:szCs w:val="24"/>
        </w:rPr>
        <w:tab/>
      </w:r>
      <w:r w:rsidRPr="00DF680C">
        <w:rPr>
          <w:b/>
          <w:szCs w:val="24"/>
        </w:rPr>
        <w:tab/>
      </w:r>
      <w:r w:rsidRPr="00DF680C">
        <w:rPr>
          <w:b/>
          <w:szCs w:val="24"/>
        </w:rPr>
        <w:tab/>
      </w:r>
      <w:r w:rsidRPr="00DF680C">
        <w:rPr>
          <w:b/>
          <w:szCs w:val="24"/>
        </w:rPr>
        <w:tab/>
        <w:t>a</w:t>
      </w:r>
    </w:p>
    <w:p w14:paraId="37C2FFB6" w14:textId="77777777" w:rsidR="00A908A5" w:rsidRPr="00DF680C" w:rsidRDefault="00A908A5" w:rsidP="00A908A5">
      <w:pPr>
        <w:rPr>
          <w:b/>
          <w:szCs w:val="24"/>
        </w:rPr>
      </w:pPr>
    </w:p>
    <w:p w14:paraId="4ED8B817" w14:textId="77777777" w:rsidR="00E83D64" w:rsidRPr="00DF680C" w:rsidRDefault="00E83D64" w:rsidP="00E83D64">
      <w:pPr>
        <w:spacing w:after="180"/>
        <w:rPr>
          <w:b/>
          <w:szCs w:val="24"/>
        </w:rPr>
      </w:pPr>
      <w:r w:rsidRPr="00DF680C">
        <w:rPr>
          <w:b/>
          <w:szCs w:val="24"/>
        </w:rPr>
        <w:t>Obchodní firma:</w:t>
      </w:r>
      <w:r w:rsidRPr="00DF680C">
        <w:rPr>
          <w:b/>
          <w:szCs w:val="24"/>
        </w:rPr>
        <w:tab/>
      </w:r>
      <w:r w:rsidRPr="00DF680C">
        <w:rPr>
          <w:b/>
          <w:szCs w:val="24"/>
        </w:rPr>
        <w:tab/>
        <w:t>Město Boskovice</w:t>
      </w:r>
    </w:p>
    <w:p w14:paraId="6B1B356D" w14:textId="77777777" w:rsidR="00E83D64" w:rsidRPr="00DF680C" w:rsidRDefault="00E83D64" w:rsidP="00E83D64">
      <w:pPr>
        <w:spacing w:after="180"/>
        <w:rPr>
          <w:szCs w:val="24"/>
        </w:rPr>
      </w:pPr>
      <w:r w:rsidRPr="00DF680C">
        <w:rPr>
          <w:szCs w:val="24"/>
        </w:rPr>
        <w:t>se sídlem</w:t>
      </w:r>
      <w:r w:rsidR="00047B0E">
        <w:rPr>
          <w:szCs w:val="24"/>
        </w:rPr>
        <w:t xml:space="preserve">: </w:t>
      </w:r>
      <w:r w:rsidR="00047B0E">
        <w:rPr>
          <w:szCs w:val="24"/>
        </w:rPr>
        <w:tab/>
      </w:r>
      <w:r w:rsidR="00047B0E">
        <w:rPr>
          <w:szCs w:val="24"/>
        </w:rPr>
        <w:tab/>
      </w:r>
      <w:r w:rsidR="00047B0E">
        <w:rPr>
          <w:szCs w:val="24"/>
        </w:rPr>
        <w:tab/>
        <w:t>Masarykovo nám. 4/2, 680 01</w:t>
      </w:r>
      <w:r w:rsidRPr="00DF680C">
        <w:rPr>
          <w:szCs w:val="24"/>
        </w:rPr>
        <w:t xml:space="preserve"> Boskovice</w:t>
      </w:r>
    </w:p>
    <w:p w14:paraId="0DDD8618" w14:textId="18DE64B9" w:rsidR="00E83D64" w:rsidRPr="00DF680C" w:rsidRDefault="00E83D64" w:rsidP="00E83D64">
      <w:pPr>
        <w:spacing w:after="180"/>
        <w:rPr>
          <w:szCs w:val="24"/>
        </w:rPr>
      </w:pPr>
      <w:r w:rsidRPr="00DF680C">
        <w:rPr>
          <w:szCs w:val="24"/>
        </w:rPr>
        <w:t>zastoupená: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 xml:space="preserve">Ing. </w:t>
      </w:r>
      <w:r w:rsidR="00883AC4">
        <w:rPr>
          <w:szCs w:val="24"/>
        </w:rPr>
        <w:t xml:space="preserve">arch. </w:t>
      </w:r>
      <w:r w:rsidRPr="00DF680C">
        <w:rPr>
          <w:szCs w:val="24"/>
        </w:rPr>
        <w:t>Ja</w:t>
      </w:r>
      <w:r w:rsidR="00883AC4">
        <w:rPr>
          <w:szCs w:val="24"/>
        </w:rPr>
        <w:t>nou</w:t>
      </w:r>
      <w:r w:rsidRPr="00DF680C">
        <w:rPr>
          <w:szCs w:val="24"/>
        </w:rPr>
        <w:t xml:space="preserve"> </w:t>
      </w:r>
      <w:r w:rsidR="00883AC4">
        <w:rPr>
          <w:szCs w:val="24"/>
        </w:rPr>
        <w:t>Syrovátkovou</w:t>
      </w:r>
      <w:r w:rsidRPr="00DF680C">
        <w:rPr>
          <w:szCs w:val="24"/>
        </w:rPr>
        <w:t>, starost</w:t>
      </w:r>
      <w:r w:rsidR="00883AC4">
        <w:rPr>
          <w:szCs w:val="24"/>
        </w:rPr>
        <w:t>k</w:t>
      </w:r>
      <w:r w:rsidRPr="00DF680C">
        <w:rPr>
          <w:szCs w:val="24"/>
        </w:rPr>
        <w:t>ou</w:t>
      </w:r>
    </w:p>
    <w:p w14:paraId="066E04FD" w14:textId="77777777" w:rsidR="00E83D64" w:rsidRPr="00DF680C" w:rsidRDefault="00E83D64" w:rsidP="00E83D64">
      <w:pPr>
        <w:spacing w:after="180"/>
        <w:outlineLvl w:val="0"/>
        <w:rPr>
          <w:szCs w:val="24"/>
        </w:rPr>
      </w:pPr>
      <w:r w:rsidRPr="00DF680C">
        <w:rPr>
          <w:szCs w:val="24"/>
        </w:rPr>
        <w:t xml:space="preserve">IČ : 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002 79 978</w:t>
      </w:r>
    </w:p>
    <w:p w14:paraId="45C20F37" w14:textId="77777777" w:rsidR="00E83D64" w:rsidRPr="00DF680C" w:rsidRDefault="00E83D64" w:rsidP="00E83D64">
      <w:pPr>
        <w:spacing w:after="180"/>
        <w:outlineLvl w:val="0"/>
        <w:rPr>
          <w:szCs w:val="24"/>
        </w:rPr>
      </w:pPr>
      <w:r w:rsidRPr="00DF680C">
        <w:rPr>
          <w:szCs w:val="24"/>
        </w:rPr>
        <w:t>DIČ: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CZ00279978</w:t>
      </w:r>
    </w:p>
    <w:p w14:paraId="40CE7863" w14:textId="77777777" w:rsidR="00E83D64" w:rsidRPr="00DF680C" w:rsidRDefault="00E83D64" w:rsidP="00E83D64">
      <w:pPr>
        <w:spacing w:after="180"/>
        <w:rPr>
          <w:szCs w:val="24"/>
        </w:rPr>
      </w:pPr>
      <w:r w:rsidRPr="00DF680C">
        <w:rPr>
          <w:szCs w:val="24"/>
        </w:rPr>
        <w:t xml:space="preserve">bankovní spojení: </w:t>
      </w:r>
      <w:r w:rsidRPr="00DF680C">
        <w:rPr>
          <w:szCs w:val="24"/>
        </w:rPr>
        <w:tab/>
      </w:r>
      <w:r w:rsidRPr="00DF680C">
        <w:rPr>
          <w:szCs w:val="24"/>
        </w:rPr>
        <w:tab/>
        <w:t>Komerční banka a.s.</w:t>
      </w:r>
    </w:p>
    <w:p w14:paraId="4BED4BC6" w14:textId="77777777" w:rsidR="00E83D64" w:rsidRPr="00DF680C" w:rsidRDefault="00E83D64" w:rsidP="00E83D64">
      <w:pPr>
        <w:spacing w:after="180"/>
        <w:rPr>
          <w:szCs w:val="24"/>
        </w:rPr>
      </w:pPr>
      <w:r w:rsidRPr="00DF680C">
        <w:rPr>
          <w:szCs w:val="24"/>
        </w:rPr>
        <w:t>telefonní spojení:</w:t>
      </w:r>
      <w:r w:rsidRPr="00DF680C">
        <w:rPr>
          <w:szCs w:val="24"/>
        </w:rPr>
        <w:tab/>
      </w:r>
      <w:r w:rsidRPr="00DF680C">
        <w:rPr>
          <w:szCs w:val="24"/>
        </w:rPr>
        <w:tab/>
        <w:t>516 488 600</w:t>
      </w:r>
      <w:r w:rsidRPr="00DF680C">
        <w:rPr>
          <w:szCs w:val="24"/>
        </w:rPr>
        <w:tab/>
      </w:r>
      <w:r w:rsidRPr="00DF680C">
        <w:rPr>
          <w:szCs w:val="24"/>
        </w:rPr>
        <w:tab/>
      </w:r>
    </w:p>
    <w:p w14:paraId="6980D4A7" w14:textId="77777777" w:rsidR="00E83D64" w:rsidRPr="00DF680C" w:rsidRDefault="00E83D64" w:rsidP="00E83D64">
      <w:pPr>
        <w:spacing w:after="180"/>
        <w:rPr>
          <w:szCs w:val="24"/>
        </w:rPr>
      </w:pPr>
      <w:r w:rsidRPr="00DF680C">
        <w:rPr>
          <w:szCs w:val="24"/>
        </w:rPr>
        <w:t>e-mail: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epodatelna@boskovice.cz</w:t>
      </w:r>
    </w:p>
    <w:p w14:paraId="0E6AEFD3" w14:textId="77777777" w:rsidR="00E83D64" w:rsidRPr="00DF680C" w:rsidRDefault="00E83D64" w:rsidP="00E83D64">
      <w:pPr>
        <w:spacing w:after="180"/>
        <w:rPr>
          <w:szCs w:val="24"/>
        </w:rPr>
      </w:pPr>
      <w:r w:rsidRPr="00DF680C">
        <w:rPr>
          <w:szCs w:val="24"/>
        </w:rPr>
        <w:t xml:space="preserve">č. účtu: 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126631/0100</w:t>
      </w:r>
    </w:p>
    <w:p w14:paraId="377F2D5F" w14:textId="77777777" w:rsidR="00E83D64" w:rsidRPr="00DF680C" w:rsidRDefault="00E83D64" w:rsidP="00E83D64">
      <w:pPr>
        <w:rPr>
          <w:b/>
          <w:szCs w:val="24"/>
        </w:rPr>
      </w:pPr>
      <w:r w:rsidRPr="00DF680C">
        <w:rPr>
          <w:b/>
          <w:szCs w:val="24"/>
        </w:rPr>
        <w:t>(dále jen „odběratel“)</w:t>
      </w:r>
    </w:p>
    <w:p w14:paraId="24FC6670" w14:textId="77777777" w:rsidR="00E83D64" w:rsidRPr="00DF680C" w:rsidRDefault="00E83D64">
      <w:pPr>
        <w:widowControl/>
        <w:spacing w:after="200" w:line="276" w:lineRule="auto"/>
        <w:rPr>
          <w:b/>
          <w:szCs w:val="24"/>
        </w:rPr>
      </w:pPr>
      <w:r w:rsidRPr="00DF680C">
        <w:rPr>
          <w:b/>
          <w:szCs w:val="24"/>
        </w:rPr>
        <w:br w:type="page"/>
      </w:r>
    </w:p>
    <w:p w14:paraId="01F290C3" w14:textId="77777777" w:rsidR="00A908A5" w:rsidRPr="00DF680C" w:rsidRDefault="00E83D64" w:rsidP="00A65237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b/>
          <w:sz w:val="32"/>
          <w:szCs w:val="32"/>
        </w:rPr>
      </w:pPr>
      <w:r w:rsidRPr="00DF680C">
        <w:rPr>
          <w:b/>
          <w:sz w:val="32"/>
          <w:szCs w:val="32"/>
        </w:rPr>
        <w:lastRenderedPageBreak/>
        <w:t>O</w:t>
      </w:r>
      <w:r w:rsidR="002044E1" w:rsidRPr="00DF680C">
        <w:rPr>
          <w:b/>
          <w:sz w:val="32"/>
          <w:szCs w:val="32"/>
        </w:rPr>
        <w:t xml:space="preserve">PS </w:t>
      </w:r>
      <w:proofErr w:type="spellStart"/>
      <w:r w:rsidR="004D052A" w:rsidRPr="00DF680C">
        <w:rPr>
          <w:b/>
          <w:sz w:val="32"/>
          <w:szCs w:val="32"/>
        </w:rPr>
        <w:t>MěÚ</w:t>
      </w:r>
      <w:proofErr w:type="spellEnd"/>
      <w:r w:rsidR="004D052A" w:rsidRPr="00DF680C">
        <w:rPr>
          <w:b/>
          <w:sz w:val="32"/>
          <w:szCs w:val="32"/>
        </w:rPr>
        <w:t xml:space="preserve"> náměstí</w:t>
      </w:r>
      <w:r w:rsidR="007231AF" w:rsidRPr="00DF680C">
        <w:rPr>
          <w:b/>
          <w:sz w:val="32"/>
          <w:szCs w:val="32"/>
        </w:rPr>
        <w:t xml:space="preserve"> 9. </w:t>
      </w:r>
      <w:r w:rsidR="006B4CC6" w:rsidRPr="00DF680C">
        <w:rPr>
          <w:b/>
          <w:sz w:val="32"/>
          <w:szCs w:val="32"/>
        </w:rPr>
        <w:t>k</w:t>
      </w:r>
      <w:r w:rsidR="007231AF" w:rsidRPr="00DF680C">
        <w:rPr>
          <w:b/>
          <w:sz w:val="32"/>
          <w:szCs w:val="32"/>
        </w:rPr>
        <w:t>větna</w:t>
      </w:r>
      <w:r w:rsidR="006B4CC6" w:rsidRPr="00DF680C">
        <w:rPr>
          <w:b/>
          <w:sz w:val="32"/>
          <w:szCs w:val="32"/>
        </w:rPr>
        <w:t xml:space="preserve"> </w:t>
      </w:r>
      <w:r w:rsidR="00AC0A25" w:rsidRPr="00DF680C">
        <w:rPr>
          <w:b/>
          <w:sz w:val="32"/>
          <w:szCs w:val="32"/>
        </w:rPr>
        <w:t>954/</w:t>
      </w:r>
      <w:r w:rsidR="006B4CC6" w:rsidRPr="00DF680C">
        <w:rPr>
          <w:b/>
          <w:sz w:val="32"/>
          <w:szCs w:val="32"/>
        </w:rPr>
        <w:t>2</w:t>
      </w:r>
      <w:r w:rsidR="00AC0A25" w:rsidRPr="00DF680C">
        <w:rPr>
          <w:b/>
          <w:sz w:val="32"/>
          <w:szCs w:val="32"/>
        </w:rPr>
        <w:t>, Boskovice</w:t>
      </w:r>
    </w:p>
    <w:p w14:paraId="51A8338C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I.</w:t>
      </w:r>
    </w:p>
    <w:p w14:paraId="3CCE703B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Cena tepelné energie</w:t>
      </w:r>
    </w:p>
    <w:p w14:paraId="56B46744" w14:textId="77777777" w:rsidR="006F4F71" w:rsidRPr="00085F3D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I.1. Cena tepelné energie je tvořena v souladu se zákonem č. 526/1990 Sb., o cenách, ve znění pozdějších předpisů, s prováděcí vyhláškou č. </w:t>
      </w:r>
      <w:r w:rsidR="00890C9E" w:rsidRPr="00DF680C">
        <w:rPr>
          <w:szCs w:val="24"/>
        </w:rPr>
        <w:t>450/2009</w:t>
      </w:r>
      <w:r w:rsidRPr="00DF680C">
        <w:rPr>
          <w:szCs w:val="24"/>
        </w:rPr>
        <w:t xml:space="preserve"> Sb., ve znění pozdějších předpisů, a v souladu s platnými </w:t>
      </w:r>
      <w:r w:rsidRPr="00085F3D">
        <w:rPr>
          <w:szCs w:val="24"/>
        </w:rPr>
        <w:t>cenovými rozhodnutími Energetického regulačního úřadu.</w:t>
      </w:r>
    </w:p>
    <w:p w14:paraId="61EA81C1" w14:textId="554BD46B" w:rsidR="006F4F71" w:rsidRPr="00085F3D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085F3D">
        <w:rPr>
          <w:szCs w:val="24"/>
        </w:rPr>
        <w:t xml:space="preserve">I.2. Cena za tepelnou energii se účtuje formou jednosložkové ceny ve výši </w:t>
      </w:r>
      <w:r w:rsidR="009F0EEA">
        <w:rPr>
          <w:b/>
          <w:szCs w:val="24"/>
        </w:rPr>
        <w:t>1</w:t>
      </w:r>
      <w:r w:rsidR="00121F5E">
        <w:rPr>
          <w:b/>
          <w:szCs w:val="24"/>
        </w:rPr>
        <w:t>018</w:t>
      </w:r>
      <w:r w:rsidR="009F0EEA">
        <w:rPr>
          <w:b/>
          <w:szCs w:val="24"/>
        </w:rPr>
        <w:t>,</w:t>
      </w:r>
      <w:r w:rsidR="00121F5E">
        <w:rPr>
          <w:b/>
          <w:szCs w:val="24"/>
        </w:rPr>
        <w:t>55</w:t>
      </w:r>
      <w:r w:rsidRPr="00085F3D">
        <w:rPr>
          <w:b/>
          <w:bCs/>
          <w:szCs w:val="24"/>
        </w:rPr>
        <w:t xml:space="preserve"> Kč/GJ</w:t>
      </w:r>
      <w:r w:rsidRPr="00085F3D">
        <w:rPr>
          <w:szCs w:val="24"/>
        </w:rPr>
        <w:t xml:space="preserve"> (včetně DPH).</w:t>
      </w:r>
    </w:p>
    <w:p w14:paraId="7C80B216" w14:textId="44BD1F1B" w:rsidR="001D38E1" w:rsidRPr="00085F3D" w:rsidRDefault="001D38E1" w:rsidP="001D38E1">
      <w:pPr>
        <w:autoSpaceDE w:val="0"/>
        <w:autoSpaceDN w:val="0"/>
        <w:adjustRightInd w:val="0"/>
        <w:spacing w:before="120" w:after="120"/>
        <w:jc w:val="both"/>
        <w:rPr>
          <w:i/>
          <w:szCs w:val="24"/>
        </w:rPr>
      </w:pPr>
      <w:r w:rsidRPr="00085F3D">
        <w:rPr>
          <w:i/>
          <w:szCs w:val="24"/>
        </w:rPr>
        <w:t xml:space="preserve">Cena tepelné energie je </w:t>
      </w:r>
      <w:r w:rsidR="009F0EEA">
        <w:rPr>
          <w:b/>
          <w:i/>
          <w:szCs w:val="24"/>
        </w:rPr>
        <w:t>1</w:t>
      </w:r>
      <w:r w:rsidR="00121F5E">
        <w:rPr>
          <w:b/>
          <w:i/>
          <w:szCs w:val="24"/>
        </w:rPr>
        <w:t>018</w:t>
      </w:r>
      <w:r w:rsidR="009F0EEA">
        <w:rPr>
          <w:b/>
          <w:i/>
          <w:szCs w:val="24"/>
        </w:rPr>
        <w:t>,</w:t>
      </w:r>
      <w:r w:rsidR="00121F5E">
        <w:rPr>
          <w:b/>
          <w:i/>
          <w:szCs w:val="24"/>
        </w:rPr>
        <w:t>55</w:t>
      </w:r>
      <w:r w:rsidRPr="00085F3D">
        <w:rPr>
          <w:b/>
          <w:bCs/>
          <w:i/>
          <w:szCs w:val="24"/>
        </w:rPr>
        <w:t xml:space="preserve"> Kč/GJ</w:t>
      </w:r>
      <w:r w:rsidRPr="00085F3D">
        <w:rPr>
          <w:i/>
          <w:szCs w:val="24"/>
        </w:rPr>
        <w:t xml:space="preserve"> (včetně DPH), jedná se o cenu předběžnou. V předběžné ceně jsou zahrnuty proměnné náklady tj. palivo od dodavatelů, v</w:t>
      </w:r>
      <w:r w:rsidR="00A01362" w:rsidRPr="00085F3D">
        <w:rPr>
          <w:i/>
          <w:szCs w:val="24"/>
        </w:rPr>
        <w:t> jeho cenách platných k 1.</w:t>
      </w:r>
      <w:r w:rsidR="00C55899" w:rsidRPr="00085F3D">
        <w:rPr>
          <w:i/>
          <w:szCs w:val="24"/>
        </w:rPr>
        <w:t xml:space="preserve"> </w:t>
      </w:r>
      <w:r w:rsidR="00A01362" w:rsidRPr="00085F3D">
        <w:rPr>
          <w:i/>
          <w:szCs w:val="24"/>
        </w:rPr>
        <w:t>1.</w:t>
      </w:r>
      <w:r w:rsidR="00C55899" w:rsidRPr="00085F3D">
        <w:rPr>
          <w:i/>
          <w:szCs w:val="24"/>
        </w:rPr>
        <w:t xml:space="preserve">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4</w:t>
      </w:r>
      <w:r w:rsidRPr="00085F3D">
        <w:rPr>
          <w:i/>
          <w:szCs w:val="24"/>
        </w:rPr>
        <w:t xml:space="preserve">. V případě změny cen paliva v průběhu roku bude předběžná cena úměrně tomu změněna v souladu s cenovými předpisy a promítnuta do platby dodávky tepla za příslušný měsíc a měsíce další. Předběžná cena je stanovena za předpokladu celkové dodávky tepelné energie </w:t>
      </w:r>
      <w:r w:rsidR="00F14979" w:rsidRPr="00085F3D">
        <w:rPr>
          <w:b/>
          <w:i/>
          <w:szCs w:val="24"/>
        </w:rPr>
        <w:t>1 234</w:t>
      </w:r>
      <w:r w:rsidR="008F2481" w:rsidRPr="00085F3D">
        <w:rPr>
          <w:b/>
          <w:i/>
          <w:szCs w:val="24"/>
        </w:rPr>
        <w:t>,00</w:t>
      </w:r>
      <w:r w:rsidRPr="00085F3D">
        <w:rPr>
          <w:b/>
          <w:bCs/>
          <w:i/>
          <w:szCs w:val="24"/>
        </w:rPr>
        <w:t xml:space="preserve"> </w:t>
      </w:r>
      <w:r w:rsidRPr="00085F3D">
        <w:rPr>
          <w:b/>
          <w:i/>
          <w:szCs w:val="24"/>
        </w:rPr>
        <w:t>GJ</w:t>
      </w:r>
      <w:r w:rsidR="00A01362" w:rsidRPr="00085F3D">
        <w:rPr>
          <w:i/>
          <w:szCs w:val="24"/>
        </w:rPr>
        <w:t xml:space="preserve"> za období 1.</w:t>
      </w:r>
      <w:r w:rsidR="00C55899" w:rsidRPr="00085F3D">
        <w:rPr>
          <w:i/>
          <w:szCs w:val="24"/>
        </w:rPr>
        <w:t xml:space="preserve"> </w:t>
      </w:r>
      <w:r w:rsidR="00A01362" w:rsidRPr="00085F3D">
        <w:rPr>
          <w:i/>
          <w:szCs w:val="24"/>
        </w:rPr>
        <w:t>1.</w:t>
      </w:r>
      <w:r w:rsidR="00C55899" w:rsidRPr="00085F3D">
        <w:rPr>
          <w:i/>
          <w:szCs w:val="24"/>
        </w:rPr>
        <w:t xml:space="preserve">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4</w:t>
      </w:r>
      <w:r w:rsidRPr="00085F3D">
        <w:rPr>
          <w:i/>
          <w:szCs w:val="24"/>
        </w:rPr>
        <w:t xml:space="preserve"> – 31.</w:t>
      </w:r>
      <w:r w:rsidR="00C55899" w:rsidRPr="00085F3D">
        <w:rPr>
          <w:i/>
          <w:szCs w:val="24"/>
        </w:rPr>
        <w:t xml:space="preserve"> </w:t>
      </w:r>
      <w:r w:rsidRPr="00085F3D">
        <w:rPr>
          <w:i/>
          <w:szCs w:val="24"/>
        </w:rPr>
        <w:t>12.</w:t>
      </w:r>
      <w:r w:rsidR="00C55899" w:rsidRPr="00085F3D">
        <w:rPr>
          <w:i/>
          <w:szCs w:val="24"/>
        </w:rPr>
        <w:t xml:space="preserve">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4</w:t>
      </w:r>
      <w:r w:rsidRPr="00085F3D">
        <w:rPr>
          <w:i/>
          <w:szCs w:val="24"/>
        </w:rPr>
        <w:t xml:space="preserve">. V případě, že po skončení roku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4</w:t>
      </w:r>
      <w:r w:rsidRPr="00085F3D">
        <w:rPr>
          <w:i/>
          <w:szCs w:val="24"/>
        </w:rPr>
        <w:t xml:space="preserve"> bude skutečné množství dodávek tepla odlišné, bude cena tepla úměrně tomu změněna. Vyrovnání předběžné ceny na cenu výslednou, vypočtenou podle výše uvedených zása</w:t>
      </w:r>
      <w:r w:rsidR="00A01362" w:rsidRPr="00085F3D">
        <w:rPr>
          <w:i/>
          <w:szCs w:val="24"/>
        </w:rPr>
        <w:t xml:space="preserve">d, bude provedeno do 25. 1.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5</w:t>
      </w:r>
      <w:r w:rsidRPr="00085F3D">
        <w:rPr>
          <w:i/>
          <w:szCs w:val="24"/>
        </w:rPr>
        <w:t>. V případech, kdy nebude možné některé platby zaúčto</w:t>
      </w:r>
      <w:r w:rsidR="00A01362" w:rsidRPr="00085F3D">
        <w:rPr>
          <w:i/>
          <w:szCs w:val="24"/>
        </w:rPr>
        <w:t xml:space="preserve">vat do ceny tepla do 25. 1.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5</w:t>
      </w:r>
      <w:r w:rsidRPr="00085F3D">
        <w:rPr>
          <w:i/>
          <w:szCs w:val="24"/>
        </w:rPr>
        <w:t>, budou tyto zaú</w:t>
      </w:r>
      <w:r w:rsidR="00A01362" w:rsidRPr="00085F3D">
        <w:rPr>
          <w:i/>
          <w:szCs w:val="24"/>
        </w:rPr>
        <w:t xml:space="preserve">čtovány dodatečně do 28. 2. </w:t>
      </w:r>
      <w:r w:rsidR="008F1328">
        <w:rPr>
          <w:i/>
          <w:szCs w:val="24"/>
        </w:rPr>
        <w:t>202</w:t>
      </w:r>
      <w:r w:rsidR="00121F5E">
        <w:rPr>
          <w:i/>
          <w:szCs w:val="24"/>
        </w:rPr>
        <w:t>5</w:t>
      </w:r>
      <w:r w:rsidRPr="00085F3D">
        <w:rPr>
          <w:i/>
          <w:szCs w:val="24"/>
        </w:rPr>
        <w:t>. Odběratel bude o těchto skutečnostech informován v dostatečném předstihu.</w:t>
      </w:r>
    </w:p>
    <w:p w14:paraId="703CE230" w14:textId="629A3DE9" w:rsidR="006F4F71" w:rsidRPr="00085F3D" w:rsidRDefault="006F4F71" w:rsidP="006F4F71">
      <w:pPr>
        <w:autoSpaceDE w:val="0"/>
        <w:autoSpaceDN w:val="0"/>
        <w:adjustRightInd w:val="0"/>
        <w:spacing w:before="120" w:after="120"/>
        <w:rPr>
          <w:szCs w:val="24"/>
        </w:rPr>
      </w:pPr>
      <w:r w:rsidRPr="00085F3D">
        <w:rPr>
          <w:szCs w:val="24"/>
        </w:rPr>
        <w:t>Cena za tepelnou ener</w:t>
      </w:r>
      <w:r w:rsidR="00875997" w:rsidRPr="00085F3D">
        <w:rPr>
          <w:szCs w:val="24"/>
        </w:rPr>
        <w:t xml:space="preserve">gii, dodávanou v TV (včetně </w:t>
      </w:r>
      <w:r w:rsidR="00475512" w:rsidRPr="00085F3D">
        <w:rPr>
          <w:szCs w:val="24"/>
        </w:rPr>
        <w:t>1</w:t>
      </w:r>
      <w:r w:rsidR="00E30C91">
        <w:rPr>
          <w:szCs w:val="24"/>
        </w:rPr>
        <w:t>2</w:t>
      </w:r>
      <w:r w:rsidR="00475512" w:rsidRPr="00085F3D">
        <w:rPr>
          <w:szCs w:val="24"/>
        </w:rPr>
        <w:t xml:space="preserve"> %</w:t>
      </w:r>
      <w:r w:rsidR="00875997" w:rsidRPr="00085F3D">
        <w:rPr>
          <w:szCs w:val="24"/>
        </w:rPr>
        <w:t xml:space="preserve"> DPH) činí:</w:t>
      </w:r>
      <w:r w:rsidR="00875997" w:rsidRPr="00085F3D">
        <w:rPr>
          <w:szCs w:val="24"/>
        </w:rPr>
        <w:tab/>
      </w:r>
      <w:r w:rsidR="0032144D">
        <w:rPr>
          <w:szCs w:val="24"/>
        </w:rPr>
        <w:t>1</w:t>
      </w:r>
      <w:r w:rsidR="00121F5E">
        <w:rPr>
          <w:szCs w:val="24"/>
        </w:rPr>
        <w:t>018</w:t>
      </w:r>
      <w:r w:rsidR="0032144D">
        <w:rPr>
          <w:szCs w:val="24"/>
        </w:rPr>
        <w:t>,</w:t>
      </w:r>
      <w:r w:rsidR="00121F5E">
        <w:rPr>
          <w:szCs w:val="24"/>
        </w:rPr>
        <w:t>55</w:t>
      </w:r>
      <w:r w:rsidRPr="00085F3D">
        <w:rPr>
          <w:szCs w:val="24"/>
        </w:rPr>
        <w:t xml:space="preserve"> Kč/GJ</w:t>
      </w:r>
    </w:p>
    <w:p w14:paraId="6ABE305D" w14:textId="165DE0F9" w:rsidR="006F4F71" w:rsidRPr="00085F3D" w:rsidRDefault="006F4F71" w:rsidP="006F4F71">
      <w:pPr>
        <w:autoSpaceDE w:val="0"/>
        <w:autoSpaceDN w:val="0"/>
        <w:adjustRightInd w:val="0"/>
        <w:spacing w:before="120" w:after="120"/>
        <w:rPr>
          <w:szCs w:val="24"/>
        </w:rPr>
      </w:pPr>
      <w:r w:rsidRPr="00085F3D">
        <w:rPr>
          <w:szCs w:val="24"/>
        </w:rPr>
        <w:t>Způsob platby:</w:t>
      </w:r>
      <w:r w:rsidR="00284195">
        <w:rPr>
          <w:szCs w:val="24"/>
        </w:rPr>
        <w:tab/>
      </w:r>
      <w:r w:rsidR="00284195">
        <w:rPr>
          <w:szCs w:val="24"/>
        </w:rPr>
        <w:tab/>
        <w:t>zálohový, převodním příkazem</w:t>
      </w:r>
    </w:p>
    <w:p w14:paraId="1D525367" w14:textId="77777777" w:rsidR="006F4F71" w:rsidRPr="00085F3D" w:rsidRDefault="006F4F71" w:rsidP="006F4F71">
      <w:pPr>
        <w:autoSpaceDE w:val="0"/>
        <w:autoSpaceDN w:val="0"/>
        <w:adjustRightInd w:val="0"/>
        <w:spacing w:before="120" w:after="120"/>
        <w:rPr>
          <w:szCs w:val="24"/>
        </w:rPr>
      </w:pPr>
      <w:r w:rsidRPr="00085F3D">
        <w:rPr>
          <w:szCs w:val="24"/>
        </w:rPr>
        <w:t>Splatnost:</w:t>
      </w:r>
      <w:r w:rsidRPr="00085F3D">
        <w:rPr>
          <w:szCs w:val="24"/>
        </w:rPr>
        <w:tab/>
      </w:r>
      <w:r w:rsidRPr="00085F3D">
        <w:rPr>
          <w:szCs w:val="24"/>
        </w:rPr>
        <w:tab/>
      </w:r>
      <w:r w:rsidRPr="00085F3D">
        <w:rPr>
          <w:szCs w:val="24"/>
        </w:rPr>
        <w:tab/>
        <w:t>21 dnů</w:t>
      </w:r>
    </w:p>
    <w:p w14:paraId="7A56544E" w14:textId="77777777" w:rsidR="006F4F71" w:rsidRDefault="006F4F71" w:rsidP="006F4F71">
      <w:pPr>
        <w:rPr>
          <w:szCs w:val="24"/>
        </w:rPr>
      </w:pPr>
      <w:r w:rsidRPr="00085F3D">
        <w:rPr>
          <w:szCs w:val="24"/>
        </w:rPr>
        <w:t>Adresa příje</w:t>
      </w:r>
      <w:r w:rsidR="00823626">
        <w:rPr>
          <w:szCs w:val="24"/>
        </w:rPr>
        <w:t>mce faktury:</w:t>
      </w:r>
      <w:r w:rsidR="00823626">
        <w:rPr>
          <w:szCs w:val="24"/>
        </w:rPr>
        <w:tab/>
        <w:t>Masarykovo nám. 4/2</w:t>
      </w:r>
      <w:r w:rsidR="00047B0E">
        <w:rPr>
          <w:szCs w:val="24"/>
        </w:rPr>
        <w:t>, 680 01</w:t>
      </w:r>
      <w:r w:rsidRPr="00085F3D">
        <w:rPr>
          <w:szCs w:val="24"/>
        </w:rPr>
        <w:t xml:space="preserve"> Boskovice</w:t>
      </w:r>
    </w:p>
    <w:p w14:paraId="5CED35E3" w14:textId="77777777" w:rsidR="00B24C9D" w:rsidRPr="00085F3D" w:rsidRDefault="00B24C9D" w:rsidP="006F4F71">
      <w:pPr>
        <w:rPr>
          <w:b/>
          <w:szCs w:val="24"/>
        </w:rPr>
      </w:pPr>
    </w:p>
    <w:p w14:paraId="1339218E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>I.3. Případnou změnu cenových ujednání oznámí dodavat</w:t>
      </w:r>
      <w:r w:rsidR="00C55899" w:rsidRPr="00DF680C">
        <w:rPr>
          <w:szCs w:val="24"/>
        </w:rPr>
        <w:t>el odběrateli nejpozději do 15</w:t>
      </w:r>
      <w:r w:rsidRPr="00DF680C">
        <w:rPr>
          <w:szCs w:val="24"/>
        </w:rPr>
        <w:t xml:space="preserve"> dnů po oznámení dodavatele o změně ceny tepelné energie. </w:t>
      </w:r>
    </w:p>
    <w:p w14:paraId="11C90122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I.4. Budou-li smluvní strany v prodlení jakéhokoliv peněžitého závazku, činí úrok z prodlení 0,05 % z dlužné částky za každý den prodlení až do úplného zaplacení.</w:t>
      </w:r>
    </w:p>
    <w:p w14:paraId="673D1FD5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I.5. Dodavatel se zavazuje provádět zúčtování dodávky tepelné energie ročními fakturami s náležitostmi daňového dokladu podle platných právních předpisů, a to vždy do 28. 2. následujícího roku.</w:t>
      </w:r>
    </w:p>
    <w:p w14:paraId="2EFB2E35" w14:textId="77777777" w:rsidR="006F4F71" w:rsidRPr="00DF680C" w:rsidRDefault="006F4F71" w:rsidP="006F4F71">
      <w:pPr>
        <w:spacing w:before="120" w:after="120"/>
        <w:jc w:val="both"/>
        <w:rPr>
          <w:i/>
          <w:szCs w:val="24"/>
        </w:rPr>
      </w:pPr>
    </w:p>
    <w:p w14:paraId="75287C72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II.</w:t>
      </w:r>
    </w:p>
    <w:p w14:paraId="2D3B0F69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center"/>
        <w:rPr>
          <w:b/>
          <w:sz w:val="24"/>
          <w:szCs w:val="24"/>
        </w:rPr>
      </w:pPr>
      <w:r w:rsidRPr="00DF680C">
        <w:rPr>
          <w:b/>
          <w:sz w:val="24"/>
          <w:szCs w:val="24"/>
        </w:rPr>
        <w:t>Dohoda o zálohách</w:t>
      </w:r>
    </w:p>
    <w:p w14:paraId="4DCAFB7F" w14:textId="77777777" w:rsidR="006F4F71" w:rsidRPr="00085F3D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II.1. Smluvní strany se dohodly, že odběratel dodavateli bude poskytovat dílčí platby ročního plnění za dodávku tepelné energie ve </w:t>
      </w:r>
      <w:r w:rsidRPr="00085F3D">
        <w:rPr>
          <w:szCs w:val="24"/>
        </w:rPr>
        <w:t>formě měsíčních záloh</w:t>
      </w:r>
    </w:p>
    <w:p w14:paraId="7F1F147E" w14:textId="40113186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085F3D">
        <w:rPr>
          <w:szCs w:val="24"/>
        </w:rPr>
        <w:t xml:space="preserve">II.2. Celková zálohová částka na </w:t>
      </w:r>
      <w:r w:rsidRPr="00B24C9D">
        <w:rPr>
          <w:szCs w:val="24"/>
        </w:rPr>
        <w:t xml:space="preserve">období činí </w:t>
      </w:r>
      <w:r w:rsidR="00D87752">
        <w:rPr>
          <w:b/>
          <w:szCs w:val="24"/>
        </w:rPr>
        <w:t>1 </w:t>
      </w:r>
      <w:r w:rsidR="00121F5E">
        <w:rPr>
          <w:b/>
          <w:szCs w:val="24"/>
        </w:rPr>
        <w:t>2</w:t>
      </w:r>
      <w:r w:rsidR="00D87752">
        <w:rPr>
          <w:b/>
          <w:szCs w:val="24"/>
        </w:rPr>
        <w:t>5</w:t>
      </w:r>
      <w:r w:rsidR="00121F5E">
        <w:rPr>
          <w:b/>
          <w:szCs w:val="24"/>
        </w:rPr>
        <w:t>6</w:t>
      </w:r>
      <w:r w:rsidR="00D87752">
        <w:rPr>
          <w:b/>
          <w:szCs w:val="24"/>
        </w:rPr>
        <w:t xml:space="preserve"> </w:t>
      </w:r>
      <w:r w:rsidR="00121F5E">
        <w:rPr>
          <w:b/>
          <w:szCs w:val="24"/>
        </w:rPr>
        <w:t>890</w:t>
      </w:r>
      <w:r w:rsidR="00E633DA">
        <w:rPr>
          <w:b/>
          <w:szCs w:val="24"/>
        </w:rPr>
        <w:t>,00</w:t>
      </w:r>
      <w:r w:rsidRPr="00B24C9D">
        <w:rPr>
          <w:szCs w:val="24"/>
        </w:rPr>
        <w:t xml:space="preserve"> (včetně DPH). Vychází z kalkulace nákladů na dodávku požadovaného množství tepla </w:t>
      </w:r>
      <w:r w:rsidR="00F14979" w:rsidRPr="00B24C9D">
        <w:rPr>
          <w:b/>
          <w:bCs/>
          <w:szCs w:val="24"/>
        </w:rPr>
        <w:t>1 234</w:t>
      </w:r>
      <w:r w:rsidR="008F2481" w:rsidRPr="00B24C9D">
        <w:rPr>
          <w:b/>
          <w:bCs/>
          <w:szCs w:val="24"/>
        </w:rPr>
        <w:t>,00</w:t>
      </w:r>
      <w:r w:rsidRPr="00B24C9D">
        <w:rPr>
          <w:b/>
          <w:bCs/>
          <w:szCs w:val="24"/>
        </w:rPr>
        <w:t xml:space="preserve"> GJ</w:t>
      </w:r>
      <w:r w:rsidRPr="00B24C9D">
        <w:rPr>
          <w:szCs w:val="24"/>
        </w:rPr>
        <w:t xml:space="preserve">. </w:t>
      </w:r>
      <w:r w:rsidRPr="00DF680C">
        <w:rPr>
          <w:szCs w:val="24"/>
        </w:rPr>
        <w:t>Odběratelem bude dodavateli poskytována měsíční záloha ve výši:</w:t>
      </w:r>
    </w:p>
    <w:p w14:paraId="66623269" w14:textId="77777777" w:rsidR="00F14979" w:rsidRPr="00DF680C" w:rsidRDefault="00F14979" w:rsidP="006F4F71">
      <w:pPr>
        <w:spacing w:before="120" w:after="120"/>
        <w:jc w:val="both"/>
        <w:rPr>
          <w:szCs w:val="24"/>
        </w:rPr>
      </w:pPr>
    </w:p>
    <w:p w14:paraId="6034E419" w14:textId="77777777" w:rsidR="00F14979" w:rsidRPr="00DF680C" w:rsidRDefault="00F14979" w:rsidP="006F4F71">
      <w:pPr>
        <w:spacing w:before="120" w:after="120"/>
        <w:jc w:val="both"/>
        <w:rPr>
          <w:szCs w:val="24"/>
        </w:rPr>
      </w:pPr>
    </w:p>
    <w:tbl>
      <w:tblPr>
        <w:tblW w:w="8400" w:type="dxa"/>
        <w:tblInd w:w="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121F5E" w:rsidRPr="00121F5E" w14:paraId="7A7866DA" w14:textId="77777777" w:rsidTr="00121F5E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2B014" w14:textId="77777777" w:rsidR="00121F5E" w:rsidRPr="00121F5E" w:rsidRDefault="00121F5E" w:rsidP="00121F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lastRenderedPageBreak/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E893" w14:textId="77777777" w:rsidR="00121F5E" w:rsidRPr="00121F5E" w:rsidRDefault="00121F5E" w:rsidP="00121F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C2C3C" w14:textId="77777777" w:rsidR="00121F5E" w:rsidRPr="00121F5E" w:rsidRDefault="00121F5E" w:rsidP="00121F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C06" w14:textId="77777777" w:rsidR="00121F5E" w:rsidRPr="00121F5E" w:rsidRDefault="00121F5E" w:rsidP="00121F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64054" w14:textId="77777777" w:rsidR="00121F5E" w:rsidRPr="00121F5E" w:rsidRDefault="00121F5E" w:rsidP="00121F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EC1AA" w14:textId="77777777" w:rsidR="00121F5E" w:rsidRPr="00121F5E" w:rsidRDefault="00121F5E" w:rsidP="00121F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121F5E" w:rsidRPr="00121F5E" w14:paraId="46BE8831" w14:textId="77777777" w:rsidTr="00121F5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C010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B2437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228 155,00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3C4E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4C82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31 575,00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FEB4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1362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19 352,00</w:t>
            </w:r>
          </w:p>
        </w:tc>
      </w:tr>
      <w:tr w:rsidR="00121F5E" w:rsidRPr="00121F5E" w14:paraId="302B6673" w14:textId="77777777" w:rsidTr="00121F5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A7BB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61F0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193 525,00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0616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41ED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8 148,00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E2F5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EC43F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100 836,00</w:t>
            </w:r>
          </w:p>
        </w:tc>
      </w:tr>
      <w:tr w:rsidR="00121F5E" w:rsidRPr="00121F5E" w14:paraId="60C61D94" w14:textId="77777777" w:rsidTr="00121F5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62126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25A56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170 098,00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8389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306FF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8 148,00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3184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565D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170 098,00</w:t>
            </w:r>
          </w:p>
        </w:tc>
      </w:tr>
      <w:tr w:rsidR="00121F5E" w:rsidRPr="00121F5E" w14:paraId="3F7A1800" w14:textId="77777777" w:rsidTr="00121F5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90E8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DB77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112 041,00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2D22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6771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8 148,00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17B8" w14:textId="77777777" w:rsidR="00121F5E" w:rsidRPr="00121F5E" w:rsidRDefault="00121F5E" w:rsidP="00121F5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21F5E"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BB420" w14:textId="77777777" w:rsidR="00121F5E" w:rsidRPr="00121F5E" w:rsidRDefault="00121F5E" w:rsidP="00121F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F5E">
              <w:rPr>
                <w:b/>
                <w:bCs/>
                <w:color w:val="000000"/>
                <w:sz w:val="22"/>
                <w:szCs w:val="22"/>
              </w:rPr>
              <w:t>206 766,00</w:t>
            </w:r>
          </w:p>
        </w:tc>
      </w:tr>
    </w:tbl>
    <w:p w14:paraId="3B8D24EC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na základě dodavatelem vystavených zálohových faktur.</w:t>
      </w:r>
    </w:p>
    <w:p w14:paraId="30CE3F49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>II.3. Dodavatel se zavazuje provést konečné vyúčtování zálohových faktur do 28. 2. následujícího roku.</w:t>
      </w:r>
    </w:p>
    <w:p w14:paraId="735EAD48" w14:textId="77777777" w:rsidR="006F4F71" w:rsidRPr="00DF680C" w:rsidRDefault="006F4F71" w:rsidP="006F4F71">
      <w:pPr>
        <w:jc w:val="both"/>
        <w:rPr>
          <w:i/>
          <w:szCs w:val="24"/>
        </w:rPr>
      </w:pPr>
    </w:p>
    <w:p w14:paraId="122A943A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III.</w:t>
      </w:r>
    </w:p>
    <w:p w14:paraId="06852C4C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center"/>
        <w:rPr>
          <w:b/>
          <w:sz w:val="24"/>
          <w:szCs w:val="24"/>
        </w:rPr>
      </w:pPr>
      <w:r w:rsidRPr="00DF680C">
        <w:rPr>
          <w:b/>
          <w:sz w:val="24"/>
          <w:szCs w:val="24"/>
        </w:rPr>
        <w:t>Odběrový diagram</w:t>
      </w:r>
    </w:p>
    <w:p w14:paraId="3E010E11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  <w:r w:rsidRPr="00DF680C">
        <w:rPr>
          <w:sz w:val="24"/>
          <w:szCs w:val="24"/>
        </w:rPr>
        <w:t>III.1. Celkový plánovaný odběr tepelné energie, včetně časového rozlišení odběru, je uveden v odběrovém diagramu:</w:t>
      </w:r>
    </w:p>
    <w:p w14:paraId="49856D54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both"/>
        <w:rPr>
          <w:b/>
          <w:i/>
          <w:sz w:val="24"/>
          <w:szCs w:val="24"/>
        </w:rPr>
      </w:pPr>
      <w:r w:rsidRPr="00DF680C">
        <w:rPr>
          <w:b/>
          <w:i/>
          <w:sz w:val="24"/>
          <w:szCs w:val="24"/>
        </w:rPr>
        <w:t>Návrh odběrového diagramu: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874"/>
        <w:gridCol w:w="565"/>
        <w:gridCol w:w="564"/>
        <w:gridCol w:w="1883"/>
        <w:gridCol w:w="1115"/>
        <w:gridCol w:w="1893"/>
      </w:tblGrid>
      <w:tr w:rsidR="00E83D64" w:rsidRPr="00DF680C" w14:paraId="2F6E9AB3" w14:textId="77777777" w:rsidTr="006F4F71">
        <w:tc>
          <w:tcPr>
            <w:tcW w:w="1150" w:type="dxa"/>
          </w:tcPr>
          <w:p w14:paraId="1EC0107A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1920" w:type="dxa"/>
          </w:tcPr>
          <w:p w14:paraId="4944CD72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 xml:space="preserve">Sjednané množství </w:t>
            </w:r>
          </w:p>
        </w:tc>
        <w:tc>
          <w:tcPr>
            <w:tcW w:w="1140" w:type="dxa"/>
            <w:gridSpan w:val="2"/>
          </w:tcPr>
          <w:p w14:paraId="6F8A5FEF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1930" w:type="dxa"/>
          </w:tcPr>
          <w:p w14:paraId="2A8F45A4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 xml:space="preserve">Sjednané množství </w:t>
            </w:r>
          </w:p>
        </w:tc>
        <w:tc>
          <w:tcPr>
            <w:tcW w:w="1130" w:type="dxa"/>
          </w:tcPr>
          <w:p w14:paraId="556F7B1F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1940" w:type="dxa"/>
          </w:tcPr>
          <w:p w14:paraId="30D3263C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 xml:space="preserve">Sjednané množství </w:t>
            </w:r>
          </w:p>
        </w:tc>
      </w:tr>
      <w:tr w:rsidR="00E83D64" w:rsidRPr="00DF680C" w14:paraId="6EF6DBE4" w14:textId="77777777" w:rsidTr="006F4F71">
        <w:tc>
          <w:tcPr>
            <w:tcW w:w="1150" w:type="dxa"/>
          </w:tcPr>
          <w:p w14:paraId="413182C5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1920" w:type="dxa"/>
          </w:tcPr>
          <w:p w14:paraId="23728CD2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140" w:type="dxa"/>
            <w:gridSpan w:val="2"/>
          </w:tcPr>
          <w:p w14:paraId="7C91122D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1930" w:type="dxa"/>
          </w:tcPr>
          <w:p w14:paraId="647349E6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0" w:type="dxa"/>
          </w:tcPr>
          <w:p w14:paraId="35E6D8A4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1940" w:type="dxa"/>
          </w:tcPr>
          <w:p w14:paraId="7411EE7B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E83D64" w:rsidRPr="00DF680C" w14:paraId="0574F552" w14:textId="77777777" w:rsidTr="006F4F71">
        <w:tc>
          <w:tcPr>
            <w:tcW w:w="1150" w:type="dxa"/>
          </w:tcPr>
          <w:p w14:paraId="0F5EB9BC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1920" w:type="dxa"/>
          </w:tcPr>
          <w:p w14:paraId="4008172C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40" w:type="dxa"/>
            <w:gridSpan w:val="2"/>
          </w:tcPr>
          <w:p w14:paraId="116DBD77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1930" w:type="dxa"/>
          </w:tcPr>
          <w:p w14:paraId="3A0A46D6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0" w:type="dxa"/>
          </w:tcPr>
          <w:p w14:paraId="374C59F5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1940" w:type="dxa"/>
          </w:tcPr>
          <w:p w14:paraId="0723DA28" w14:textId="77777777" w:rsidR="008F2481" w:rsidRPr="00DF680C" w:rsidRDefault="00F14979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E83D64" w:rsidRPr="00DF680C" w14:paraId="6D0888CE" w14:textId="77777777" w:rsidTr="006F4F71">
        <w:tc>
          <w:tcPr>
            <w:tcW w:w="1150" w:type="dxa"/>
          </w:tcPr>
          <w:p w14:paraId="72F3F485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1920" w:type="dxa"/>
          </w:tcPr>
          <w:p w14:paraId="13F89931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140" w:type="dxa"/>
            <w:gridSpan w:val="2"/>
          </w:tcPr>
          <w:p w14:paraId="43199E7A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1930" w:type="dxa"/>
          </w:tcPr>
          <w:p w14:paraId="48E19892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0" w:type="dxa"/>
          </w:tcPr>
          <w:p w14:paraId="11A6E23F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940" w:type="dxa"/>
          </w:tcPr>
          <w:p w14:paraId="4A42501F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</w:tr>
      <w:tr w:rsidR="00E83D64" w:rsidRPr="00DF680C" w14:paraId="1D15902F" w14:textId="77777777" w:rsidTr="006F4F71">
        <w:tc>
          <w:tcPr>
            <w:tcW w:w="1150" w:type="dxa"/>
            <w:tcBorders>
              <w:bottom w:val="single" w:sz="4" w:space="0" w:color="auto"/>
            </w:tcBorders>
          </w:tcPr>
          <w:p w14:paraId="7B7534FA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A7E5B9F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3C8DC5E4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25EDA195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85C9E3B" w14:textId="77777777" w:rsidR="008F2481" w:rsidRPr="00DF680C" w:rsidRDefault="008F248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680C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1940" w:type="dxa"/>
          </w:tcPr>
          <w:p w14:paraId="042F13C1" w14:textId="77777777" w:rsidR="008F2481" w:rsidRPr="00DF680C" w:rsidRDefault="00085F3D" w:rsidP="00F149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</w:tr>
      <w:tr w:rsidR="00E83D64" w:rsidRPr="00DF680C" w14:paraId="1ED9A035" w14:textId="77777777" w:rsidTr="006F4F71">
        <w:tc>
          <w:tcPr>
            <w:tcW w:w="3635" w:type="dxa"/>
            <w:gridSpan w:val="3"/>
            <w:tcBorders>
              <w:right w:val="nil"/>
            </w:tcBorders>
          </w:tcPr>
          <w:p w14:paraId="5F490FF9" w14:textId="77777777" w:rsidR="006F4F71" w:rsidRPr="00DF680C" w:rsidRDefault="006F4F71" w:rsidP="006F4F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3635" w:type="dxa"/>
            <w:gridSpan w:val="3"/>
            <w:tcBorders>
              <w:left w:val="nil"/>
            </w:tcBorders>
          </w:tcPr>
          <w:p w14:paraId="10F6A671" w14:textId="77777777" w:rsidR="006F4F71" w:rsidRPr="00DF680C" w:rsidRDefault="00F14979" w:rsidP="006F4F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>1 234</w:t>
            </w:r>
            <w:r w:rsidR="006F4F71" w:rsidRPr="00DF680C">
              <w:rPr>
                <w:rFonts w:ascii="Arial" w:hAnsi="Arial" w:cs="Arial"/>
                <w:b/>
              </w:rPr>
              <w:t>,</w:t>
            </w:r>
            <w:r w:rsidR="008F2481" w:rsidRPr="00DF680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40" w:type="dxa"/>
          </w:tcPr>
          <w:p w14:paraId="615BEE80" w14:textId="77777777" w:rsidR="006F4F71" w:rsidRPr="00DF680C" w:rsidRDefault="006F4F71" w:rsidP="006F4F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DF680C">
              <w:rPr>
                <w:rFonts w:ascii="Arial" w:hAnsi="Arial" w:cs="Arial"/>
                <w:b/>
              </w:rPr>
              <w:t>GJ</w:t>
            </w:r>
          </w:p>
        </w:tc>
      </w:tr>
    </w:tbl>
    <w:p w14:paraId="1DE3E6D3" w14:textId="49896C2A" w:rsidR="00A65237" w:rsidRDefault="006F4F71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  <w:r w:rsidRPr="00DF680C">
        <w:rPr>
          <w:sz w:val="24"/>
          <w:szCs w:val="24"/>
        </w:rPr>
        <w:t xml:space="preserve">III.2. Případné změny odběrového diagramu na následující rok sjednává odběratel a dodavatel vždy do 28. 2. příslušného kalendářního roku. Nepodá-li odběratel návrh na nový odběrový diagram, prodlužuje se platnost diagramu na další kalendářní rok. </w:t>
      </w:r>
    </w:p>
    <w:p w14:paraId="38076A50" w14:textId="0F865DDA" w:rsidR="00A02D01" w:rsidRDefault="00A02D01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</w:p>
    <w:p w14:paraId="7B733206" w14:textId="76CB214D" w:rsidR="00A02D01" w:rsidRPr="00DF680C" w:rsidRDefault="00A02D01" w:rsidP="00A02D01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TV - </w:t>
      </w:r>
      <w:proofErr w:type="spellStart"/>
      <w:r w:rsidRPr="00DF680C">
        <w:rPr>
          <w:b/>
          <w:sz w:val="32"/>
          <w:szCs w:val="32"/>
        </w:rPr>
        <w:t>MěÚ</w:t>
      </w:r>
      <w:proofErr w:type="spellEnd"/>
      <w:r w:rsidRPr="00DF680C">
        <w:rPr>
          <w:b/>
          <w:sz w:val="32"/>
          <w:szCs w:val="32"/>
        </w:rPr>
        <w:t xml:space="preserve"> náměstí 9. května 954/2, Boskovice</w:t>
      </w:r>
    </w:p>
    <w:p w14:paraId="0D531D7F" w14:textId="77777777" w:rsidR="00A02D01" w:rsidRPr="00DF680C" w:rsidRDefault="00A02D01" w:rsidP="00A02D0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I.</w:t>
      </w:r>
    </w:p>
    <w:p w14:paraId="489F5ACB" w14:textId="77777777" w:rsidR="00A02D01" w:rsidRPr="00DF680C" w:rsidRDefault="00A02D01" w:rsidP="00A02D0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Cena tepelné energie</w:t>
      </w:r>
    </w:p>
    <w:p w14:paraId="246AE66E" w14:textId="77777777" w:rsidR="00A02D01" w:rsidRPr="00085F3D" w:rsidRDefault="00A02D01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I.1. Cena tepelné energie je tvořena v souladu se zákonem č. 526/1990 Sb., o cenách, ve znění pozdějších předpisů, s prováděcí vyhláškou č. 450/2009 Sb., ve znění pozdějších předpisů, a v souladu s platnými </w:t>
      </w:r>
      <w:r w:rsidRPr="00085F3D">
        <w:rPr>
          <w:szCs w:val="24"/>
        </w:rPr>
        <w:t>cenovými rozhodnutími Energetického regulačního úřadu.</w:t>
      </w:r>
    </w:p>
    <w:p w14:paraId="3416C4C8" w14:textId="19C03259" w:rsidR="00A02D01" w:rsidRPr="00085F3D" w:rsidRDefault="00A02D01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085F3D">
        <w:rPr>
          <w:szCs w:val="24"/>
        </w:rPr>
        <w:t xml:space="preserve">I.2. Cena za tepelnou energii se účtuje formou jednosložkové ceny ve výši </w:t>
      </w:r>
      <w:r>
        <w:rPr>
          <w:b/>
          <w:szCs w:val="24"/>
        </w:rPr>
        <w:t>1</w:t>
      </w:r>
      <w:r w:rsidR="0099017D">
        <w:rPr>
          <w:b/>
          <w:szCs w:val="24"/>
        </w:rPr>
        <w:t>099,11</w:t>
      </w:r>
      <w:r w:rsidRPr="00085F3D">
        <w:rPr>
          <w:b/>
          <w:bCs/>
          <w:szCs w:val="24"/>
        </w:rPr>
        <w:t xml:space="preserve"> Kč/GJ</w:t>
      </w:r>
      <w:r w:rsidRPr="00085F3D">
        <w:rPr>
          <w:szCs w:val="24"/>
        </w:rPr>
        <w:t xml:space="preserve"> (včetně DPH).</w:t>
      </w:r>
    </w:p>
    <w:p w14:paraId="6887F6AF" w14:textId="3FFCF7BA" w:rsidR="00A02D01" w:rsidRPr="00085F3D" w:rsidRDefault="00A02D01" w:rsidP="00A02D01">
      <w:pPr>
        <w:autoSpaceDE w:val="0"/>
        <w:autoSpaceDN w:val="0"/>
        <w:adjustRightInd w:val="0"/>
        <w:spacing w:before="120" w:after="120"/>
        <w:jc w:val="both"/>
        <w:rPr>
          <w:i/>
          <w:szCs w:val="24"/>
        </w:rPr>
      </w:pPr>
      <w:r w:rsidRPr="00085F3D">
        <w:rPr>
          <w:i/>
          <w:szCs w:val="24"/>
        </w:rPr>
        <w:t xml:space="preserve">Cena tepelné energie je </w:t>
      </w:r>
      <w:r>
        <w:rPr>
          <w:b/>
          <w:i/>
          <w:szCs w:val="24"/>
        </w:rPr>
        <w:t>1</w:t>
      </w:r>
      <w:r w:rsidR="0099017D">
        <w:rPr>
          <w:b/>
          <w:i/>
          <w:szCs w:val="24"/>
        </w:rPr>
        <w:t>099,11</w:t>
      </w:r>
      <w:r>
        <w:rPr>
          <w:b/>
          <w:i/>
          <w:szCs w:val="24"/>
        </w:rPr>
        <w:t xml:space="preserve"> </w:t>
      </w:r>
      <w:r w:rsidRPr="00085F3D">
        <w:rPr>
          <w:b/>
          <w:bCs/>
          <w:i/>
          <w:szCs w:val="24"/>
        </w:rPr>
        <w:t>Kč/GJ</w:t>
      </w:r>
      <w:r w:rsidRPr="00085F3D">
        <w:rPr>
          <w:i/>
          <w:szCs w:val="24"/>
        </w:rPr>
        <w:t xml:space="preserve"> (včetně DPH), jedná se o cenu předběžnou. V předběžné ceně jsou zahrnuty proměnné náklady tj. palivo od dodavatelů, v jeho cenách platných k 1. 1. </w:t>
      </w:r>
      <w:r>
        <w:rPr>
          <w:i/>
          <w:szCs w:val="24"/>
        </w:rPr>
        <w:t>202</w:t>
      </w:r>
      <w:r w:rsidR="0099017D">
        <w:rPr>
          <w:i/>
          <w:szCs w:val="24"/>
        </w:rPr>
        <w:t>4</w:t>
      </w:r>
      <w:r w:rsidRPr="00085F3D">
        <w:rPr>
          <w:i/>
          <w:szCs w:val="24"/>
        </w:rPr>
        <w:t xml:space="preserve">. V případě změny cen paliva v průběhu roku bude předběžná cena úměrně tomu změněna v souladu s cenovými předpisy a promítnuta do platby dodávky tepla za příslušný měsíc a měsíce další. Předběžná cena je stanovena za předpokladu celkové dodávky </w:t>
      </w:r>
      <w:r w:rsidRPr="00085F3D">
        <w:rPr>
          <w:i/>
          <w:szCs w:val="24"/>
        </w:rPr>
        <w:lastRenderedPageBreak/>
        <w:t xml:space="preserve">tepelné energie </w:t>
      </w:r>
      <w:r w:rsidR="006B3C6C">
        <w:rPr>
          <w:b/>
          <w:i/>
          <w:szCs w:val="24"/>
        </w:rPr>
        <w:t>94</w:t>
      </w:r>
      <w:r w:rsidRPr="00085F3D">
        <w:rPr>
          <w:b/>
          <w:bCs/>
          <w:i/>
          <w:szCs w:val="24"/>
        </w:rPr>
        <w:t xml:space="preserve"> </w:t>
      </w:r>
      <w:r w:rsidRPr="00085F3D">
        <w:rPr>
          <w:b/>
          <w:i/>
          <w:szCs w:val="24"/>
        </w:rPr>
        <w:t>GJ</w:t>
      </w:r>
      <w:r w:rsidRPr="00085F3D">
        <w:rPr>
          <w:i/>
          <w:szCs w:val="24"/>
        </w:rPr>
        <w:t xml:space="preserve"> za období 1. 1. </w:t>
      </w:r>
      <w:r>
        <w:rPr>
          <w:i/>
          <w:szCs w:val="24"/>
        </w:rPr>
        <w:t>202</w:t>
      </w:r>
      <w:r w:rsidR="0099017D">
        <w:rPr>
          <w:i/>
          <w:szCs w:val="24"/>
        </w:rPr>
        <w:t>4</w:t>
      </w:r>
      <w:r w:rsidRPr="00085F3D">
        <w:rPr>
          <w:i/>
          <w:szCs w:val="24"/>
        </w:rPr>
        <w:t xml:space="preserve"> – 31. 12. </w:t>
      </w:r>
      <w:r>
        <w:rPr>
          <w:i/>
          <w:szCs w:val="24"/>
        </w:rPr>
        <w:t>202</w:t>
      </w:r>
      <w:r w:rsidR="0099017D">
        <w:rPr>
          <w:i/>
          <w:szCs w:val="24"/>
        </w:rPr>
        <w:t>4</w:t>
      </w:r>
      <w:r w:rsidRPr="00085F3D">
        <w:rPr>
          <w:i/>
          <w:szCs w:val="24"/>
        </w:rPr>
        <w:t xml:space="preserve">. V případě, že po skončení roku </w:t>
      </w:r>
      <w:r>
        <w:rPr>
          <w:i/>
          <w:szCs w:val="24"/>
        </w:rPr>
        <w:t>202</w:t>
      </w:r>
      <w:r w:rsidR="0099017D">
        <w:rPr>
          <w:i/>
          <w:szCs w:val="24"/>
        </w:rPr>
        <w:t>4</w:t>
      </w:r>
      <w:r w:rsidRPr="00085F3D">
        <w:rPr>
          <w:i/>
          <w:szCs w:val="24"/>
        </w:rPr>
        <w:t xml:space="preserve"> bude skutečné množství dodávek tepla odlišné, bude cena tepla úměrně tomu změněna. Vyrovnání předběžné ceny na cenu výslednou, vypočtenou podle výše uvedených zásad, bude provedeno do 25. 1. </w:t>
      </w:r>
      <w:r>
        <w:rPr>
          <w:i/>
          <w:szCs w:val="24"/>
        </w:rPr>
        <w:t>202</w:t>
      </w:r>
      <w:r w:rsidR="0099017D">
        <w:rPr>
          <w:i/>
          <w:szCs w:val="24"/>
        </w:rPr>
        <w:t>5</w:t>
      </w:r>
      <w:r w:rsidRPr="00085F3D">
        <w:rPr>
          <w:i/>
          <w:szCs w:val="24"/>
        </w:rPr>
        <w:t xml:space="preserve">. V případech, kdy nebude možné některé platby zaúčtovat do ceny tepla do 25. 1. </w:t>
      </w:r>
      <w:r>
        <w:rPr>
          <w:i/>
          <w:szCs w:val="24"/>
        </w:rPr>
        <w:t>202</w:t>
      </w:r>
      <w:r w:rsidR="0099017D">
        <w:rPr>
          <w:i/>
          <w:szCs w:val="24"/>
        </w:rPr>
        <w:t>5</w:t>
      </w:r>
      <w:r w:rsidRPr="00085F3D">
        <w:rPr>
          <w:i/>
          <w:szCs w:val="24"/>
        </w:rPr>
        <w:t xml:space="preserve">, budou tyto zaúčtovány dodatečně do 28. 2. </w:t>
      </w:r>
      <w:r>
        <w:rPr>
          <w:i/>
          <w:szCs w:val="24"/>
        </w:rPr>
        <w:t>202</w:t>
      </w:r>
      <w:r w:rsidR="0099017D">
        <w:rPr>
          <w:i/>
          <w:szCs w:val="24"/>
        </w:rPr>
        <w:t>5</w:t>
      </w:r>
      <w:r w:rsidRPr="00085F3D">
        <w:rPr>
          <w:i/>
          <w:szCs w:val="24"/>
        </w:rPr>
        <w:t>. Odběratel bude o těchto skutečnostech informován v dostatečném předstihu.</w:t>
      </w:r>
    </w:p>
    <w:p w14:paraId="430F8319" w14:textId="4EF6DD51" w:rsidR="00A02D01" w:rsidRPr="00085F3D" w:rsidRDefault="00A02D01" w:rsidP="00A02D01">
      <w:pPr>
        <w:autoSpaceDE w:val="0"/>
        <w:autoSpaceDN w:val="0"/>
        <w:adjustRightInd w:val="0"/>
        <w:spacing w:before="120" w:after="120"/>
        <w:rPr>
          <w:szCs w:val="24"/>
        </w:rPr>
      </w:pPr>
      <w:r w:rsidRPr="00085F3D">
        <w:rPr>
          <w:szCs w:val="24"/>
        </w:rPr>
        <w:t>Cena za tepelnou energii, dodávanou v TV (včetně 10 % DPH) činí:</w:t>
      </w:r>
      <w:r w:rsidRPr="00085F3D">
        <w:rPr>
          <w:szCs w:val="24"/>
        </w:rPr>
        <w:tab/>
      </w:r>
      <w:r>
        <w:rPr>
          <w:szCs w:val="24"/>
        </w:rPr>
        <w:t>1</w:t>
      </w:r>
      <w:r w:rsidR="0099017D">
        <w:rPr>
          <w:szCs w:val="24"/>
        </w:rPr>
        <w:t>099,11</w:t>
      </w:r>
      <w:r w:rsidRPr="00085F3D">
        <w:rPr>
          <w:szCs w:val="24"/>
        </w:rPr>
        <w:t xml:space="preserve"> Kč/GJ</w:t>
      </w:r>
    </w:p>
    <w:p w14:paraId="452522A9" w14:textId="77777777" w:rsidR="00A02D01" w:rsidRPr="00085F3D" w:rsidRDefault="00A02D01" w:rsidP="00A02D01">
      <w:pPr>
        <w:autoSpaceDE w:val="0"/>
        <w:autoSpaceDN w:val="0"/>
        <w:adjustRightInd w:val="0"/>
        <w:spacing w:before="120" w:after="120"/>
        <w:rPr>
          <w:szCs w:val="24"/>
        </w:rPr>
      </w:pPr>
      <w:r w:rsidRPr="00085F3D">
        <w:rPr>
          <w:szCs w:val="24"/>
        </w:rPr>
        <w:t>Způsob platby:</w:t>
      </w:r>
      <w:r>
        <w:rPr>
          <w:szCs w:val="24"/>
        </w:rPr>
        <w:tab/>
      </w:r>
      <w:r>
        <w:rPr>
          <w:szCs w:val="24"/>
        </w:rPr>
        <w:tab/>
        <w:t>zálohový, převodním příkazem</w:t>
      </w:r>
    </w:p>
    <w:p w14:paraId="3CAF794C" w14:textId="77777777" w:rsidR="00A02D01" w:rsidRPr="00085F3D" w:rsidRDefault="00A02D01" w:rsidP="00A02D01">
      <w:pPr>
        <w:autoSpaceDE w:val="0"/>
        <w:autoSpaceDN w:val="0"/>
        <w:adjustRightInd w:val="0"/>
        <w:spacing w:before="120" w:after="120"/>
        <w:rPr>
          <w:szCs w:val="24"/>
        </w:rPr>
      </w:pPr>
      <w:r w:rsidRPr="00085F3D">
        <w:rPr>
          <w:szCs w:val="24"/>
        </w:rPr>
        <w:t>Splatnost:</w:t>
      </w:r>
      <w:r w:rsidRPr="00085F3D">
        <w:rPr>
          <w:szCs w:val="24"/>
        </w:rPr>
        <w:tab/>
      </w:r>
      <w:r w:rsidRPr="00085F3D">
        <w:rPr>
          <w:szCs w:val="24"/>
        </w:rPr>
        <w:tab/>
      </w:r>
      <w:r w:rsidRPr="00085F3D">
        <w:rPr>
          <w:szCs w:val="24"/>
        </w:rPr>
        <w:tab/>
        <w:t>21 dnů</w:t>
      </w:r>
    </w:p>
    <w:p w14:paraId="32CD3286" w14:textId="77777777" w:rsidR="00A02D01" w:rsidRDefault="00A02D01" w:rsidP="00A02D01">
      <w:pPr>
        <w:rPr>
          <w:szCs w:val="24"/>
        </w:rPr>
      </w:pPr>
      <w:r w:rsidRPr="00085F3D">
        <w:rPr>
          <w:szCs w:val="24"/>
        </w:rPr>
        <w:t>Adresa příje</w:t>
      </w:r>
      <w:r>
        <w:rPr>
          <w:szCs w:val="24"/>
        </w:rPr>
        <w:t>mce faktury:</w:t>
      </w:r>
      <w:r>
        <w:rPr>
          <w:szCs w:val="24"/>
        </w:rPr>
        <w:tab/>
        <w:t>Masarykovo nám. 4/2, 680 01</w:t>
      </w:r>
      <w:r w:rsidRPr="00085F3D">
        <w:rPr>
          <w:szCs w:val="24"/>
        </w:rPr>
        <w:t xml:space="preserve"> Boskovice</w:t>
      </w:r>
    </w:p>
    <w:p w14:paraId="05181753" w14:textId="77777777" w:rsidR="00A02D01" w:rsidRPr="00085F3D" w:rsidRDefault="00A02D01" w:rsidP="00A02D01">
      <w:pPr>
        <w:rPr>
          <w:b/>
          <w:szCs w:val="24"/>
        </w:rPr>
      </w:pPr>
    </w:p>
    <w:p w14:paraId="08437A10" w14:textId="77777777" w:rsidR="00A02D01" w:rsidRPr="00DF680C" w:rsidRDefault="00A02D01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I.3. Případnou změnu cenových ujednání oznámí dodavatel odběrateli nejpozději do 15 dnů po oznámení dodavatele o změně ceny tepelné energie. </w:t>
      </w:r>
    </w:p>
    <w:p w14:paraId="1FAE600D" w14:textId="77777777" w:rsidR="00A02D01" w:rsidRPr="00DF680C" w:rsidRDefault="00A02D01" w:rsidP="00A02D0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I.4. Budou-li smluvní strany v prodlení jakéhokoliv peněžitého závazku, činí úrok z prodlení 0,05 % z dlužné částky za každý den prodlení až do úplného zaplacení.</w:t>
      </w:r>
    </w:p>
    <w:p w14:paraId="7FA79AF3" w14:textId="77777777" w:rsidR="00A02D01" w:rsidRPr="00DF680C" w:rsidRDefault="00A02D01" w:rsidP="00A02D0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I.5. Dodavatel se zavazuje provádět zúčtování dodávky tepelné energie ročními fakturami s náležitostmi daňového dokladu podle platných právních předpisů, a to vždy do 28. 2. následujícího roku.</w:t>
      </w:r>
    </w:p>
    <w:p w14:paraId="5BF06060" w14:textId="77777777" w:rsidR="00A02D01" w:rsidRPr="00DF680C" w:rsidRDefault="00A02D01" w:rsidP="00A02D01">
      <w:pPr>
        <w:spacing w:before="120" w:after="120"/>
        <w:jc w:val="both"/>
        <w:rPr>
          <w:i/>
          <w:szCs w:val="24"/>
        </w:rPr>
      </w:pPr>
    </w:p>
    <w:p w14:paraId="2FAE25B5" w14:textId="77777777" w:rsidR="00A02D01" w:rsidRPr="00DF680C" w:rsidRDefault="00A02D01" w:rsidP="00A02D0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II.</w:t>
      </w:r>
    </w:p>
    <w:p w14:paraId="46E95AA2" w14:textId="77777777" w:rsidR="00A02D01" w:rsidRPr="00DF680C" w:rsidRDefault="00A02D01" w:rsidP="00A02D01">
      <w:pPr>
        <w:pStyle w:val="Zkladntextodsazen2"/>
        <w:spacing w:before="240" w:line="240" w:lineRule="auto"/>
        <w:ind w:left="0"/>
        <w:jc w:val="center"/>
        <w:rPr>
          <w:b/>
          <w:sz w:val="24"/>
          <w:szCs w:val="24"/>
        </w:rPr>
      </w:pPr>
      <w:r w:rsidRPr="00DF680C">
        <w:rPr>
          <w:b/>
          <w:sz w:val="24"/>
          <w:szCs w:val="24"/>
        </w:rPr>
        <w:t>Dohoda o zálohách</w:t>
      </w:r>
    </w:p>
    <w:p w14:paraId="0146D671" w14:textId="77777777" w:rsidR="00A02D01" w:rsidRPr="00085F3D" w:rsidRDefault="00A02D01" w:rsidP="00A02D0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II.1. Smluvní strany se dohodly, že odběratel dodavateli bude poskytovat dílčí platby ročního plnění za dodávku tepelné energie ve </w:t>
      </w:r>
      <w:r w:rsidRPr="00085F3D">
        <w:rPr>
          <w:szCs w:val="24"/>
        </w:rPr>
        <w:t>formě měsíčních záloh</w:t>
      </w:r>
    </w:p>
    <w:p w14:paraId="49F456B2" w14:textId="5392E559" w:rsidR="00A02D01" w:rsidRPr="00DF680C" w:rsidRDefault="00A02D01" w:rsidP="00A02D01">
      <w:pPr>
        <w:spacing w:before="120" w:after="120"/>
        <w:jc w:val="both"/>
        <w:rPr>
          <w:szCs w:val="24"/>
        </w:rPr>
      </w:pPr>
      <w:r w:rsidRPr="00085F3D">
        <w:rPr>
          <w:szCs w:val="24"/>
        </w:rPr>
        <w:t xml:space="preserve">II.2. Celková zálohová částka na </w:t>
      </w:r>
      <w:r w:rsidRPr="00B24C9D">
        <w:rPr>
          <w:szCs w:val="24"/>
        </w:rPr>
        <w:t xml:space="preserve">období činí </w:t>
      </w:r>
      <w:r>
        <w:rPr>
          <w:b/>
          <w:szCs w:val="24"/>
        </w:rPr>
        <w:t>1</w:t>
      </w:r>
      <w:r w:rsidR="0099017D">
        <w:rPr>
          <w:b/>
          <w:szCs w:val="24"/>
        </w:rPr>
        <w:t>03</w:t>
      </w:r>
      <w:r>
        <w:rPr>
          <w:b/>
          <w:szCs w:val="24"/>
        </w:rPr>
        <w:t xml:space="preserve"> </w:t>
      </w:r>
      <w:r w:rsidR="0099017D">
        <w:rPr>
          <w:b/>
          <w:szCs w:val="24"/>
        </w:rPr>
        <w:t>278</w:t>
      </w:r>
      <w:r>
        <w:rPr>
          <w:b/>
          <w:szCs w:val="24"/>
        </w:rPr>
        <w:t>,00</w:t>
      </w:r>
      <w:r w:rsidRPr="00B24C9D">
        <w:rPr>
          <w:szCs w:val="24"/>
        </w:rPr>
        <w:t xml:space="preserve"> (včetně DPH). Vychází z kalkulace nákladů na dodávku požadovaného množství tepla </w:t>
      </w:r>
      <w:r>
        <w:rPr>
          <w:b/>
          <w:bCs/>
          <w:szCs w:val="24"/>
        </w:rPr>
        <w:t>9</w:t>
      </w:r>
      <w:r w:rsidR="000F78BE">
        <w:rPr>
          <w:b/>
          <w:bCs/>
          <w:szCs w:val="24"/>
        </w:rPr>
        <w:t>4</w:t>
      </w:r>
      <w:r w:rsidRPr="00B24C9D">
        <w:rPr>
          <w:b/>
          <w:bCs/>
          <w:szCs w:val="24"/>
        </w:rPr>
        <w:t xml:space="preserve"> GJ</w:t>
      </w:r>
      <w:r w:rsidRPr="00B24C9D">
        <w:rPr>
          <w:szCs w:val="24"/>
        </w:rPr>
        <w:t xml:space="preserve">. </w:t>
      </w:r>
      <w:r w:rsidRPr="00DF680C">
        <w:rPr>
          <w:szCs w:val="24"/>
        </w:rPr>
        <w:t>Odběratelem bude dodavateli poskytována měsíční záloha ve výši:</w:t>
      </w:r>
    </w:p>
    <w:tbl>
      <w:tblPr>
        <w:tblW w:w="8400" w:type="dxa"/>
        <w:tblInd w:w="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0F78BE" w:rsidRPr="000F78BE" w14:paraId="6B7996E2" w14:textId="77777777" w:rsidTr="000F78BE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97669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7050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1828E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6517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50596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2A5A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0F78BE" w:rsidRPr="000F78BE" w14:paraId="79BBBBBD" w14:textId="77777777" w:rsidTr="000F78B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E544A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45BD8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59D1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67393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C7A2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8E02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8 607,00</w:t>
            </w:r>
          </w:p>
        </w:tc>
      </w:tr>
      <w:tr w:rsidR="000F78BE" w:rsidRPr="000F78BE" w14:paraId="4407A2F2" w14:textId="77777777" w:rsidTr="000F78B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39C5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B1B00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A012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4C0E9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738D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B7F2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8 606,00</w:t>
            </w:r>
          </w:p>
        </w:tc>
      </w:tr>
      <w:tr w:rsidR="000F78BE" w:rsidRPr="000F78BE" w14:paraId="7727F925" w14:textId="77777777" w:rsidTr="000F78B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E432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3A8A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79B05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2F551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A10D9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284E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8 607,00</w:t>
            </w:r>
          </w:p>
        </w:tc>
      </w:tr>
      <w:tr w:rsidR="000F78BE" w:rsidRPr="000F78BE" w14:paraId="5AE1F1DB" w14:textId="77777777" w:rsidTr="000F78B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E0537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E3BA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1AC1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24330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89E9" w14:textId="77777777" w:rsidR="000F78BE" w:rsidRPr="000F78BE" w:rsidRDefault="000F78BE" w:rsidP="000F78BE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F78BE"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AB0E" w14:textId="77777777" w:rsidR="000F78BE" w:rsidRPr="000F78BE" w:rsidRDefault="000F78BE" w:rsidP="000F78B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78BE">
              <w:rPr>
                <w:b/>
                <w:bCs/>
                <w:color w:val="000000"/>
                <w:sz w:val="22"/>
                <w:szCs w:val="22"/>
              </w:rPr>
              <w:t>8 606,00</w:t>
            </w:r>
          </w:p>
        </w:tc>
      </w:tr>
    </w:tbl>
    <w:p w14:paraId="3FB225F2" w14:textId="77777777" w:rsidR="00A02D01" w:rsidRPr="00DF680C" w:rsidRDefault="00A02D01" w:rsidP="00A02D0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na základě dodavatelem vystavených zálohových faktur.</w:t>
      </w:r>
    </w:p>
    <w:p w14:paraId="30668ADC" w14:textId="16F0026D" w:rsidR="00A02D01" w:rsidRDefault="00A02D01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>II.3. Dodavatel se zavazuje provést konečné vyúčtování zálohových faktur do 28. 2. následujícího roku.</w:t>
      </w:r>
    </w:p>
    <w:p w14:paraId="1099C121" w14:textId="7592C4EF" w:rsidR="00B90AFC" w:rsidRDefault="00B90AFC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</w:p>
    <w:p w14:paraId="1A99FCA3" w14:textId="207DBDC7" w:rsidR="00B90AFC" w:rsidRDefault="00B90AFC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</w:p>
    <w:p w14:paraId="12E6367D" w14:textId="24C51FEB" w:rsidR="00B90AFC" w:rsidRDefault="00B90AFC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</w:p>
    <w:p w14:paraId="3966514A" w14:textId="77777777" w:rsidR="00B90AFC" w:rsidRPr="00DF680C" w:rsidRDefault="00B90AFC" w:rsidP="00A02D0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</w:p>
    <w:p w14:paraId="68E9DA82" w14:textId="77777777" w:rsidR="00A02D01" w:rsidRPr="00DF680C" w:rsidRDefault="00A02D01" w:rsidP="00A02D01">
      <w:pPr>
        <w:jc w:val="both"/>
        <w:rPr>
          <w:i/>
          <w:szCs w:val="24"/>
        </w:rPr>
      </w:pPr>
    </w:p>
    <w:p w14:paraId="6E709D18" w14:textId="77777777" w:rsidR="00A02D01" w:rsidRPr="00DF680C" w:rsidRDefault="00A02D01" w:rsidP="00A02D0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lastRenderedPageBreak/>
        <w:t>III.</w:t>
      </w:r>
    </w:p>
    <w:p w14:paraId="714782D3" w14:textId="77777777" w:rsidR="00A02D01" w:rsidRPr="00DF680C" w:rsidRDefault="00A02D01" w:rsidP="00A02D01">
      <w:pPr>
        <w:pStyle w:val="Zkladntextodsazen2"/>
        <w:spacing w:before="240" w:line="240" w:lineRule="auto"/>
        <w:ind w:left="0"/>
        <w:jc w:val="center"/>
        <w:rPr>
          <w:b/>
          <w:sz w:val="24"/>
          <w:szCs w:val="24"/>
        </w:rPr>
      </w:pPr>
      <w:r w:rsidRPr="00DF680C">
        <w:rPr>
          <w:b/>
          <w:sz w:val="24"/>
          <w:szCs w:val="24"/>
        </w:rPr>
        <w:t>Odběrový diagram</w:t>
      </w:r>
    </w:p>
    <w:p w14:paraId="5F72C213" w14:textId="77777777" w:rsidR="00A02D01" w:rsidRPr="00DF680C" w:rsidRDefault="00A02D01" w:rsidP="00A02D0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  <w:r w:rsidRPr="00DF680C">
        <w:rPr>
          <w:sz w:val="24"/>
          <w:szCs w:val="24"/>
        </w:rPr>
        <w:t>III.1. Celkový plánovaný odběr tepelné energie, včetně časového rozlišení odběru, je uveden v odběrovém diagramu:</w:t>
      </w:r>
    </w:p>
    <w:p w14:paraId="508C429F" w14:textId="77777777" w:rsidR="00A02D01" w:rsidRPr="00DF680C" w:rsidRDefault="00A02D01" w:rsidP="00A02D01">
      <w:pPr>
        <w:pStyle w:val="Zkladntextodsazen2"/>
        <w:spacing w:before="240" w:line="240" w:lineRule="auto"/>
        <w:ind w:left="0"/>
        <w:jc w:val="both"/>
        <w:rPr>
          <w:b/>
          <w:i/>
          <w:sz w:val="24"/>
          <w:szCs w:val="24"/>
        </w:rPr>
      </w:pPr>
      <w:r w:rsidRPr="00DF680C">
        <w:rPr>
          <w:b/>
          <w:i/>
          <w:sz w:val="24"/>
          <w:szCs w:val="24"/>
        </w:rPr>
        <w:t>Návrh odběrového diagramu:</w:t>
      </w:r>
    </w:p>
    <w:tbl>
      <w:tblPr>
        <w:tblW w:w="8560" w:type="dxa"/>
        <w:tblInd w:w="32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634"/>
        <w:gridCol w:w="1181"/>
        <w:gridCol w:w="1686"/>
        <w:gridCol w:w="1200"/>
        <w:gridCol w:w="1724"/>
        <w:gridCol w:w="160"/>
      </w:tblGrid>
      <w:tr w:rsidR="000F78BE" w:rsidRPr="000F78BE" w14:paraId="7A14AA56" w14:textId="77777777" w:rsidTr="000F78BE">
        <w:trPr>
          <w:gridAfter w:val="1"/>
          <w:wAfter w:w="160" w:type="dxa"/>
          <w:trHeight w:val="58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9C74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BDA6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Sjednané množství  GJ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42ED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4BBA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Sjednané množství  GJ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E693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8498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Sjednané množství  GJ</w:t>
            </w:r>
          </w:p>
        </w:tc>
      </w:tr>
      <w:tr w:rsidR="000F78BE" w:rsidRPr="000F78BE" w14:paraId="7C5064AF" w14:textId="77777777" w:rsidTr="000F78BE">
        <w:trPr>
          <w:gridAfter w:val="1"/>
          <w:wAfter w:w="160" w:type="dxa"/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78D65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21C0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9639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C985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D1B9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A150" w14:textId="3C43F2F9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F78BE" w:rsidRPr="000F78BE" w14:paraId="076F2D06" w14:textId="77777777" w:rsidTr="000F78BE">
        <w:trPr>
          <w:gridAfter w:val="1"/>
          <w:wAfter w:w="160" w:type="dxa"/>
          <w:trHeight w:val="26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799F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 xml:space="preserve">únor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9FE7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4445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05BA" w14:textId="024C14A1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714E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BB23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F78BE" w:rsidRPr="000F78BE" w14:paraId="45A5D5DB" w14:textId="77777777" w:rsidTr="000F78BE">
        <w:trPr>
          <w:gridAfter w:val="1"/>
          <w:wAfter w:w="160" w:type="dxa"/>
          <w:trHeight w:val="26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E3AB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0291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60A5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9067" w14:textId="3B887348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A000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FF02" w14:textId="78A46CDD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F78BE" w:rsidRPr="000F78BE" w14:paraId="514853B1" w14:textId="77777777" w:rsidTr="000F78BE">
        <w:trPr>
          <w:gridAfter w:val="1"/>
          <w:wAfter w:w="160" w:type="dxa"/>
          <w:trHeight w:val="126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FC24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B2CA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D4B0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2D99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E8E6" w14:textId="77777777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A0BD" w14:textId="77777777" w:rsidR="000F78BE" w:rsidRPr="000F78BE" w:rsidRDefault="000F78BE" w:rsidP="000F7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F78BE" w:rsidRPr="000F78BE" w14:paraId="3278CD91" w14:textId="77777777" w:rsidTr="000F78BE">
        <w:trPr>
          <w:gridAfter w:val="1"/>
          <w:wAfter w:w="160" w:type="dxa"/>
          <w:trHeight w:val="517"/>
        </w:trPr>
        <w:tc>
          <w:tcPr>
            <w:tcW w:w="66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F8FC1" w14:textId="0B3867CD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8BE">
              <w:rPr>
                <w:rFonts w:ascii="Arial" w:hAnsi="Arial" w:cs="Arial"/>
                <w:b/>
              </w:rPr>
              <w:t>Celkem GJ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94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D2E0" w14:textId="2C3DBB84" w:rsidR="000F78BE" w:rsidRPr="000F78BE" w:rsidRDefault="000F78BE" w:rsidP="000F78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GJ</w:t>
            </w:r>
          </w:p>
        </w:tc>
      </w:tr>
      <w:tr w:rsidR="000F78BE" w:rsidRPr="000F78BE" w14:paraId="3A5ACC86" w14:textId="77777777" w:rsidTr="000F78BE">
        <w:trPr>
          <w:trHeight w:val="330"/>
        </w:trPr>
        <w:tc>
          <w:tcPr>
            <w:tcW w:w="66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3069F" w14:textId="77777777" w:rsidR="000F78BE" w:rsidRPr="000F78BE" w:rsidRDefault="000F78BE" w:rsidP="000F78BE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1DE86" w14:textId="77777777" w:rsidR="000F78BE" w:rsidRPr="000F78BE" w:rsidRDefault="000F78BE" w:rsidP="000F78BE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F93" w14:textId="77777777" w:rsidR="000F78BE" w:rsidRPr="000F78BE" w:rsidRDefault="000F78BE" w:rsidP="000F78BE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0CB1F0E" w14:textId="4C44C14B" w:rsidR="00A02D01" w:rsidRPr="00DF680C" w:rsidRDefault="00A02D01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  <w:r w:rsidRPr="00DF680C">
        <w:rPr>
          <w:sz w:val="24"/>
          <w:szCs w:val="24"/>
        </w:rPr>
        <w:t>III.2. Případné změny odběrového diagramu na následující rok sjednává odběratel a dodavatel vždy do 28. 2. příslušného kalendářního roku. Nepodá-li odběratel návrh na nový odběrový diagram, prodlužuje se platnost diagramu na další kalendářní rok.</w:t>
      </w:r>
    </w:p>
    <w:p w14:paraId="4B1AF0C3" w14:textId="77777777" w:rsidR="00351252" w:rsidRPr="00DF680C" w:rsidRDefault="00351252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</w:p>
    <w:p w14:paraId="639346F3" w14:textId="77777777" w:rsidR="0043289E" w:rsidRPr="00DF680C" w:rsidRDefault="00C47A9C" w:rsidP="0043289E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b/>
          <w:sz w:val="32"/>
          <w:szCs w:val="32"/>
        </w:rPr>
      </w:pPr>
      <w:r w:rsidRPr="00DF680C">
        <w:rPr>
          <w:b/>
          <w:sz w:val="32"/>
          <w:szCs w:val="32"/>
        </w:rPr>
        <w:t>Kotelny</w:t>
      </w:r>
    </w:p>
    <w:p w14:paraId="2415B783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I.</w:t>
      </w:r>
    </w:p>
    <w:p w14:paraId="702DF142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Cena tepelné energie</w:t>
      </w:r>
    </w:p>
    <w:p w14:paraId="2D8D548F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I.1. Cena tepelné energie je tvořena v souladu se zákonem č. 526/1990 Sb., o cenách, ve znění pozdějších předpisů, s prováděcí vyhláškou č. </w:t>
      </w:r>
      <w:r w:rsidR="00890C9E" w:rsidRPr="00DF680C">
        <w:rPr>
          <w:szCs w:val="24"/>
        </w:rPr>
        <w:t>450/2009</w:t>
      </w:r>
      <w:r w:rsidRPr="00DF680C">
        <w:rPr>
          <w:szCs w:val="24"/>
        </w:rPr>
        <w:t xml:space="preserve"> Sb., ve znění pozdějších předpisů, a v souladu s platnými cenovými rozhodnutími Energetického regulačního úřadu.</w:t>
      </w:r>
    </w:p>
    <w:p w14:paraId="21F1B4DD" w14:textId="6E5421E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I.2. Cena za tepelnou energii se účtuje formou jednosložkové ceny ve výši </w:t>
      </w:r>
      <w:r w:rsidR="00D87752">
        <w:rPr>
          <w:b/>
          <w:szCs w:val="24"/>
        </w:rPr>
        <w:t>1</w:t>
      </w:r>
      <w:r w:rsidR="006F33AE">
        <w:rPr>
          <w:b/>
          <w:szCs w:val="24"/>
        </w:rPr>
        <w:t>086,36</w:t>
      </w:r>
      <w:r w:rsidRPr="00DF680C">
        <w:rPr>
          <w:b/>
          <w:bCs/>
          <w:szCs w:val="24"/>
        </w:rPr>
        <w:t xml:space="preserve"> Kč/GJ</w:t>
      </w:r>
      <w:r w:rsidRPr="00DF680C">
        <w:rPr>
          <w:szCs w:val="24"/>
        </w:rPr>
        <w:t xml:space="preserve"> (včetně DPH).</w:t>
      </w:r>
    </w:p>
    <w:p w14:paraId="50B43DA1" w14:textId="4D49C981" w:rsidR="001D38E1" w:rsidRPr="00DF680C" w:rsidRDefault="001D38E1" w:rsidP="001D38E1">
      <w:pPr>
        <w:autoSpaceDE w:val="0"/>
        <w:autoSpaceDN w:val="0"/>
        <w:adjustRightInd w:val="0"/>
        <w:spacing w:before="120" w:after="120"/>
        <w:jc w:val="both"/>
        <w:rPr>
          <w:i/>
          <w:szCs w:val="24"/>
        </w:rPr>
      </w:pPr>
      <w:r w:rsidRPr="00DF680C">
        <w:rPr>
          <w:i/>
          <w:szCs w:val="24"/>
        </w:rPr>
        <w:t xml:space="preserve">Cena tepelné energie je </w:t>
      </w:r>
      <w:r w:rsidR="00D87752">
        <w:rPr>
          <w:b/>
          <w:i/>
          <w:szCs w:val="24"/>
        </w:rPr>
        <w:t>1</w:t>
      </w:r>
      <w:r w:rsidR="006F33AE">
        <w:rPr>
          <w:b/>
          <w:i/>
          <w:szCs w:val="24"/>
        </w:rPr>
        <w:t>086,36</w:t>
      </w:r>
      <w:r w:rsidRPr="00DF680C">
        <w:rPr>
          <w:b/>
          <w:bCs/>
          <w:i/>
          <w:szCs w:val="24"/>
        </w:rPr>
        <w:t xml:space="preserve"> Kč/GJ</w:t>
      </w:r>
      <w:r w:rsidRPr="00DF680C">
        <w:rPr>
          <w:i/>
          <w:szCs w:val="24"/>
        </w:rPr>
        <w:t xml:space="preserve"> (včetně DPH), jedná se o cenu předběžnou. V předběžné ceně jsou zahrnuty proměnné náklady tj. palivo od dodavatelů, v</w:t>
      </w:r>
      <w:r w:rsidR="00A01362" w:rsidRPr="00DF680C">
        <w:rPr>
          <w:i/>
          <w:szCs w:val="24"/>
        </w:rPr>
        <w:t> jeho cenách platných k</w:t>
      </w:r>
      <w:r w:rsidR="007B6C4D" w:rsidRPr="00DF680C">
        <w:rPr>
          <w:i/>
          <w:szCs w:val="24"/>
        </w:rPr>
        <w:t> </w:t>
      </w:r>
      <w:r w:rsidR="00A01362" w:rsidRPr="00DF680C">
        <w:rPr>
          <w:i/>
          <w:szCs w:val="24"/>
        </w:rPr>
        <w:t>1.</w:t>
      </w:r>
      <w:r w:rsidR="007B6C4D" w:rsidRPr="00DF680C">
        <w:rPr>
          <w:i/>
          <w:szCs w:val="24"/>
        </w:rPr>
        <w:t xml:space="preserve"> </w:t>
      </w:r>
      <w:r w:rsidR="00A01362" w:rsidRPr="00DF680C">
        <w:rPr>
          <w:i/>
          <w:szCs w:val="24"/>
        </w:rPr>
        <w:t>1.</w:t>
      </w:r>
      <w:r w:rsidR="007B6C4D" w:rsidRPr="00DF680C">
        <w:rPr>
          <w:i/>
          <w:szCs w:val="24"/>
        </w:rPr>
        <w:t xml:space="preserve"> </w:t>
      </w:r>
      <w:r w:rsidR="008F1328">
        <w:rPr>
          <w:i/>
          <w:szCs w:val="24"/>
        </w:rPr>
        <w:t>202</w:t>
      </w:r>
      <w:r w:rsidR="006F33AE">
        <w:rPr>
          <w:i/>
          <w:szCs w:val="24"/>
        </w:rPr>
        <w:t>4</w:t>
      </w:r>
      <w:r w:rsidRPr="00DF680C">
        <w:rPr>
          <w:i/>
          <w:szCs w:val="24"/>
        </w:rPr>
        <w:t xml:space="preserve">. V případě změny cen paliva v průběhu roku bude předběžná cena úměrně tomu změněna v souladu s cenovými předpisy a promítnuta do platby dodávky tepla za příslušný měsíc a měsíce další. Předběžná cena je stanovena za předpokladu celkové dodávky tepelné energie </w:t>
      </w:r>
      <w:r w:rsidR="003002D1">
        <w:rPr>
          <w:b/>
          <w:i/>
          <w:szCs w:val="24"/>
        </w:rPr>
        <w:t>1 268</w:t>
      </w:r>
      <w:r w:rsidRPr="002C5184">
        <w:rPr>
          <w:b/>
          <w:i/>
          <w:szCs w:val="24"/>
        </w:rPr>
        <w:t xml:space="preserve"> </w:t>
      </w:r>
      <w:r w:rsidRPr="00DF680C">
        <w:rPr>
          <w:b/>
          <w:i/>
          <w:szCs w:val="24"/>
        </w:rPr>
        <w:t>GJ</w:t>
      </w:r>
      <w:r w:rsidR="00A01362" w:rsidRPr="00DF680C">
        <w:rPr>
          <w:i/>
          <w:szCs w:val="24"/>
        </w:rPr>
        <w:t xml:space="preserve"> za období 1.</w:t>
      </w:r>
      <w:r w:rsidR="007B6C4D" w:rsidRPr="00DF680C">
        <w:rPr>
          <w:i/>
          <w:szCs w:val="24"/>
        </w:rPr>
        <w:t xml:space="preserve"> </w:t>
      </w:r>
      <w:r w:rsidR="00A01362" w:rsidRPr="00DF680C">
        <w:rPr>
          <w:i/>
          <w:szCs w:val="24"/>
        </w:rPr>
        <w:t>1.</w:t>
      </w:r>
      <w:r w:rsidR="007B6C4D" w:rsidRPr="00DF680C">
        <w:rPr>
          <w:i/>
          <w:szCs w:val="24"/>
        </w:rPr>
        <w:t xml:space="preserve"> </w:t>
      </w:r>
      <w:r w:rsidR="008F1328">
        <w:rPr>
          <w:i/>
          <w:szCs w:val="24"/>
        </w:rPr>
        <w:t>202</w:t>
      </w:r>
      <w:r w:rsidR="003002D1">
        <w:rPr>
          <w:i/>
          <w:szCs w:val="24"/>
        </w:rPr>
        <w:t>4</w:t>
      </w:r>
      <w:r w:rsidRPr="00DF680C">
        <w:rPr>
          <w:i/>
          <w:szCs w:val="24"/>
        </w:rPr>
        <w:t xml:space="preserve"> – 31.</w:t>
      </w:r>
      <w:r w:rsidR="007B6C4D" w:rsidRPr="00DF680C">
        <w:rPr>
          <w:i/>
          <w:szCs w:val="24"/>
        </w:rPr>
        <w:t xml:space="preserve"> </w:t>
      </w:r>
      <w:r w:rsidRPr="00DF680C">
        <w:rPr>
          <w:i/>
          <w:szCs w:val="24"/>
        </w:rPr>
        <w:t>12.</w:t>
      </w:r>
      <w:r w:rsidR="007B6C4D" w:rsidRPr="00DF680C">
        <w:rPr>
          <w:i/>
          <w:szCs w:val="24"/>
        </w:rPr>
        <w:t xml:space="preserve"> </w:t>
      </w:r>
      <w:r w:rsidR="008F1328">
        <w:rPr>
          <w:i/>
          <w:szCs w:val="24"/>
        </w:rPr>
        <w:t>202</w:t>
      </w:r>
      <w:r w:rsidR="003002D1">
        <w:rPr>
          <w:i/>
          <w:szCs w:val="24"/>
        </w:rPr>
        <w:t>4</w:t>
      </w:r>
      <w:r w:rsidRPr="00DF680C">
        <w:rPr>
          <w:i/>
          <w:szCs w:val="24"/>
        </w:rPr>
        <w:t>. V p</w:t>
      </w:r>
      <w:r w:rsidR="00A01362" w:rsidRPr="00DF680C">
        <w:rPr>
          <w:i/>
          <w:szCs w:val="24"/>
        </w:rPr>
        <w:t xml:space="preserve">řípadě, že po skončení roku </w:t>
      </w:r>
      <w:r w:rsidR="008F1328">
        <w:rPr>
          <w:i/>
          <w:szCs w:val="24"/>
        </w:rPr>
        <w:t>202</w:t>
      </w:r>
      <w:r w:rsidR="003002D1">
        <w:rPr>
          <w:i/>
          <w:szCs w:val="24"/>
        </w:rPr>
        <w:t>4</w:t>
      </w:r>
      <w:r w:rsidRPr="00DF680C">
        <w:rPr>
          <w:i/>
          <w:szCs w:val="24"/>
        </w:rPr>
        <w:t xml:space="preserve"> bude skutečné množství dodávek tepla odlišné, bude cena tepla úměrně tomu změněna. Vyrovnání předběžné ceny na cenu výslednou, vypočtenou podle výše uvedených zása</w:t>
      </w:r>
      <w:r w:rsidR="00A01362" w:rsidRPr="00DF680C">
        <w:rPr>
          <w:i/>
          <w:szCs w:val="24"/>
        </w:rPr>
        <w:t xml:space="preserve">d, bude provedeno do 25. 1. </w:t>
      </w:r>
      <w:r w:rsidR="008F1328">
        <w:rPr>
          <w:i/>
          <w:szCs w:val="24"/>
        </w:rPr>
        <w:t>202</w:t>
      </w:r>
      <w:r w:rsidR="003002D1">
        <w:rPr>
          <w:i/>
          <w:szCs w:val="24"/>
        </w:rPr>
        <w:t>5</w:t>
      </w:r>
      <w:r w:rsidRPr="00DF680C">
        <w:rPr>
          <w:i/>
          <w:szCs w:val="24"/>
        </w:rPr>
        <w:t>. V případech, kdy nebude možné některé platby zaúčto</w:t>
      </w:r>
      <w:r w:rsidR="00A01362" w:rsidRPr="00DF680C">
        <w:rPr>
          <w:i/>
          <w:szCs w:val="24"/>
        </w:rPr>
        <w:t xml:space="preserve">vat do ceny tepla do 25. 1. </w:t>
      </w:r>
      <w:r w:rsidR="008F1328">
        <w:rPr>
          <w:i/>
          <w:szCs w:val="24"/>
        </w:rPr>
        <w:t>20</w:t>
      </w:r>
      <w:r w:rsidR="003002D1">
        <w:rPr>
          <w:i/>
          <w:szCs w:val="24"/>
        </w:rPr>
        <w:t>25</w:t>
      </w:r>
      <w:r w:rsidRPr="00DF680C">
        <w:rPr>
          <w:i/>
          <w:szCs w:val="24"/>
        </w:rPr>
        <w:t xml:space="preserve">, budou tyto zaúčtovány dodatečně do 28. 2. </w:t>
      </w:r>
      <w:r w:rsidR="008F1328">
        <w:rPr>
          <w:i/>
          <w:szCs w:val="24"/>
        </w:rPr>
        <w:t>202</w:t>
      </w:r>
      <w:r w:rsidR="003002D1">
        <w:rPr>
          <w:i/>
          <w:szCs w:val="24"/>
        </w:rPr>
        <w:t>5</w:t>
      </w:r>
      <w:r w:rsidRPr="00DF680C">
        <w:rPr>
          <w:i/>
          <w:szCs w:val="24"/>
        </w:rPr>
        <w:t>. Odběratel bude o těchto skutečnostech informován v dostatečném předstihu.</w:t>
      </w:r>
    </w:p>
    <w:p w14:paraId="2DAD1DEF" w14:textId="0FA872D8" w:rsidR="006F4F71" w:rsidRPr="00DF680C" w:rsidRDefault="006F4F71" w:rsidP="006F4F71">
      <w:pPr>
        <w:autoSpaceDE w:val="0"/>
        <w:autoSpaceDN w:val="0"/>
        <w:adjustRightInd w:val="0"/>
        <w:spacing w:before="120" w:after="120"/>
        <w:rPr>
          <w:szCs w:val="24"/>
        </w:rPr>
      </w:pPr>
      <w:r w:rsidRPr="00DF680C">
        <w:rPr>
          <w:szCs w:val="24"/>
        </w:rPr>
        <w:t xml:space="preserve">Cena za </w:t>
      </w:r>
      <w:r w:rsidR="008B1834" w:rsidRPr="00DF680C">
        <w:rPr>
          <w:szCs w:val="24"/>
        </w:rPr>
        <w:t>tepelnou energii, dodávanou v T</w:t>
      </w:r>
      <w:r w:rsidRPr="00DF680C">
        <w:rPr>
          <w:szCs w:val="24"/>
        </w:rPr>
        <w:t xml:space="preserve">V (včetně </w:t>
      </w:r>
      <w:r w:rsidR="00475512" w:rsidRPr="00DF680C">
        <w:rPr>
          <w:szCs w:val="24"/>
        </w:rPr>
        <w:t>10 %</w:t>
      </w:r>
      <w:r w:rsidRPr="00DF680C">
        <w:rPr>
          <w:szCs w:val="24"/>
        </w:rPr>
        <w:t xml:space="preserve"> DPH) činí:</w:t>
      </w:r>
      <w:r w:rsidRPr="00DF680C">
        <w:rPr>
          <w:szCs w:val="24"/>
        </w:rPr>
        <w:tab/>
      </w:r>
      <w:r w:rsidR="00D87752">
        <w:rPr>
          <w:szCs w:val="24"/>
        </w:rPr>
        <w:t>1</w:t>
      </w:r>
      <w:r w:rsidR="003002D1">
        <w:rPr>
          <w:szCs w:val="24"/>
        </w:rPr>
        <w:t>086,36</w:t>
      </w:r>
      <w:r w:rsidR="00E03DC6" w:rsidRPr="00DF680C">
        <w:rPr>
          <w:szCs w:val="24"/>
        </w:rPr>
        <w:t xml:space="preserve"> </w:t>
      </w:r>
      <w:r w:rsidRPr="00DF680C">
        <w:rPr>
          <w:szCs w:val="24"/>
        </w:rPr>
        <w:t>Kč/GJ</w:t>
      </w:r>
    </w:p>
    <w:p w14:paraId="6562287F" w14:textId="56C5D208" w:rsidR="006F4F71" w:rsidRPr="00DF680C" w:rsidRDefault="006F4F71" w:rsidP="006F4F71">
      <w:pPr>
        <w:autoSpaceDE w:val="0"/>
        <w:autoSpaceDN w:val="0"/>
        <w:adjustRightInd w:val="0"/>
        <w:spacing w:before="120" w:after="120"/>
        <w:rPr>
          <w:szCs w:val="24"/>
        </w:rPr>
      </w:pPr>
      <w:r w:rsidRPr="00DF680C">
        <w:rPr>
          <w:szCs w:val="24"/>
        </w:rPr>
        <w:t>Způsob platby:</w:t>
      </w:r>
      <w:r w:rsidR="00004CAD">
        <w:rPr>
          <w:szCs w:val="24"/>
        </w:rPr>
        <w:tab/>
      </w:r>
      <w:r w:rsidR="00004CAD">
        <w:rPr>
          <w:szCs w:val="24"/>
        </w:rPr>
        <w:tab/>
        <w:t>zálohový, převodním příkazem</w:t>
      </w:r>
    </w:p>
    <w:p w14:paraId="01B885B4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rPr>
          <w:szCs w:val="24"/>
        </w:rPr>
      </w:pPr>
      <w:r w:rsidRPr="00DF680C">
        <w:rPr>
          <w:szCs w:val="24"/>
        </w:rPr>
        <w:lastRenderedPageBreak/>
        <w:t>Splatnost:</w:t>
      </w:r>
      <w:r w:rsidRPr="00DF680C">
        <w:rPr>
          <w:szCs w:val="24"/>
        </w:rPr>
        <w:tab/>
      </w:r>
      <w:r w:rsidRPr="00DF680C">
        <w:rPr>
          <w:szCs w:val="24"/>
        </w:rPr>
        <w:tab/>
      </w:r>
      <w:r w:rsidRPr="00DF680C">
        <w:rPr>
          <w:szCs w:val="24"/>
        </w:rPr>
        <w:tab/>
        <w:t>21 dnů</w:t>
      </w:r>
    </w:p>
    <w:p w14:paraId="1EEDFDA5" w14:textId="02978423" w:rsidR="006F4F71" w:rsidRPr="00DF680C" w:rsidRDefault="006F4F71" w:rsidP="006F4F71">
      <w:pPr>
        <w:rPr>
          <w:b/>
          <w:szCs w:val="24"/>
        </w:rPr>
      </w:pPr>
      <w:r w:rsidRPr="00DF680C">
        <w:rPr>
          <w:szCs w:val="24"/>
        </w:rPr>
        <w:t>Adresa příjemce faktury:</w:t>
      </w:r>
      <w:r w:rsidRPr="00DF680C">
        <w:rPr>
          <w:szCs w:val="24"/>
        </w:rPr>
        <w:tab/>
      </w:r>
      <w:r w:rsidR="00004CAD">
        <w:rPr>
          <w:szCs w:val="24"/>
        </w:rPr>
        <w:t>Masarykovo nám. 4/2, 680 01</w:t>
      </w:r>
      <w:r w:rsidR="006B4CC6" w:rsidRPr="00DF680C">
        <w:rPr>
          <w:szCs w:val="24"/>
        </w:rPr>
        <w:t xml:space="preserve"> Boskovice</w:t>
      </w:r>
    </w:p>
    <w:p w14:paraId="2B285FB6" w14:textId="77777777" w:rsidR="00FE1EA7" w:rsidRPr="00DF680C" w:rsidRDefault="00FE1EA7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</w:p>
    <w:p w14:paraId="46EC9F82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>I.3. Případnou změnu cenových ujednání oznámí dodavat</w:t>
      </w:r>
      <w:r w:rsidR="007B6C4D" w:rsidRPr="00DF680C">
        <w:rPr>
          <w:szCs w:val="24"/>
        </w:rPr>
        <w:t>el odběrateli nejpozději do 15</w:t>
      </w:r>
      <w:r w:rsidRPr="00DF680C">
        <w:rPr>
          <w:szCs w:val="24"/>
        </w:rPr>
        <w:t xml:space="preserve"> dnů po oznámení dodavatele o změně ceny tepelné energie. </w:t>
      </w:r>
    </w:p>
    <w:p w14:paraId="7EB0289F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I.4. Budou-li smluvní strany v prodlení jakéhokoliv peněžitého závazku, činí úrok z prodlení 0,05 % z dlužné částky za každý den prodlení až do úplného zaplacení.</w:t>
      </w:r>
    </w:p>
    <w:p w14:paraId="47135944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I.5. Dodavatel se zavazuje provádět zúčtování dodávky tepelné energie ročními fakturami s náležitostmi daňového dokladu podle platných právních předpisů, a to vždy do 28. 2. následujícího roku.</w:t>
      </w:r>
    </w:p>
    <w:p w14:paraId="4C546922" w14:textId="77777777" w:rsidR="006F4F71" w:rsidRPr="00DF680C" w:rsidRDefault="006F4F71" w:rsidP="006F4F71">
      <w:pPr>
        <w:spacing w:before="120" w:after="120"/>
        <w:jc w:val="both"/>
        <w:rPr>
          <w:i/>
          <w:szCs w:val="24"/>
        </w:rPr>
      </w:pPr>
    </w:p>
    <w:p w14:paraId="5D52189D" w14:textId="77777777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II.</w:t>
      </w:r>
    </w:p>
    <w:p w14:paraId="31872204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center"/>
        <w:rPr>
          <w:b/>
          <w:sz w:val="24"/>
          <w:szCs w:val="24"/>
        </w:rPr>
      </w:pPr>
      <w:r w:rsidRPr="00DF680C">
        <w:rPr>
          <w:b/>
          <w:sz w:val="24"/>
          <w:szCs w:val="24"/>
        </w:rPr>
        <w:t>Dohoda o zálohách</w:t>
      </w:r>
    </w:p>
    <w:p w14:paraId="2830CB45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II.1. Smluvní strany se dohodly, že odběratel dodavateli bude poskytovat dílčí platby ročního plnění za dodávku tepelné energie ve formě měsíčních záloh</w:t>
      </w:r>
    </w:p>
    <w:p w14:paraId="72F2EB68" w14:textId="22347D7E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 xml:space="preserve">II.2. Celková zálohová částka na období činí </w:t>
      </w:r>
      <w:r w:rsidR="00134F41">
        <w:rPr>
          <w:b/>
          <w:szCs w:val="24"/>
        </w:rPr>
        <w:t>1</w:t>
      </w:r>
      <w:r w:rsidR="003A4166">
        <w:rPr>
          <w:b/>
          <w:szCs w:val="24"/>
        </w:rPr>
        <w:t> </w:t>
      </w:r>
      <w:r w:rsidR="00134F41">
        <w:rPr>
          <w:b/>
          <w:szCs w:val="24"/>
        </w:rPr>
        <w:t>37</w:t>
      </w:r>
      <w:r w:rsidR="003A4166">
        <w:rPr>
          <w:b/>
          <w:szCs w:val="24"/>
        </w:rPr>
        <w:t xml:space="preserve">7 </w:t>
      </w:r>
      <w:r w:rsidR="00134F41">
        <w:rPr>
          <w:b/>
          <w:szCs w:val="24"/>
        </w:rPr>
        <w:t>498</w:t>
      </w:r>
      <w:r w:rsidRPr="003A4166">
        <w:rPr>
          <w:szCs w:val="24"/>
        </w:rPr>
        <w:t xml:space="preserve"> </w:t>
      </w:r>
      <w:r w:rsidRPr="00DF680C">
        <w:rPr>
          <w:szCs w:val="24"/>
        </w:rPr>
        <w:t xml:space="preserve">(včetně DPH). Vychází z kalkulace nákladů na dodávku požadovaného množství tepla </w:t>
      </w:r>
      <w:r w:rsidR="00134F41">
        <w:rPr>
          <w:b/>
          <w:bCs/>
          <w:szCs w:val="24"/>
        </w:rPr>
        <w:t>1 268</w:t>
      </w:r>
      <w:r w:rsidRPr="003A4166">
        <w:rPr>
          <w:b/>
          <w:bCs/>
          <w:szCs w:val="24"/>
        </w:rPr>
        <w:t xml:space="preserve"> </w:t>
      </w:r>
      <w:r w:rsidRPr="00DF680C">
        <w:rPr>
          <w:b/>
          <w:bCs/>
          <w:szCs w:val="24"/>
        </w:rPr>
        <w:t>GJ</w:t>
      </w:r>
      <w:r w:rsidRPr="00DF680C">
        <w:rPr>
          <w:szCs w:val="24"/>
        </w:rPr>
        <w:t>. Odběratelem bude dodavateli poskytována měsíční záloha ve výši:</w:t>
      </w:r>
    </w:p>
    <w:tbl>
      <w:tblPr>
        <w:tblW w:w="8400" w:type="dxa"/>
        <w:tblInd w:w="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134F41" w:rsidRPr="00134F41" w14:paraId="4CC0EF74" w14:textId="77777777" w:rsidTr="00134F41">
        <w:trPr>
          <w:trHeight w:val="5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E88CD" w14:textId="77777777" w:rsidR="00134F41" w:rsidRPr="00134F41" w:rsidRDefault="00134F41" w:rsidP="00134F4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1775" w14:textId="77777777" w:rsidR="00134F41" w:rsidRPr="00134F41" w:rsidRDefault="00134F41" w:rsidP="00134F4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27CE6C" w14:textId="77777777" w:rsidR="00134F41" w:rsidRPr="00134F41" w:rsidRDefault="00134F41" w:rsidP="00134F4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0D28" w14:textId="77777777" w:rsidR="00134F41" w:rsidRPr="00134F41" w:rsidRDefault="00134F41" w:rsidP="00134F4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07E31" w14:textId="77777777" w:rsidR="00134F41" w:rsidRPr="00134F41" w:rsidRDefault="00134F41" w:rsidP="00134F4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DC4A" w14:textId="77777777" w:rsidR="00134F41" w:rsidRPr="00134F41" w:rsidRDefault="00134F41" w:rsidP="00134F4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134F41" w:rsidRPr="00134F41" w14:paraId="7B46DEC2" w14:textId="77777777" w:rsidTr="00134F41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168D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0D7CA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247 950,00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65E7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94322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68 875,00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3EA0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C60B6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55 100,00</w:t>
            </w:r>
          </w:p>
        </w:tc>
      </w:tr>
      <w:tr w:rsidR="00134F41" w:rsidRPr="00134F41" w14:paraId="7064D7C5" w14:textId="77777777" w:rsidTr="00134F41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CC4F7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D27BF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192 851,00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B96D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924B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27 550,00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11F4A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A1DC6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96 425,00</w:t>
            </w:r>
          </w:p>
        </w:tc>
      </w:tr>
      <w:tr w:rsidR="00134F41" w:rsidRPr="00134F41" w14:paraId="03A64A16" w14:textId="77777777" w:rsidTr="00134F41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C2A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C11E1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165 298,00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D0C8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48602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27 550,00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5F696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195A1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151 524,00</w:t>
            </w:r>
          </w:p>
        </w:tc>
      </w:tr>
      <w:tr w:rsidR="00134F41" w:rsidRPr="00134F41" w14:paraId="78499777" w14:textId="77777777" w:rsidTr="00134F41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4E691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E0179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96 425,00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4CA9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8B0BC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41 325,00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DEC3" w14:textId="77777777" w:rsidR="00134F41" w:rsidRPr="00134F41" w:rsidRDefault="00134F41" w:rsidP="00134F4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134F41"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E96BC" w14:textId="77777777" w:rsidR="00134F41" w:rsidRPr="00134F41" w:rsidRDefault="00134F41" w:rsidP="00134F4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F41">
              <w:rPr>
                <w:b/>
                <w:bCs/>
                <w:color w:val="000000"/>
                <w:sz w:val="22"/>
                <w:szCs w:val="22"/>
              </w:rPr>
              <w:t>206 625,00</w:t>
            </w:r>
          </w:p>
        </w:tc>
      </w:tr>
    </w:tbl>
    <w:p w14:paraId="5ADE643D" w14:textId="77777777" w:rsidR="006F4F71" w:rsidRPr="00DF680C" w:rsidRDefault="006F4F71" w:rsidP="006F4F71">
      <w:pPr>
        <w:spacing w:before="120" w:after="120"/>
        <w:jc w:val="both"/>
        <w:rPr>
          <w:szCs w:val="24"/>
        </w:rPr>
      </w:pPr>
      <w:r w:rsidRPr="00DF680C">
        <w:rPr>
          <w:szCs w:val="24"/>
        </w:rPr>
        <w:t>na základě dodavatelem vystavených zálohových faktur.</w:t>
      </w:r>
    </w:p>
    <w:p w14:paraId="7193ECE5" w14:textId="77777777" w:rsidR="00DB5756" w:rsidRDefault="006F4F71" w:rsidP="00DB5756">
      <w:p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DF680C">
        <w:rPr>
          <w:szCs w:val="24"/>
        </w:rPr>
        <w:t>II.3. Dodavatel se zavazuje provést konečné vyúčtování zálohových faktur do 28. 2. následujícího roku.</w:t>
      </w:r>
    </w:p>
    <w:p w14:paraId="777C0FD1" w14:textId="77777777" w:rsidR="00DB5756" w:rsidRDefault="00DB5756" w:rsidP="00DB5756">
      <w:pPr>
        <w:autoSpaceDE w:val="0"/>
        <w:autoSpaceDN w:val="0"/>
        <w:adjustRightInd w:val="0"/>
        <w:spacing w:before="120" w:after="120"/>
        <w:jc w:val="both"/>
        <w:rPr>
          <w:szCs w:val="24"/>
          <w:u w:val="single"/>
        </w:rPr>
      </w:pPr>
    </w:p>
    <w:p w14:paraId="35575798" w14:textId="52F40BF8" w:rsidR="00544E07" w:rsidRPr="00DB5756" w:rsidRDefault="00544E07" w:rsidP="00DB5756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szCs w:val="24"/>
        </w:rPr>
      </w:pPr>
      <w:r w:rsidRPr="00DF680C">
        <w:rPr>
          <w:szCs w:val="24"/>
          <w:u w:val="single"/>
        </w:rPr>
        <w:t>Předpokládaný odběr tepla v jednotlivých místech odběru:</w:t>
      </w:r>
    </w:p>
    <w:tbl>
      <w:tblPr>
        <w:tblW w:w="7088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835"/>
      </w:tblGrid>
      <w:tr w:rsidR="003002D1" w:rsidRPr="003002D1" w14:paraId="4FF05E69" w14:textId="77777777" w:rsidTr="003002D1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AA2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Odběrné místo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2FE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174" w14:textId="77777777" w:rsidR="003002D1" w:rsidRPr="003002D1" w:rsidRDefault="003002D1" w:rsidP="003002D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3002D1">
              <w:rPr>
                <w:b/>
                <w:bCs/>
                <w:color w:val="000000"/>
                <w:szCs w:val="24"/>
              </w:rPr>
              <w:t>zálohová platba Kč vč. DPH/rok</w:t>
            </w:r>
          </w:p>
        </w:tc>
      </w:tr>
      <w:tr w:rsidR="003002D1" w:rsidRPr="003002D1" w14:paraId="1D6D7C27" w14:textId="77777777" w:rsidTr="003002D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1DE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Masarykovo nám.28/29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5AE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A7F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108 636,00</w:t>
            </w:r>
          </w:p>
        </w:tc>
      </w:tr>
      <w:tr w:rsidR="003002D1" w:rsidRPr="003002D1" w14:paraId="6DC82C75" w14:textId="77777777" w:rsidTr="003002D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89F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kpt. Jaroše 2181/17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4EF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F01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315 043,00</w:t>
            </w:r>
          </w:p>
        </w:tc>
      </w:tr>
      <w:tr w:rsidR="003002D1" w:rsidRPr="003002D1" w14:paraId="595450F1" w14:textId="77777777" w:rsidTr="003002D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F34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Wolkerova 1421/2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A8B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A95E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611 618,00</w:t>
            </w:r>
          </w:p>
        </w:tc>
      </w:tr>
      <w:tr w:rsidR="003002D1" w:rsidRPr="003002D1" w14:paraId="6C920E52" w14:textId="77777777" w:rsidTr="003002D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692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U Lázní 1734/2A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A6C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198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135 795,00</w:t>
            </w:r>
          </w:p>
        </w:tc>
      </w:tr>
      <w:tr w:rsidR="003002D1" w:rsidRPr="003002D1" w14:paraId="4F263674" w14:textId="77777777" w:rsidTr="003002D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5248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U Lázní 2129/1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C9D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F4F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103 203,00</w:t>
            </w:r>
          </w:p>
        </w:tc>
      </w:tr>
      <w:tr w:rsidR="003002D1" w:rsidRPr="003002D1" w14:paraId="474ED250" w14:textId="77777777" w:rsidTr="003002D1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A8B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Masarykovo nám 4/2 (MP)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747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BC9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103 203,00</w:t>
            </w:r>
          </w:p>
        </w:tc>
      </w:tr>
      <w:tr w:rsidR="003002D1" w:rsidRPr="003002D1" w14:paraId="2F8DCC01" w14:textId="77777777" w:rsidTr="003002D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E2A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8B4" w14:textId="77777777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3E5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02D1" w:rsidRPr="003002D1" w14:paraId="2BAA1FAD" w14:textId="77777777" w:rsidTr="003002D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019" w14:textId="4169191B" w:rsidR="003002D1" w:rsidRPr="003002D1" w:rsidRDefault="003002D1" w:rsidP="003002D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D74" w14:textId="77777777" w:rsidR="003002D1" w:rsidRPr="003002D1" w:rsidRDefault="003002D1" w:rsidP="003002D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1 268,00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879" w14:textId="77777777" w:rsidR="003002D1" w:rsidRPr="003002D1" w:rsidRDefault="003002D1" w:rsidP="003002D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2D1">
              <w:rPr>
                <w:rFonts w:ascii="Calibri" w:hAnsi="Calibri" w:cs="Calibri"/>
                <w:color w:val="000000"/>
                <w:sz w:val="22"/>
                <w:szCs w:val="22"/>
              </w:rPr>
              <w:t>1 377 498,00</w:t>
            </w:r>
          </w:p>
        </w:tc>
      </w:tr>
    </w:tbl>
    <w:p w14:paraId="7E7AA16F" w14:textId="77777777" w:rsidR="00DB5756" w:rsidRDefault="00DB5756" w:rsidP="00DB03F9">
      <w:pPr>
        <w:autoSpaceDE w:val="0"/>
        <w:autoSpaceDN w:val="0"/>
        <w:adjustRightInd w:val="0"/>
        <w:spacing w:before="120" w:after="120"/>
        <w:rPr>
          <w:b/>
          <w:szCs w:val="24"/>
        </w:rPr>
      </w:pPr>
    </w:p>
    <w:p w14:paraId="36094320" w14:textId="5AD02725" w:rsidR="006F4F71" w:rsidRPr="00DF680C" w:rsidRDefault="006F4F71" w:rsidP="006F4F71">
      <w:pPr>
        <w:autoSpaceDE w:val="0"/>
        <w:autoSpaceDN w:val="0"/>
        <w:adjustRightInd w:val="0"/>
        <w:spacing w:before="120" w:after="120"/>
        <w:jc w:val="center"/>
        <w:rPr>
          <w:b/>
          <w:szCs w:val="24"/>
        </w:rPr>
      </w:pPr>
      <w:r w:rsidRPr="00DF680C">
        <w:rPr>
          <w:b/>
          <w:szCs w:val="24"/>
        </w:rPr>
        <w:t>III.</w:t>
      </w:r>
    </w:p>
    <w:p w14:paraId="1C60E7B6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center"/>
        <w:rPr>
          <w:b/>
          <w:sz w:val="24"/>
          <w:szCs w:val="24"/>
        </w:rPr>
      </w:pPr>
      <w:r w:rsidRPr="00DF680C">
        <w:rPr>
          <w:b/>
          <w:sz w:val="24"/>
          <w:szCs w:val="24"/>
        </w:rPr>
        <w:t>Odběrový diagram</w:t>
      </w:r>
    </w:p>
    <w:p w14:paraId="4CA5F6BA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  <w:r w:rsidRPr="00DF680C">
        <w:rPr>
          <w:sz w:val="24"/>
          <w:szCs w:val="24"/>
        </w:rPr>
        <w:t>III.1. Celkový plánovaný odběr tepelné energie, včetně časového rozlišení odběru, je uveden v odběrovém diagramu:</w:t>
      </w:r>
    </w:p>
    <w:p w14:paraId="15F70D99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both"/>
        <w:rPr>
          <w:b/>
          <w:i/>
          <w:sz w:val="24"/>
          <w:szCs w:val="24"/>
        </w:rPr>
      </w:pPr>
      <w:r w:rsidRPr="00DF680C">
        <w:rPr>
          <w:b/>
          <w:i/>
          <w:sz w:val="24"/>
          <w:szCs w:val="24"/>
        </w:rPr>
        <w:t>Návrh odběrového diagramu: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061"/>
        <w:gridCol w:w="993"/>
        <w:gridCol w:w="1777"/>
        <w:gridCol w:w="1281"/>
        <w:gridCol w:w="1886"/>
      </w:tblGrid>
      <w:tr w:rsidR="00DB03F9" w:rsidRPr="00DB03F9" w14:paraId="4AE18EC7" w14:textId="77777777" w:rsidTr="00DB03F9">
        <w:trPr>
          <w:trHeight w:val="96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DB09" w14:textId="77777777" w:rsidR="00DB03F9" w:rsidRPr="00DB03F9" w:rsidRDefault="00DB03F9" w:rsidP="00DB03F9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DB03F9">
              <w:rPr>
                <w:b/>
                <w:bCs/>
                <w:color w:val="000000"/>
                <w:szCs w:val="24"/>
              </w:rPr>
              <w:t>Měsíc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ECF8" w14:textId="77777777" w:rsidR="00DB03F9" w:rsidRPr="00DB03F9" w:rsidRDefault="00DB03F9" w:rsidP="00DB03F9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DB03F9">
              <w:rPr>
                <w:b/>
                <w:bCs/>
                <w:color w:val="000000"/>
                <w:szCs w:val="24"/>
              </w:rPr>
              <w:t>Sjednané množství  GJ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B3F2" w14:textId="77777777" w:rsidR="00DB03F9" w:rsidRPr="00DB03F9" w:rsidRDefault="00DB03F9" w:rsidP="00DB03F9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DB03F9">
              <w:rPr>
                <w:b/>
                <w:bCs/>
                <w:color w:val="000000"/>
                <w:szCs w:val="24"/>
              </w:rPr>
              <w:t>Měsíc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1A30" w14:textId="77777777" w:rsidR="00DB03F9" w:rsidRPr="00DB03F9" w:rsidRDefault="00DB03F9" w:rsidP="00DB03F9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DB03F9">
              <w:rPr>
                <w:b/>
                <w:bCs/>
                <w:color w:val="000000"/>
                <w:szCs w:val="24"/>
              </w:rPr>
              <w:t>Sjednané množství  GJ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8404" w14:textId="77777777" w:rsidR="00DB03F9" w:rsidRPr="00DB03F9" w:rsidRDefault="00DB03F9" w:rsidP="00DB03F9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DB03F9">
              <w:rPr>
                <w:b/>
                <w:bCs/>
                <w:color w:val="000000"/>
                <w:szCs w:val="24"/>
              </w:rPr>
              <w:t>Měsíc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92D3" w14:textId="77777777" w:rsidR="00DB03F9" w:rsidRPr="00DB03F9" w:rsidRDefault="00DB03F9" w:rsidP="00DB03F9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DB03F9">
              <w:rPr>
                <w:b/>
                <w:bCs/>
                <w:color w:val="000000"/>
                <w:szCs w:val="24"/>
              </w:rPr>
              <w:t>Sjednané množství  GJ</w:t>
            </w:r>
          </w:p>
        </w:tc>
      </w:tr>
      <w:tr w:rsidR="00DB03F9" w:rsidRPr="00DB03F9" w14:paraId="18BF8B22" w14:textId="77777777" w:rsidTr="00DB03F9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583C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leden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DDE0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9951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květen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8215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284F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září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3FE2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52</w:t>
            </w:r>
          </w:p>
        </w:tc>
      </w:tr>
      <w:tr w:rsidR="00DB03F9" w:rsidRPr="00DB03F9" w14:paraId="360CBB67" w14:textId="77777777" w:rsidTr="00DB03F9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5C84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 xml:space="preserve">únor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DA2B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F86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červen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4197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3CDC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říjen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9930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89</w:t>
            </w:r>
          </w:p>
        </w:tc>
      </w:tr>
      <w:tr w:rsidR="00DB03F9" w:rsidRPr="00DB03F9" w14:paraId="5BB262CC" w14:textId="77777777" w:rsidTr="00DB03F9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26A7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březen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8C09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3E63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červenec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4565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D69D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listopad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EADF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138</w:t>
            </w:r>
          </w:p>
        </w:tc>
      </w:tr>
      <w:tr w:rsidR="00DB03F9" w:rsidRPr="00DB03F9" w14:paraId="1844379C" w14:textId="77777777" w:rsidTr="00DB03F9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1AA0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duben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6941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C97D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srpen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A950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20EE" w14:textId="77777777" w:rsidR="00DB03F9" w:rsidRPr="00DB03F9" w:rsidRDefault="00DB03F9" w:rsidP="00DB03F9">
            <w:pPr>
              <w:widowControl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prosinec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0D25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189</w:t>
            </w:r>
          </w:p>
        </w:tc>
      </w:tr>
      <w:tr w:rsidR="00DB03F9" w:rsidRPr="00DB03F9" w14:paraId="3743F78B" w14:textId="77777777" w:rsidTr="00DB03F9">
        <w:trPr>
          <w:trHeight w:val="330"/>
        </w:trPr>
        <w:tc>
          <w:tcPr>
            <w:tcW w:w="6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6161F" w14:textId="77777777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Celkem GJ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4A73" w14:textId="496DA6B2" w:rsidR="00DB03F9" w:rsidRPr="00DB03F9" w:rsidRDefault="00DB03F9" w:rsidP="00DB03F9">
            <w:pPr>
              <w:widowControl/>
              <w:jc w:val="center"/>
              <w:rPr>
                <w:color w:val="000000"/>
                <w:szCs w:val="24"/>
              </w:rPr>
            </w:pPr>
            <w:r w:rsidRPr="00DB03F9">
              <w:rPr>
                <w:color w:val="000000"/>
                <w:szCs w:val="24"/>
              </w:rPr>
              <w:t>1</w:t>
            </w:r>
            <w:r w:rsidRPr="002E51DA">
              <w:rPr>
                <w:color w:val="000000"/>
                <w:szCs w:val="24"/>
              </w:rPr>
              <w:t xml:space="preserve"> </w:t>
            </w:r>
            <w:r w:rsidRPr="00DB03F9">
              <w:rPr>
                <w:color w:val="000000"/>
                <w:szCs w:val="24"/>
              </w:rPr>
              <w:t>268</w:t>
            </w:r>
          </w:p>
        </w:tc>
      </w:tr>
    </w:tbl>
    <w:p w14:paraId="6E9D3F4E" w14:textId="77777777" w:rsidR="006F4F71" w:rsidRPr="00DF680C" w:rsidRDefault="006F4F71" w:rsidP="006F4F71">
      <w:pPr>
        <w:pStyle w:val="Zkladntextodsazen2"/>
        <w:spacing w:before="240" w:line="240" w:lineRule="auto"/>
        <w:ind w:left="0"/>
        <w:jc w:val="both"/>
        <w:rPr>
          <w:sz w:val="24"/>
          <w:szCs w:val="24"/>
        </w:rPr>
      </w:pPr>
      <w:r w:rsidRPr="00DF680C">
        <w:rPr>
          <w:sz w:val="24"/>
          <w:szCs w:val="24"/>
        </w:rPr>
        <w:t xml:space="preserve">III.2. Případné změny odběrového diagramu na následující rok sjednává odběratel a dodavatel vždy do 28. 2. příslušného kalendářního roku. Nepodá-li odběratel návrh na nový odběrový diagram, prodlužuje se platnost diagramu na další kalendářní rok. </w:t>
      </w:r>
    </w:p>
    <w:p w14:paraId="0ABDBA4D" w14:textId="7B9822DE" w:rsidR="00A65237" w:rsidRPr="00DB5756" w:rsidRDefault="00A65237" w:rsidP="00DB5756">
      <w:pPr>
        <w:widowControl/>
        <w:spacing w:after="200" w:line="276" w:lineRule="auto"/>
        <w:rPr>
          <w:szCs w:val="24"/>
        </w:rPr>
      </w:pPr>
      <w:r w:rsidRPr="00DF680C">
        <w:rPr>
          <w:b/>
          <w:szCs w:val="24"/>
        </w:rPr>
        <w:t>IV.</w:t>
      </w:r>
    </w:p>
    <w:p w14:paraId="2BA0CF60" w14:textId="4B1C2980" w:rsidR="00A65237" w:rsidRDefault="00A65237" w:rsidP="004E54B4">
      <w:pPr>
        <w:pStyle w:val="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E54B4">
        <w:rPr>
          <w:i/>
          <w:sz w:val="24"/>
          <w:szCs w:val="24"/>
        </w:rPr>
        <w:t xml:space="preserve">Smluvní strany se dohodly, že </w:t>
      </w:r>
      <w:r w:rsidR="00002554">
        <w:rPr>
          <w:i/>
          <w:sz w:val="24"/>
          <w:szCs w:val="24"/>
        </w:rPr>
        <w:t>tento dodatek č.</w:t>
      </w:r>
      <w:r w:rsidR="00823626">
        <w:rPr>
          <w:i/>
          <w:sz w:val="24"/>
          <w:szCs w:val="24"/>
        </w:rPr>
        <w:t xml:space="preserve"> </w:t>
      </w:r>
      <w:r w:rsidR="00641E23">
        <w:rPr>
          <w:i/>
          <w:sz w:val="24"/>
          <w:szCs w:val="24"/>
        </w:rPr>
        <w:t>1</w:t>
      </w:r>
      <w:r w:rsidR="00DB03F9">
        <w:rPr>
          <w:i/>
          <w:sz w:val="24"/>
          <w:szCs w:val="24"/>
        </w:rPr>
        <w:t>2</w:t>
      </w:r>
      <w:r w:rsidRPr="004E54B4">
        <w:rPr>
          <w:i/>
          <w:sz w:val="24"/>
          <w:szCs w:val="24"/>
        </w:rPr>
        <w:t xml:space="preserve"> nabývá platnosti dnem podpisu obou smluvních s</w:t>
      </w:r>
      <w:r w:rsidR="00B4440C" w:rsidRPr="004E54B4">
        <w:rPr>
          <w:i/>
          <w:sz w:val="24"/>
          <w:szCs w:val="24"/>
        </w:rPr>
        <w:t>tran</w:t>
      </w:r>
      <w:r w:rsidR="004E54B4" w:rsidRPr="004E54B4">
        <w:rPr>
          <w:i/>
          <w:sz w:val="24"/>
          <w:szCs w:val="24"/>
        </w:rPr>
        <w:t xml:space="preserve">. Účinnost </w:t>
      </w:r>
      <w:r w:rsidR="004E54B4">
        <w:rPr>
          <w:i/>
          <w:sz w:val="24"/>
          <w:szCs w:val="24"/>
        </w:rPr>
        <w:t>tohoto dodatku</w:t>
      </w:r>
      <w:r w:rsidR="004E54B4" w:rsidRPr="004E54B4">
        <w:rPr>
          <w:i/>
          <w:sz w:val="24"/>
          <w:szCs w:val="24"/>
        </w:rPr>
        <w:t xml:space="preserve"> nastává dnem zveřejnění v registru smluv.</w:t>
      </w:r>
    </w:p>
    <w:p w14:paraId="53406094" w14:textId="77777777" w:rsidR="004E54B4" w:rsidRPr="00494730" w:rsidRDefault="004E54B4" w:rsidP="004E54B4">
      <w:pPr>
        <w:pStyle w:val="Zkladntext"/>
        <w:autoSpaceDE w:val="0"/>
        <w:autoSpaceDN w:val="0"/>
        <w:adjustRightInd w:val="0"/>
        <w:spacing w:after="180"/>
        <w:rPr>
          <w:szCs w:val="24"/>
        </w:rPr>
      </w:pPr>
    </w:p>
    <w:p w14:paraId="67C5EB46" w14:textId="1F2A2798" w:rsidR="004E54B4" w:rsidRPr="00494730" w:rsidRDefault="004E54B4" w:rsidP="00823626">
      <w:pPr>
        <w:pStyle w:val="Zkladntext"/>
        <w:autoSpaceDE w:val="0"/>
        <w:autoSpaceDN w:val="0"/>
        <w:adjustRightInd w:val="0"/>
        <w:spacing w:after="180"/>
        <w:jc w:val="both"/>
        <w:rPr>
          <w:i/>
          <w:iCs/>
          <w:szCs w:val="24"/>
        </w:rPr>
      </w:pPr>
      <w:r w:rsidRPr="00494730">
        <w:rPr>
          <w:i/>
          <w:iCs/>
          <w:szCs w:val="24"/>
        </w:rPr>
        <w:t>Uzavření tohoto dodatku č.</w:t>
      </w:r>
      <w:r w:rsidR="00004CAD">
        <w:rPr>
          <w:i/>
          <w:iCs/>
          <w:szCs w:val="24"/>
        </w:rPr>
        <w:t xml:space="preserve"> </w:t>
      </w:r>
      <w:r w:rsidR="00641E23">
        <w:rPr>
          <w:i/>
          <w:iCs/>
          <w:szCs w:val="24"/>
        </w:rPr>
        <w:t>1</w:t>
      </w:r>
      <w:r w:rsidR="00DB03F9">
        <w:rPr>
          <w:i/>
          <w:iCs/>
          <w:szCs w:val="24"/>
        </w:rPr>
        <w:t>2</w:t>
      </w:r>
      <w:r w:rsidRPr="00494730">
        <w:rPr>
          <w:i/>
          <w:iCs/>
          <w:szCs w:val="24"/>
        </w:rPr>
        <w:t xml:space="preserve"> bylo schváleno na </w:t>
      </w:r>
      <w:r w:rsidR="00494730" w:rsidRPr="00494730">
        <w:rPr>
          <w:i/>
          <w:iCs/>
          <w:szCs w:val="24"/>
        </w:rPr>
        <w:t>…</w:t>
      </w:r>
      <w:r w:rsidRPr="00494730">
        <w:rPr>
          <w:i/>
          <w:iCs/>
          <w:szCs w:val="24"/>
        </w:rPr>
        <w:t xml:space="preserve"> schůzi Rady města konané dne </w:t>
      </w:r>
      <w:r w:rsidR="00494730" w:rsidRPr="00494730">
        <w:rPr>
          <w:i/>
          <w:iCs/>
          <w:szCs w:val="24"/>
        </w:rPr>
        <w:t>…….</w:t>
      </w:r>
      <w:r w:rsidRPr="00494730">
        <w:rPr>
          <w:i/>
          <w:iCs/>
          <w:szCs w:val="24"/>
        </w:rPr>
        <w:t xml:space="preserve">, usnesení č. </w:t>
      </w:r>
      <w:r w:rsidR="00494730" w:rsidRPr="00494730">
        <w:rPr>
          <w:i/>
          <w:iCs/>
          <w:szCs w:val="24"/>
        </w:rPr>
        <w:t>…….</w:t>
      </w:r>
    </w:p>
    <w:p w14:paraId="2EDFD0A5" w14:textId="77777777" w:rsidR="004E54B4" w:rsidRPr="004E54B4" w:rsidRDefault="004E54B4" w:rsidP="00A65237">
      <w:pPr>
        <w:pStyle w:val="Zkladntextodsazen2"/>
        <w:spacing w:before="240" w:line="240" w:lineRule="auto"/>
        <w:ind w:left="0" w:firstLine="708"/>
        <w:jc w:val="both"/>
        <w:rPr>
          <w:i/>
          <w:sz w:val="24"/>
          <w:szCs w:val="24"/>
        </w:rPr>
      </w:pPr>
    </w:p>
    <w:p w14:paraId="5B541937" w14:textId="77777777" w:rsidR="00CD5F1E" w:rsidRPr="00DF680C" w:rsidRDefault="00CD5F1E" w:rsidP="00CD5F1E">
      <w:pPr>
        <w:pStyle w:val="Normlnweb"/>
        <w:spacing w:before="120" w:after="120"/>
        <w:outlineLvl w:val="0"/>
      </w:pPr>
    </w:p>
    <w:p w14:paraId="44583390" w14:textId="77777777" w:rsidR="00CD5F1E" w:rsidRPr="00DF680C" w:rsidRDefault="00CD5F1E" w:rsidP="00CD5F1E">
      <w:pPr>
        <w:pStyle w:val="Normlnweb"/>
        <w:spacing w:before="120" w:after="120"/>
        <w:ind w:firstLine="708"/>
        <w:outlineLvl w:val="0"/>
      </w:pPr>
      <w:r w:rsidRPr="00DF680C">
        <w:t>V Boskovicích dne ……………..</w:t>
      </w:r>
      <w:r w:rsidRPr="00DF680C">
        <w:tab/>
      </w:r>
      <w:r w:rsidRPr="00DF680C">
        <w:tab/>
      </w:r>
      <w:r w:rsidRPr="00DF680C">
        <w:tab/>
        <w:t>V Boskovicích dne……………</w:t>
      </w:r>
    </w:p>
    <w:p w14:paraId="06BEFA53" w14:textId="77777777" w:rsidR="00CD5F1E" w:rsidRPr="00DF680C" w:rsidRDefault="00CD5F1E" w:rsidP="00CD5F1E">
      <w:pPr>
        <w:pStyle w:val="Normlnweb"/>
        <w:spacing w:before="120" w:after="120"/>
        <w:jc w:val="center"/>
      </w:pPr>
    </w:p>
    <w:p w14:paraId="679601EA" w14:textId="77777777" w:rsidR="00CD5F1E" w:rsidRPr="00DF680C" w:rsidRDefault="00CD5F1E" w:rsidP="00CD5F1E">
      <w:pPr>
        <w:pStyle w:val="Normlnweb"/>
        <w:spacing w:before="120" w:after="120"/>
        <w:jc w:val="center"/>
      </w:pPr>
    </w:p>
    <w:p w14:paraId="00D45DF4" w14:textId="77777777" w:rsidR="00CD5F1E" w:rsidRPr="00DF680C" w:rsidRDefault="00CD5F1E" w:rsidP="00CD5F1E">
      <w:pPr>
        <w:pStyle w:val="Normlnweb"/>
        <w:spacing w:before="120" w:after="120"/>
      </w:pPr>
      <w:r w:rsidRPr="00DF680C">
        <w:t xml:space="preserve">            Za dodavatele: </w:t>
      </w:r>
      <w:r w:rsidRPr="00DF680C">
        <w:tab/>
      </w:r>
      <w:r w:rsidRPr="00DF680C">
        <w:tab/>
      </w:r>
      <w:r w:rsidRPr="00DF680C">
        <w:tab/>
      </w:r>
      <w:r w:rsidRPr="00DF680C">
        <w:tab/>
      </w:r>
      <w:r w:rsidRPr="00DF680C">
        <w:tab/>
        <w:t>Za odběratele:</w:t>
      </w:r>
    </w:p>
    <w:p w14:paraId="6E251B5A" w14:textId="77777777" w:rsidR="00CD5F1E" w:rsidRPr="00DF680C" w:rsidRDefault="00CD5F1E" w:rsidP="00CD5F1E">
      <w:pPr>
        <w:pStyle w:val="Normlnweb"/>
        <w:spacing w:before="120" w:after="120"/>
        <w:jc w:val="center"/>
      </w:pPr>
      <w:r w:rsidRPr="00DF680C">
        <w:t xml:space="preserve">  </w:t>
      </w:r>
      <w:r w:rsidRPr="00DF680C">
        <w:tab/>
      </w:r>
    </w:p>
    <w:p w14:paraId="20973100" w14:textId="77777777" w:rsidR="00CD5F1E" w:rsidRPr="00DF680C" w:rsidRDefault="00CD5F1E" w:rsidP="00CD5F1E">
      <w:pPr>
        <w:pStyle w:val="Normlnweb"/>
        <w:spacing w:before="120" w:after="120"/>
        <w:ind w:left="1416" w:firstLine="708"/>
      </w:pPr>
      <w:r w:rsidRPr="00DF680C">
        <w:tab/>
      </w:r>
      <w:r w:rsidRPr="00DF680C">
        <w:tab/>
      </w:r>
      <w:r w:rsidRPr="00DF680C">
        <w:tab/>
      </w:r>
      <w:r w:rsidRPr="00DF680C">
        <w:tab/>
        <w:t>                  </w:t>
      </w:r>
      <w:r w:rsidRPr="00DF680C">
        <w:tab/>
      </w:r>
      <w:r w:rsidRPr="00DF680C">
        <w:tab/>
        <w:t> </w:t>
      </w:r>
      <w:r w:rsidRPr="00DF680C">
        <w:tab/>
      </w:r>
    </w:p>
    <w:p w14:paraId="633FA231" w14:textId="5D76DC8B" w:rsidR="00CD5F1E" w:rsidRPr="00DF680C" w:rsidRDefault="00CD5F1E" w:rsidP="00CD5F1E">
      <w:pPr>
        <w:pStyle w:val="Normlnweb"/>
        <w:spacing w:before="120" w:after="120"/>
        <w:jc w:val="center"/>
      </w:pPr>
      <w:r w:rsidRPr="00DF680C">
        <w:t>........................................................   </w:t>
      </w:r>
      <w:r w:rsidRPr="00DF680C">
        <w:tab/>
      </w:r>
      <w:r w:rsidRPr="00DF680C">
        <w:tab/>
        <w:t>.................................</w:t>
      </w:r>
      <w:r w:rsidR="00641E23">
        <w:t>.......</w:t>
      </w:r>
      <w:r w:rsidRPr="00DF680C">
        <w:t>.................</w:t>
      </w:r>
    </w:p>
    <w:p w14:paraId="1B3E1FCC" w14:textId="13AF41D5" w:rsidR="00CD5F1E" w:rsidRPr="00DF680C" w:rsidRDefault="00CD5F1E" w:rsidP="00CD5F1E">
      <w:pPr>
        <w:pStyle w:val="Normlnweb"/>
        <w:spacing w:before="120" w:after="120"/>
        <w:ind w:firstLine="708"/>
        <w:rPr>
          <w:b/>
        </w:rPr>
      </w:pPr>
      <w:r w:rsidRPr="00DF680C">
        <w:rPr>
          <w:b/>
        </w:rPr>
        <w:t>Mgr. Milan Strya</w:t>
      </w:r>
      <w:r w:rsidRPr="00DF680C">
        <w:rPr>
          <w:b/>
        </w:rPr>
        <w:tab/>
      </w:r>
      <w:r w:rsidRPr="00DF680C">
        <w:rPr>
          <w:b/>
        </w:rPr>
        <w:tab/>
      </w:r>
      <w:r w:rsidRPr="00DF680C">
        <w:rPr>
          <w:b/>
        </w:rPr>
        <w:tab/>
      </w:r>
      <w:r w:rsidRPr="00DF680C">
        <w:rPr>
          <w:b/>
        </w:rPr>
        <w:tab/>
      </w:r>
      <w:r w:rsidRPr="00DF680C">
        <w:rPr>
          <w:b/>
        </w:rPr>
        <w:tab/>
      </w:r>
      <w:r w:rsidR="003E1193" w:rsidRPr="00DF680C">
        <w:rPr>
          <w:b/>
        </w:rPr>
        <w:t xml:space="preserve">Ing. </w:t>
      </w:r>
      <w:r w:rsidR="00641E23">
        <w:rPr>
          <w:b/>
        </w:rPr>
        <w:t xml:space="preserve">arch. </w:t>
      </w:r>
      <w:r w:rsidR="003E1193" w:rsidRPr="00DF680C">
        <w:rPr>
          <w:b/>
        </w:rPr>
        <w:t>Ja</w:t>
      </w:r>
      <w:r w:rsidR="00641E23">
        <w:rPr>
          <w:b/>
        </w:rPr>
        <w:t>na Syrovátková</w:t>
      </w:r>
    </w:p>
    <w:p w14:paraId="3956A176" w14:textId="0DF53998" w:rsidR="00CD5F1E" w:rsidRPr="00DF680C" w:rsidRDefault="00CD5F1E" w:rsidP="00CD5F1E">
      <w:pPr>
        <w:pStyle w:val="Normlnweb"/>
        <w:spacing w:before="120" w:after="120"/>
        <w:ind w:firstLine="708"/>
      </w:pPr>
      <w:r w:rsidRPr="00DF680C">
        <w:rPr>
          <w:sz w:val="22"/>
          <w:szCs w:val="22"/>
        </w:rPr>
        <w:t>jednatel společnosti</w:t>
      </w:r>
      <w:r w:rsidRPr="00DF680C">
        <w:tab/>
      </w:r>
      <w:r w:rsidRPr="00DF680C">
        <w:tab/>
      </w:r>
      <w:r w:rsidRPr="00DF680C">
        <w:tab/>
      </w:r>
      <w:r w:rsidRPr="00DF680C">
        <w:tab/>
      </w:r>
      <w:r w:rsidRPr="00DF680C">
        <w:tab/>
      </w:r>
      <w:r w:rsidRPr="00DF680C">
        <w:rPr>
          <w:sz w:val="22"/>
          <w:szCs w:val="22"/>
        </w:rPr>
        <w:t>starost</w:t>
      </w:r>
      <w:r w:rsidR="00641E23">
        <w:rPr>
          <w:sz w:val="22"/>
          <w:szCs w:val="22"/>
        </w:rPr>
        <w:t>k</w:t>
      </w:r>
      <w:r w:rsidRPr="00DF680C">
        <w:rPr>
          <w:sz w:val="22"/>
          <w:szCs w:val="22"/>
        </w:rPr>
        <w:t>a města</w:t>
      </w:r>
    </w:p>
    <w:p w14:paraId="4B7D093A" w14:textId="77777777" w:rsidR="00456DE5" w:rsidRPr="00DF680C" w:rsidRDefault="00456DE5" w:rsidP="00CD5F1E">
      <w:pPr>
        <w:pStyle w:val="Normlnweb"/>
        <w:spacing w:before="120" w:after="120"/>
      </w:pPr>
    </w:p>
    <w:sectPr w:rsidR="00456DE5" w:rsidRPr="00DF680C" w:rsidSect="00D104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CFF0" w14:textId="77777777" w:rsidR="00DB6707" w:rsidRDefault="00DB6707" w:rsidP="005F36FC">
      <w:r>
        <w:separator/>
      </w:r>
    </w:p>
  </w:endnote>
  <w:endnote w:type="continuationSeparator" w:id="0">
    <w:p w14:paraId="2DBD0270" w14:textId="77777777" w:rsidR="00DB6707" w:rsidRDefault="00DB6707" w:rsidP="005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63925"/>
      <w:docPartObj>
        <w:docPartGallery w:val="Page Numbers (Bottom of Page)"/>
        <w:docPartUnique/>
      </w:docPartObj>
    </w:sdtPr>
    <w:sdtEndPr/>
    <w:sdtContent>
      <w:p w14:paraId="76D5634D" w14:textId="73227710" w:rsidR="002044E1" w:rsidRDefault="002044E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0AC">
          <w:rPr>
            <w:noProof/>
          </w:rPr>
          <w:t>3</w:t>
        </w:r>
        <w:r>
          <w:rPr>
            <w:noProof/>
          </w:rPr>
          <w:fldChar w:fldCharType="end"/>
        </w:r>
        <w:r w:rsidR="00D327A3">
          <w:t>/</w:t>
        </w:r>
        <w:r w:rsidR="00DB5756">
          <w:t>7</w:t>
        </w:r>
      </w:p>
    </w:sdtContent>
  </w:sdt>
  <w:p w14:paraId="734F8884" w14:textId="77777777" w:rsidR="002044E1" w:rsidRDefault="00204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6BEF" w14:textId="77777777" w:rsidR="00DB6707" w:rsidRDefault="00DB6707" w:rsidP="005F36FC">
      <w:r>
        <w:separator/>
      </w:r>
    </w:p>
  </w:footnote>
  <w:footnote w:type="continuationSeparator" w:id="0">
    <w:p w14:paraId="04DF8380" w14:textId="77777777" w:rsidR="00DB6707" w:rsidRDefault="00DB6707" w:rsidP="005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37"/>
    <w:rsid w:val="00002554"/>
    <w:rsid w:val="00004CAD"/>
    <w:rsid w:val="00005B48"/>
    <w:rsid w:val="00012425"/>
    <w:rsid w:val="000213BD"/>
    <w:rsid w:val="00033407"/>
    <w:rsid w:val="00047B0E"/>
    <w:rsid w:val="00051C21"/>
    <w:rsid w:val="00060737"/>
    <w:rsid w:val="0007049A"/>
    <w:rsid w:val="00085F3D"/>
    <w:rsid w:val="000A0A35"/>
    <w:rsid w:val="000A1410"/>
    <w:rsid w:val="000A7A9C"/>
    <w:rsid w:val="000D73B6"/>
    <w:rsid w:val="000F7232"/>
    <w:rsid w:val="000F78BE"/>
    <w:rsid w:val="00121F5E"/>
    <w:rsid w:val="00134F41"/>
    <w:rsid w:val="00173A09"/>
    <w:rsid w:val="001822A3"/>
    <w:rsid w:val="0018339A"/>
    <w:rsid w:val="001D2435"/>
    <w:rsid w:val="001D38E1"/>
    <w:rsid w:val="001E1632"/>
    <w:rsid w:val="001E2E70"/>
    <w:rsid w:val="001E436F"/>
    <w:rsid w:val="001F798F"/>
    <w:rsid w:val="002044E1"/>
    <w:rsid w:val="002105C7"/>
    <w:rsid w:val="00217678"/>
    <w:rsid w:val="0025247F"/>
    <w:rsid w:val="00263E47"/>
    <w:rsid w:val="00281DA5"/>
    <w:rsid w:val="002836F7"/>
    <w:rsid w:val="00284195"/>
    <w:rsid w:val="00293200"/>
    <w:rsid w:val="002B5C1E"/>
    <w:rsid w:val="002C5184"/>
    <w:rsid w:val="002C74B9"/>
    <w:rsid w:val="002D6AE1"/>
    <w:rsid w:val="002D7807"/>
    <w:rsid w:val="002E51DA"/>
    <w:rsid w:val="002F5EEF"/>
    <w:rsid w:val="003002D1"/>
    <w:rsid w:val="0031105B"/>
    <w:rsid w:val="003128FA"/>
    <w:rsid w:val="0032144D"/>
    <w:rsid w:val="00324489"/>
    <w:rsid w:val="00351252"/>
    <w:rsid w:val="0035739D"/>
    <w:rsid w:val="003641D6"/>
    <w:rsid w:val="0038332B"/>
    <w:rsid w:val="003A1151"/>
    <w:rsid w:val="003A4166"/>
    <w:rsid w:val="003B101B"/>
    <w:rsid w:val="003B4034"/>
    <w:rsid w:val="003B6AC7"/>
    <w:rsid w:val="003B6F8D"/>
    <w:rsid w:val="003C04BF"/>
    <w:rsid w:val="003C5B4C"/>
    <w:rsid w:val="003D5FCE"/>
    <w:rsid w:val="003E1193"/>
    <w:rsid w:val="003E62A4"/>
    <w:rsid w:val="00406B75"/>
    <w:rsid w:val="0043289E"/>
    <w:rsid w:val="00456DE5"/>
    <w:rsid w:val="00475512"/>
    <w:rsid w:val="00482756"/>
    <w:rsid w:val="00494730"/>
    <w:rsid w:val="004B423A"/>
    <w:rsid w:val="004C02F4"/>
    <w:rsid w:val="004D052A"/>
    <w:rsid w:val="004D43CE"/>
    <w:rsid w:val="004E0261"/>
    <w:rsid w:val="004E54B4"/>
    <w:rsid w:val="004F2F93"/>
    <w:rsid w:val="005041A8"/>
    <w:rsid w:val="005432A1"/>
    <w:rsid w:val="00544E07"/>
    <w:rsid w:val="005525BB"/>
    <w:rsid w:val="0056033E"/>
    <w:rsid w:val="005662AD"/>
    <w:rsid w:val="005925DE"/>
    <w:rsid w:val="005D6ABE"/>
    <w:rsid w:val="005F36FC"/>
    <w:rsid w:val="00614C3F"/>
    <w:rsid w:val="00641E23"/>
    <w:rsid w:val="00642887"/>
    <w:rsid w:val="00651235"/>
    <w:rsid w:val="00686B7E"/>
    <w:rsid w:val="006B3C6C"/>
    <w:rsid w:val="006B4CC6"/>
    <w:rsid w:val="006D612F"/>
    <w:rsid w:val="006E3D97"/>
    <w:rsid w:val="006E4F24"/>
    <w:rsid w:val="006F33AE"/>
    <w:rsid w:val="006F4F71"/>
    <w:rsid w:val="006F5556"/>
    <w:rsid w:val="00700417"/>
    <w:rsid w:val="007070D2"/>
    <w:rsid w:val="00712875"/>
    <w:rsid w:val="007231AF"/>
    <w:rsid w:val="00726F79"/>
    <w:rsid w:val="007444EB"/>
    <w:rsid w:val="00753711"/>
    <w:rsid w:val="007540B4"/>
    <w:rsid w:val="007615B6"/>
    <w:rsid w:val="0076287D"/>
    <w:rsid w:val="00767A4E"/>
    <w:rsid w:val="00782360"/>
    <w:rsid w:val="007B27C1"/>
    <w:rsid w:val="007B46A4"/>
    <w:rsid w:val="007B53D1"/>
    <w:rsid w:val="007B6C4D"/>
    <w:rsid w:val="007C5A4B"/>
    <w:rsid w:val="007E186B"/>
    <w:rsid w:val="00823626"/>
    <w:rsid w:val="00825219"/>
    <w:rsid w:val="0083237E"/>
    <w:rsid w:val="008433E5"/>
    <w:rsid w:val="008565F4"/>
    <w:rsid w:val="00863E51"/>
    <w:rsid w:val="0087416B"/>
    <w:rsid w:val="00875997"/>
    <w:rsid w:val="00883AC4"/>
    <w:rsid w:val="00890C9E"/>
    <w:rsid w:val="008B1834"/>
    <w:rsid w:val="008C2BA6"/>
    <w:rsid w:val="008D5E23"/>
    <w:rsid w:val="008F1328"/>
    <w:rsid w:val="008F2481"/>
    <w:rsid w:val="008F5F19"/>
    <w:rsid w:val="009053B3"/>
    <w:rsid w:val="00910D58"/>
    <w:rsid w:val="009150FC"/>
    <w:rsid w:val="00967112"/>
    <w:rsid w:val="00973F9D"/>
    <w:rsid w:val="00984992"/>
    <w:rsid w:val="009869CE"/>
    <w:rsid w:val="0099017D"/>
    <w:rsid w:val="009C2519"/>
    <w:rsid w:val="009D41A2"/>
    <w:rsid w:val="009D41A4"/>
    <w:rsid w:val="009F0EEA"/>
    <w:rsid w:val="00A01362"/>
    <w:rsid w:val="00A02739"/>
    <w:rsid w:val="00A02D01"/>
    <w:rsid w:val="00A3267B"/>
    <w:rsid w:val="00A41F13"/>
    <w:rsid w:val="00A52E92"/>
    <w:rsid w:val="00A62AA2"/>
    <w:rsid w:val="00A63312"/>
    <w:rsid w:val="00A640AC"/>
    <w:rsid w:val="00A65237"/>
    <w:rsid w:val="00A7167C"/>
    <w:rsid w:val="00A72056"/>
    <w:rsid w:val="00A80823"/>
    <w:rsid w:val="00A81BD5"/>
    <w:rsid w:val="00A85380"/>
    <w:rsid w:val="00A908A5"/>
    <w:rsid w:val="00AA1067"/>
    <w:rsid w:val="00AC0A25"/>
    <w:rsid w:val="00AC4203"/>
    <w:rsid w:val="00AC6E5A"/>
    <w:rsid w:val="00AF54C2"/>
    <w:rsid w:val="00B0453C"/>
    <w:rsid w:val="00B06F5C"/>
    <w:rsid w:val="00B2214B"/>
    <w:rsid w:val="00B232FE"/>
    <w:rsid w:val="00B24C9D"/>
    <w:rsid w:val="00B324EB"/>
    <w:rsid w:val="00B37C18"/>
    <w:rsid w:val="00B4440C"/>
    <w:rsid w:val="00B55AC6"/>
    <w:rsid w:val="00B70811"/>
    <w:rsid w:val="00B8621C"/>
    <w:rsid w:val="00B90AFC"/>
    <w:rsid w:val="00BC6990"/>
    <w:rsid w:val="00BE368E"/>
    <w:rsid w:val="00C1782A"/>
    <w:rsid w:val="00C31FC4"/>
    <w:rsid w:val="00C451A6"/>
    <w:rsid w:val="00C47A9C"/>
    <w:rsid w:val="00C545DF"/>
    <w:rsid w:val="00C55899"/>
    <w:rsid w:val="00C8522B"/>
    <w:rsid w:val="00CA0897"/>
    <w:rsid w:val="00CB0AD3"/>
    <w:rsid w:val="00CB690A"/>
    <w:rsid w:val="00CC3445"/>
    <w:rsid w:val="00CC34BE"/>
    <w:rsid w:val="00CC6897"/>
    <w:rsid w:val="00CD5F1E"/>
    <w:rsid w:val="00CD710B"/>
    <w:rsid w:val="00D0626B"/>
    <w:rsid w:val="00D1049D"/>
    <w:rsid w:val="00D1464A"/>
    <w:rsid w:val="00D17BAC"/>
    <w:rsid w:val="00D2282B"/>
    <w:rsid w:val="00D327A3"/>
    <w:rsid w:val="00D602D2"/>
    <w:rsid w:val="00D6285B"/>
    <w:rsid w:val="00D756AB"/>
    <w:rsid w:val="00D800C2"/>
    <w:rsid w:val="00D87752"/>
    <w:rsid w:val="00DB03F9"/>
    <w:rsid w:val="00DB4AD2"/>
    <w:rsid w:val="00DB5756"/>
    <w:rsid w:val="00DB6707"/>
    <w:rsid w:val="00DB70FC"/>
    <w:rsid w:val="00DD09D5"/>
    <w:rsid w:val="00DD189D"/>
    <w:rsid w:val="00DD4746"/>
    <w:rsid w:val="00DF680C"/>
    <w:rsid w:val="00E03DC6"/>
    <w:rsid w:val="00E30C91"/>
    <w:rsid w:val="00E50DF2"/>
    <w:rsid w:val="00E633DA"/>
    <w:rsid w:val="00E723F0"/>
    <w:rsid w:val="00E83D64"/>
    <w:rsid w:val="00E84716"/>
    <w:rsid w:val="00E914E4"/>
    <w:rsid w:val="00EB4C21"/>
    <w:rsid w:val="00EC313E"/>
    <w:rsid w:val="00EC48A1"/>
    <w:rsid w:val="00ED39BE"/>
    <w:rsid w:val="00EF7005"/>
    <w:rsid w:val="00F02C65"/>
    <w:rsid w:val="00F03624"/>
    <w:rsid w:val="00F14979"/>
    <w:rsid w:val="00F306BA"/>
    <w:rsid w:val="00F8783B"/>
    <w:rsid w:val="00FA7783"/>
    <w:rsid w:val="00FD1A30"/>
    <w:rsid w:val="00FD5949"/>
    <w:rsid w:val="00FE067E"/>
    <w:rsid w:val="00FE1EA7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BB1"/>
  <w15:docId w15:val="{DC98B54C-F6A7-48ED-861C-5979CA4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C02F4"/>
    <w:pPr>
      <w:keepNext/>
      <w:widowControl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65237"/>
    <w:pPr>
      <w:widowControl/>
    </w:pPr>
    <w:rPr>
      <w:szCs w:val="24"/>
    </w:rPr>
  </w:style>
  <w:style w:type="paragraph" w:styleId="Zkladntextodsazen2">
    <w:name w:val="Body Text Indent 2"/>
    <w:basedOn w:val="Normln"/>
    <w:link w:val="Zkladntextodsazen2Char"/>
    <w:rsid w:val="00A65237"/>
    <w:pPr>
      <w:widowControl/>
      <w:spacing w:after="120" w:line="480" w:lineRule="auto"/>
      <w:ind w:left="283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5237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F3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36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3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36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6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6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54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54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C02F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24D6-1DFE-4C2A-A097-4BED483B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1858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zitnanskyj</dc:creator>
  <cp:lastModifiedBy>Ladislava  Plisková</cp:lastModifiedBy>
  <cp:revision>9</cp:revision>
  <cp:lastPrinted>2022-11-28T14:32:00Z</cp:lastPrinted>
  <dcterms:created xsi:type="dcterms:W3CDTF">2023-11-24T15:25:00Z</dcterms:created>
  <dcterms:modified xsi:type="dcterms:W3CDTF">2023-12-13T10:32:00Z</dcterms:modified>
</cp:coreProperties>
</file>