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C9BE2" w14:textId="54CD7E4C" w:rsidR="008B0DEB" w:rsidRDefault="008B0DEB">
      <w:pPr>
        <w:pStyle w:val="Style5"/>
        <w:keepNext/>
        <w:keepLines/>
        <w:shd w:val="clear" w:color="auto" w:fill="auto"/>
      </w:pPr>
    </w:p>
    <w:p w14:paraId="27D4E96C" w14:textId="77777777" w:rsidR="008B0DEB" w:rsidRDefault="00B65869">
      <w:pPr>
        <w:pStyle w:val="Style11"/>
        <w:keepNext/>
        <w:keepLines/>
        <w:shd w:val="clear" w:color="auto" w:fill="auto"/>
      </w:pPr>
      <w:bookmarkStart w:id="0" w:name="bookmark3"/>
      <w:bookmarkStart w:id="1" w:name="bookmark4"/>
      <w:bookmarkStart w:id="2" w:name="bookmark5"/>
      <w:r>
        <w:t>Závěrkový list č. EL-20230915-3520-3</w:t>
      </w:r>
      <w:bookmarkEnd w:id="0"/>
      <w:bookmarkEnd w:id="1"/>
      <w:bookmarkEnd w:id="2"/>
    </w:p>
    <w:p w14:paraId="2E0B902E" w14:textId="77777777" w:rsidR="008B0DEB" w:rsidRDefault="00B65869">
      <w:pPr>
        <w:pStyle w:val="Style2"/>
        <w:shd w:val="clear" w:color="auto" w:fill="auto"/>
        <w:spacing w:line="240" w:lineRule="auto"/>
        <w:ind w:firstLine="840"/>
      </w:pPr>
      <w:r>
        <w:t>(pro burzovní obchody se silovou elektřinou v rámci sdružených služeb dodávky elektřiny)</w:t>
      </w:r>
    </w:p>
    <w:tbl>
      <w:tblPr>
        <w:tblOverlap w:val="never"/>
        <w:tblW w:w="0" w:type="auto"/>
        <w:tblLayout w:type="fixed"/>
        <w:tblCellMar>
          <w:left w:w="10" w:type="dxa"/>
          <w:right w:w="10" w:type="dxa"/>
        </w:tblCellMar>
        <w:tblLook w:val="04A0" w:firstRow="1" w:lastRow="0" w:firstColumn="1" w:lastColumn="0" w:noHBand="0" w:noVBand="1"/>
      </w:tblPr>
      <w:tblGrid>
        <w:gridCol w:w="3168"/>
        <w:gridCol w:w="6091"/>
      </w:tblGrid>
      <w:tr w:rsidR="008B0DEB" w14:paraId="161E7912" w14:textId="77777777">
        <w:tblPrEx>
          <w:tblCellMar>
            <w:top w:w="0" w:type="dxa"/>
            <w:bottom w:w="0" w:type="dxa"/>
          </w:tblCellMar>
        </w:tblPrEx>
        <w:trPr>
          <w:trHeight w:hRule="exact" w:val="360"/>
        </w:trPr>
        <w:tc>
          <w:tcPr>
            <w:tcW w:w="3168" w:type="dxa"/>
            <w:shd w:val="clear" w:color="auto" w:fill="FFFFFF"/>
          </w:tcPr>
          <w:p w14:paraId="0CA6F42E" w14:textId="77777777" w:rsidR="008B0DEB" w:rsidRDefault="00B65869">
            <w:pPr>
              <w:pStyle w:val="Style13"/>
              <w:shd w:val="clear" w:color="auto" w:fill="auto"/>
              <w:spacing w:after="0" w:line="240" w:lineRule="auto"/>
            </w:pPr>
            <w:r>
              <w:t>číslo aukce: 3520</w:t>
            </w:r>
          </w:p>
        </w:tc>
        <w:tc>
          <w:tcPr>
            <w:tcW w:w="6091" w:type="dxa"/>
            <w:shd w:val="clear" w:color="auto" w:fill="FFFFFF"/>
          </w:tcPr>
          <w:p w14:paraId="7BF2366A" w14:textId="77777777" w:rsidR="008B0DEB" w:rsidRDefault="00B65869">
            <w:pPr>
              <w:pStyle w:val="Style13"/>
              <w:shd w:val="clear" w:color="auto" w:fill="auto"/>
              <w:spacing w:after="0" w:line="240" w:lineRule="auto"/>
              <w:ind w:left="1500"/>
            </w:pPr>
            <w:r>
              <w:t>Datum konání burzovního shromáždění: 15. září 2023</w:t>
            </w:r>
          </w:p>
        </w:tc>
      </w:tr>
      <w:tr w:rsidR="008B0DEB" w14:paraId="5534645D" w14:textId="77777777">
        <w:tblPrEx>
          <w:tblCellMar>
            <w:top w:w="0" w:type="dxa"/>
            <w:bottom w:w="0" w:type="dxa"/>
          </w:tblCellMar>
        </w:tblPrEx>
        <w:trPr>
          <w:trHeight w:hRule="exact" w:val="475"/>
        </w:trPr>
        <w:tc>
          <w:tcPr>
            <w:tcW w:w="3168" w:type="dxa"/>
            <w:shd w:val="clear" w:color="auto" w:fill="FFFFFF"/>
            <w:vAlign w:val="center"/>
          </w:tcPr>
          <w:p w14:paraId="2A17650F" w14:textId="77777777" w:rsidR="008B0DEB" w:rsidRDefault="00B65869">
            <w:pPr>
              <w:pStyle w:val="Style13"/>
              <w:shd w:val="clear" w:color="auto" w:fill="auto"/>
              <w:spacing w:after="0" w:line="240" w:lineRule="auto"/>
            </w:pPr>
            <w:r>
              <w:rPr>
                <w:b/>
                <w:bCs/>
              </w:rPr>
              <w:t>Dodavatel (prodávající):</w:t>
            </w:r>
          </w:p>
        </w:tc>
        <w:tc>
          <w:tcPr>
            <w:tcW w:w="6091" w:type="dxa"/>
            <w:shd w:val="clear" w:color="auto" w:fill="FFFFFF"/>
            <w:vAlign w:val="center"/>
          </w:tcPr>
          <w:p w14:paraId="5E8CA8CB" w14:textId="77777777" w:rsidR="008B0DEB" w:rsidRDefault="00B65869">
            <w:pPr>
              <w:pStyle w:val="Style13"/>
              <w:shd w:val="clear" w:color="auto" w:fill="auto"/>
              <w:spacing w:after="0" w:line="240" w:lineRule="auto"/>
              <w:ind w:firstLine="520"/>
            </w:pPr>
            <w:r>
              <w:rPr>
                <w:lang w:val="en-US" w:eastAsia="en-US" w:bidi="en-US"/>
              </w:rPr>
              <w:t xml:space="preserve">Seven Industry Supply </w:t>
            </w:r>
            <w:r>
              <w:t>a.s.</w:t>
            </w:r>
          </w:p>
        </w:tc>
      </w:tr>
      <w:tr w:rsidR="008B0DEB" w14:paraId="42112D2C" w14:textId="77777777">
        <w:tblPrEx>
          <w:tblCellMar>
            <w:top w:w="0" w:type="dxa"/>
            <w:bottom w:w="0" w:type="dxa"/>
          </w:tblCellMar>
        </w:tblPrEx>
        <w:trPr>
          <w:trHeight w:hRule="exact" w:val="331"/>
        </w:trPr>
        <w:tc>
          <w:tcPr>
            <w:tcW w:w="3168" w:type="dxa"/>
            <w:shd w:val="clear" w:color="auto" w:fill="FFFFFF"/>
            <w:vAlign w:val="bottom"/>
          </w:tcPr>
          <w:p w14:paraId="55FB1DD9" w14:textId="77777777" w:rsidR="008B0DEB" w:rsidRDefault="00B65869">
            <w:pPr>
              <w:pStyle w:val="Style13"/>
              <w:shd w:val="clear" w:color="auto" w:fill="auto"/>
              <w:spacing w:after="0" w:line="240" w:lineRule="auto"/>
            </w:pPr>
            <w:r>
              <w:t>Zapsán v:</w:t>
            </w:r>
          </w:p>
        </w:tc>
        <w:tc>
          <w:tcPr>
            <w:tcW w:w="6091" w:type="dxa"/>
            <w:shd w:val="clear" w:color="auto" w:fill="FFFFFF"/>
            <w:vAlign w:val="bottom"/>
          </w:tcPr>
          <w:p w14:paraId="1DB4F469" w14:textId="77777777" w:rsidR="008B0DEB" w:rsidRDefault="00B65869">
            <w:pPr>
              <w:pStyle w:val="Style13"/>
              <w:shd w:val="clear" w:color="auto" w:fill="auto"/>
              <w:spacing w:after="0" w:line="240" w:lineRule="auto"/>
              <w:ind w:firstLine="520"/>
            </w:pPr>
            <w:r>
              <w:rPr>
                <w:lang w:val="en-US" w:eastAsia="en-US" w:bidi="en-US"/>
              </w:rPr>
              <w:t xml:space="preserve">OR </w:t>
            </w:r>
            <w:r>
              <w:t xml:space="preserve">u </w:t>
            </w:r>
            <w:r>
              <w:rPr>
                <w:lang w:val="en-US" w:eastAsia="en-US" w:bidi="en-US"/>
              </w:rPr>
              <w:t xml:space="preserve">MS </w:t>
            </w:r>
            <w:r>
              <w:t>v Praze, oddíl B, vložka 27442</w:t>
            </w:r>
          </w:p>
        </w:tc>
      </w:tr>
      <w:tr w:rsidR="008B0DEB" w14:paraId="7C8AAAD8" w14:textId="77777777">
        <w:tblPrEx>
          <w:tblCellMar>
            <w:top w:w="0" w:type="dxa"/>
            <w:bottom w:w="0" w:type="dxa"/>
          </w:tblCellMar>
        </w:tblPrEx>
        <w:trPr>
          <w:trHeight w:hRule="exact" w:val="230"/>
        </w:trPr>
        <w:tc>
          <w:tcPr>
            <w:tcW w:w="3168" w:type="dxa"/>
            <w:shd w:val="clear" w:color="auto" w:fill="FFFFFF"/>
            <w:vAlign w:val="bottom"/>
          </w:tcPr>
          <w:p w14:paraId="27FEC056" w14:textId="77777777" w:rsidR="008B0DEB" w:rsidRDefault="00B65869">
            <w:pPr>
              <w:pStyle w:val="Style13"/>
              <w:shd w:val="clear" w:color="auto" w:fill="auto"/>
              <w:spacing w:after="0" w:line="240" w:lineRule="auto"/>
            </w:pPr>
            <w:r>
              <w:t>Sídlo:</w:t>
            </w:r>
          </w:p>
        </w:tc>
        <w:tc>
          <w:tcPr>
            <w:tcW w:w="6091" w:type="dxa"/>
            <w:shd w:val="clear" w:color="auto" w:fill="FFFFFF"/>
            <w:vAlign w:val="bottom"/>
          </w:tcPr>
          <w:p w14:paraId="7325646D" w14:textId="77777777" w:rsidR="008B0DEB" w:rsidRDefault="00B65869">
            <w:pPr>
              <w:pStyle w:val="Style13"/>
              <w:shd w:val="clear" w:color="auto" w:fill="auto"/>
              <w:spacing w:after="0" w:line="240" w:lineRule="auto"/>
              <w:ind w:firstLine="520"/>
            </w:pPr>
            <w:r>
              <w:t>V celnici 1031/4, Nové Město, 110 00 Praha 1</w:t>
            </w:r>
          </w:p>
        </w:tc>
      </w:tr>
      <w:tr w:rsidR="008B0DEB" w14:paraId="628EEDF1" w14:textId="77777777">
        <w:tblPrEx>
          <w:tblCellMar>
            <w:top w:w="0" w:type="dxa"/>
            <w:bottom w:w="0" w:type="dxa"/>
          </w:tblCellMar>
        </w:tblPrEx>
        <w:trPr>
          <w:trHeight w:hRule="exact" w:val="494"/>
        </w:trPr>
        <w:tc>
          <w:tcPr>
            <w:tcW w:w="3168" w:type="dxa"/>
            <w:shd w:val="clear" w:color="auto" w:fill="FFFFFF"/>
          </w:tcPr>
          <w:p w14:paraId="6EC92D68" w14:textId="77777777" w:rsidR="008B0DEB" w:rsidRDefault="00B65869">
            <w:pPr>
              <w:pStyle w:val="Style13"/>
              <w:shd w:val="clear" w:color="auto" w:fill="auto"/>
              <w:spacing w:after="0" w:line="240" w:lineRule="auto"/>
            </w:pPr>
            <w:r>
              <w:t>IČO: 17323886</w:t>
            </w:r>
          </w:p>
          <w:p w14:paraId="36DFE23F" w14:textId="77777777" w:rsidR="008B0DEB" w:rsidRDefault="00B65869">
            <w:pPr>
              <w:pStyle w:val="Style13"/>
              <w:shd w:val="clear" w:color="auto" w:fill="auto"/>
              <w:spacing w:after="0" w:line="240" w:lineRule="auto"/>
            </w:pPr>
            <w:r>
              <w:t>Bankovní spojení:</w:t>
            </w:r>
          </w:p>
        </w:tc>
        <w:tc>
          <w:tcPr>
            <w:tcW w:w="6091" w:type="dxa"/>
            <w:shd w:val="clear" w:color="auto" w:fill="FFFFFF"/>
          </w:tcPr>
          <w:p w14:paraId="45F76147" w14:textId="77777777" w:rsidR="008B0DEB" w:rsidRDefault="00B65869">
            <w:pPr>
              <w:pStyle w:val="Style13"/>
              <w:shd w:val="clear" w:color="auto" w:fill="auto"/>
              <w:spacing w:after="0" w:line="240" w:lineRule="auto"/>
              <w:ind w:firstLine="520"/>
            </w:pPr>
            <w:r>
              <w:t>DIČ: CZ17323886</w:t>
            </w:r>
          </w:p>
          <w:p w14:paraId="3E5BCB31" w14:textId="3751B032" w:rsidR="008B0DEB" w:rsidRDefault="00922C49">
            <w:pPr>
              <w:pStyle w:val="Style13"/>
              <w:shd w:val="clear" w:color="auto" w:fill="auto"/>
              <w:spacing w:after="0" w:line="240" w:lineRule="auto"/>
              <w:ind w:firstLine="520"/>
            </w:pPr>
            <w:r>
              <w:t>XXXXXXXXXXXXXXXXXXXXX XXXXXXXXXXXXXXXXX</w:t>
            </w:r>
          </w:p>
        </w:tc>
      </w:tr>
    </w:tbl>
    <w:p w14:paraId="204B19E8" w14:textId="77777777" w:rsidR="008B0DEB" w:rsidRDefault="008B0DEB">
      <w:pPr>
        <w:spacing w:line="1" w:lineRule="exact"/>
      </w:pPr>
    </w:p>
    <w:p w14:paraId="7C2DAD92" w14:textId="77777777" w:rsidR="008B0DEB" w:rsidRDefault="00B65869">
      <w:pPr>
        <w:pStyle w:val="Style16"/>
        <w:shd w:val="clear" w:color="auto" w:fill="auto"/>
      </w:pPr>
      <w:r>
        <w:t>Zastoupen:</w:t>
      </w:r>
    </w:p>
    <w:tbl>
      <w:tblPr>
        <w:tblOverlap w:val="never"/>
        <w:tblW w:w="0" w:type="auto"/>
        <w:tblLayout w:type="fixed"/>
        <w:tblCellMar>
          <w:left w:w="10" w:type="dxa"/>
          <w:right w:w="10" w:type="dxa"/>
        </w:tblCellMar>
        <w:tblLook w:val="04A0" w:firstRow="1" w:lastRow="0" w:firstColumn="1" w:lastColumn="0" w:noHBand="0" w:noVBand="1"/>
      </w:tblPr>
      <w:tblGrid>
        <w:gridCol w:w="3168"/>
        <w:gridCol w:w="6086"/>
      </w:tblGrid>
      <w:tr w:rsidR="008B0DEB" w14:paraId="197FC447" w14:textId="77777777">
        <w:tblPrEx>
          <w:tblCellMar>
            <w:top w:w="0" w:type="dxa"/>
            <w:bottom w:w="0" w:type="dxa"/>
          </w:tblCellMar>
        </w:tblPrEx>
        <w:trPr>
          <w:trHeight w:hRule="exact" w:val="250"/>
        </w:trPr>
        <w:tc>
          <w:tcPr>
            <w:tcW w:w="3168" w:type="dxa"/>
            <w:shd w:val="clear" w:color="auto" w:fill="FFFFFF"/>
            <w:vAlign w:val="bottom"/>
          </w:tcPr>
          <w:p w14:paraId="7F68C780" w14:textId="77777777" w:rsidR="008B0DEB" w:rsidRDefault="00B65869">
            <w:pPr>
              <w:pStyle w:val="Style13"/>
              <w:shd w:val="clear" w:color="auto" w:fill="auto"/>
              <w:spacing w:after="0" w:line="240" w:lineRule="auto"/>
            </w:pPr>
            <w:r>
              <w:t xml:space="preserve">Jméno a </w:t>
            </w:r>
            <w:r>
              <w:t>příjmení makléře:</w:t>
            </w:r>
          </w:p>
        </w:tc>
        <w:tc>
          <w:tcPr>
            <w:tcW w:w="6086" w:type="dxa"/>
            <w:shd w:val="clear" w:color="auto" w:fill="FFFFFF"/>
            <w:vAlign w:val="bottom"/>
          </w:tcPr>
          <w:p w14:paraId="71BA774D" w14:textId="77777777" w:rsidR="008B0DEB" w:rsidRDefault="00B65869">
            <w:pPr>
              <w:pStyle w:val="Style13"/>
              <w:shd w:val="clear" w:color="auto" w:fill="auto"/>
              <w:spacing w:after="0" w:line="240" w:lineRule="auto"/>
              <w:ind w:firstLine="520"/>
            </w:pPr>
            <w:r>
              <w:t>Bc. Kateřina Votrubová</w:t>
            </w:r>
          </w:p>
        </w:tc>
      </w:tr>
      <w:tr w:rsidR="008B0DEB" w14:paraId="0E80E4F1" w14:textId="77777777">
        <w:tblPrEx>
          <w:tblCellMar>
            <w:top w:w="0" w:type="dxa"/>
            <w:bottom w:w="0" w:type="dxa"/>
          </w:tblCellMar>
        </w:tblPrEx>
        <w:trPr>
          <w:trHeight w:hRule="exact" w:val="341"/>
        </w:trPr>
        <w:tc>
          <w:tcPr>
            <w:tcW w:w="3168" w:type="dxa"/>
            <w:shd w:val="clear" w:color="auto" w:fill="FFFFFF"/>
          </w:tcPr>
          <w:p w14:paraId="5599A2A5" w14:textId="77777777" w:rsidR="008B0DEB" w:rsidRDefault="00B65869">
            <w:pPr>
              <w:pStyle w:val="Style13"/>
              <w:shd w:val="clear" w:color="auto" w:fill="auto"/>
              <w:spacing w:after="0" w:line="240" w:lineRule="auto"/>
            </w:pPr>
            <w:r>
              <w:t>Evidenční číslo makléře:</w:t>
            </w:r>
          </w:p>
        </w:tc>
        <w:tc>
          <w:tcPr>
            <w:tcW w:w="6086" w:type="dxa"/>
            <w:shd w:val="clear" w:color="auto" w:fill="FFFFFF"/>
          </w:tcPr>
          <w:p w14:paraId="02017F65" w14:textId="77777777" w:rsidR="008B0DEB" w:rsidRDefault="00B65869">
            <w:pPr>
              <w:pStyle w:val="Style13"/>
              <w:shd w:val="clear" w:color="auto" w:fill="auto"/>
              <w:spacing w:after="0" w:line="240" w:lineRule="auto"/>
              <w:ind w:firstLine="520"/>
            </w:pPr>
            <w:r>
              <w:t>41039</w:t>
            </w:r>
          </w:p>
        </w:tc>
      </w:tr>
      <w:tr w:rsidR="008B0DEB" w14:paraId="4CC292FE" w14:textId="77777777">
        <w:tblPrEx>
          <w:tblCellMar>
            <w:top w:w="0" w:type="dxa"/>
            <w:bottom w:w="0" w:type="dxa"/>
          </w:tblCellMar>
        </w:tblPrEx>
        <w:trPr>
          <w:trHeight w:hRule="exact" w:val="470"/>
        </w:trPr>
        <w:tc>
          <w:tcPr>
            <w:tcW w:w="3168" w:type="dxa"/>
            <w:shd w:val="clear" w:color="auto" w:fill="FFFFFF"/>
            <w:vAlign w:val="center"/>
          </w:tcPr>
          <w:p w14:paraId="01DB9B38" w14:textId="77777777" w:rsidR="008B0DEB" w:rsidRDefault="00B65869">
            <w:pPr>
              <w:pStyle w:val="Style13"/>
              <w:shd w:val="clear" w:color="auto" w:fill="auto"/>
              <w:spacing w:after="0" w:line="240" w:lineRule="auto"/>
            </w:pPr>
            <w:r>
              <w:rPr>
                <w:b/>
                <w:bCs/>
              </w:rPr>
              <w:t>Odběratel (kupující):</w:t>
            </w:r>
          </w:p>
        </w:tc>
        <w:tc>
          <w:tcPr>
            <w:tcW w:w="6086" w:type="dxa"/>
            <w:shd w:val="clear" w:color="auto" w:fill="FFFFFF"/>
            <w:vAlign w:val="center"/>
          </w:tcPr>
          <w:p w14:paraId="60DE5728" w14:textId="77777777" w:rsidR="008B0DEB" w:rsidRDefault="00B65869">
            <w:pPr>
              <w:pStyle w:val="Style13"/>
              <w:shd w:val="clear" w:color="auto" w:fill="auto"/>
              <w:spacing w:after="0" w:line="240" w:lineRule="auto"/>
              <w:ind w:firstLine="520"/>
            </w:pPr>
            <w:r>
              <w:t>Národní muzeum</w:t>
            </w:r>
          </w:p>
        </w:tc>
      </w:tr>
      <w:tr w:rsidR="008B0DEB" w14:paraId="79A5E674" w14:textId="77777777">
        <w:tblPrEx>
          <w:tblCellMar>
            <w:top w:w="0" w:type="dxa"/>
            <w:bottom w:w="0" w:type="dxa"/>
          </w:tblCellMar>
        </w:tblPrEx>
        <w:trPr>
          <w:trHeight w:hRule="exact" w:val="355"/>
        </w:trPr>
        <w:tc>
          <w:tcPr>
            <w:tcW w:w="3168" w:type="dxa"/>
            <w:shd w:val="clear" w:color="auto" w:fill="FFFFFF"/>
            <w:vAlign w:val="bottom"/>
          </w:tcPr>
          <w:p w14:paraId="5F8DF59C" w14:textId="77777777" w:rsidR="008B0DEB" w:rsidRDefault="00B65869">
            <w:pPr>
              <w:pStyle w:val="Style13"/>
              <w:shd w:val="clear" w:color="auto" w:fill="auto"/>
              <w:spacing w:after="0" w:line="240" w:lineRule="auto"/>
            </w:pPr>
            <w:r>
              <w:t>Zapsán v:</w:t>
            </w:r>
          </w:p>
        </w:tc>
        <w:tc>
          <w:tcPr>
            <w:tcW w:w="6086" w:type="dxa"/>
            <w:shd w:val="clear" w:color="auto" w:fill="FFFFFF"/>
            <w:vAlign w:val="bottom"/>
          </w:tcPr>
          <w:p w14:paraId="64144B9E" w14:textId="77777777" w:rsidR="008B0DEB" w:rsidRDefault="00B65869">
            <w:pPr>
              <w:pStyle w:val="Style13"/>
              <w:shd w:val="clear" w:color="auto" w:fill="auto"/>
              <w:spacing w:after="0" w:line="240" w:lineRule="auto"/>
              <w:ind w:firstLine="520"/>
            </w:pPr>
            <w:r>
              <w:t>Registru ekonomických subjektů</w:t>
            </w:r>
          </w:p>
        </w:tc>
      </w:tr>
      <w:tr w:rsidR="008B0DEB" w14:paraId="03BF7A0F" w14:textId="77777777">
        <w:tblPrEx>
          <w:tblCellMar>
            <w:top w:w="0" w:type="dxa"/>
            <w:bottom w:w="0" w:type="dxa"/>
          </w:tblCellMar>
        </w:tblPrEx>
        <w:trPr>
          <w:trHeight w:hRule="exact" w:val="206"/>
        </w:trPr>
        <w:tc>
          <w:tcPr>
            <w:tcW w:w="3168" w:type="dxa"/>
            <w:shd w:val="clear" w:color="auto" w:fill="FFFFFF"/>
          </w:tcPr>
          <w:p w14:paraId="6C86EC38" w14:textId="77777777" w:rsidR="008B0DEB" w:rsidRDefault="00B65869">
            <w:pPr>
              <w:pStyle w:val="Style13"/>
              <w:shd w:val="clear" w:color="auto" w:fill="auto"/>
              <w:spacing w:after="0" w:line="240" w:lineRule="auto"/>
            </w:pPr>
            <w:r>
              <w:t>Sídlo:</w:t>
            </w:r>
          </w:p>
        </w:tc>
        <w:tc>
          <w:tcPr>
            <w:tcW w:w="6086" w:type="dxa"/>
            <w:shd w:val="clear" w:color="auto" w:fill="FFFFFF"/>
          </w:tcPr>
          <w:p w14:paraId="0F2118C2" w14:textId="77777777" w:rsidR="008B0DEB" w:rsidRDefault="00B65869">
            <w:pPr>
              <w:pStyle w:val="Style13"/>
              <w:shd w:val="clear" w:color="auto" w:fill="auto"/>
              <w:spacing w:after="0" w:line="240" w:lineRule="auto"/>
              <w:ind w:firstLine="520"/>
            </w:pPr>
            <w:r>
              <w:t>Václavské náměstí 1700/68, 11579 Praha 1</w:t>
            </w:r>
          </w:p>
        </w:tc>
      </w:tr>
      <w:tr w:rsidR="008B0DEB" w14:paraId="7B2B8FB6" w14:textId="77777777">
        <w:tblPrEx>
          <w:tblCellMar>
            <w:top w:w="0" w:type="dxa"/>
            <w:bottom w:w="0" w:type="dxa"/>
          </w:tblCellMar>
        </w:tblPrEx>
        <w:trPr>
          <w:trHeight w:hRule="exact" w:val="499"/>
        </w:trPr>
        <w:tc>
          <w:tcPr>
            <w:tcW w:w="3168" w:type="dxa"/>
            <w:shd w:val="clear" w:color="auto" w:fill="FFFFFF"/>
          </w:tcPr>
          <w:p w14:paraId="63BA5209" w14:textId="77777777" w:rsidR="008B0DEB" w:rsidRDefault="00B65869">
            <w:pPr>
              <w:pStyle w:val="Style13"/>
              <w:shd w:val="clear" w:color="auto" w:fill="auto"/>
              <w:spacing w:after="0" w:line="240" w:lineRule="auto"/>
            </w:pPr>
            <w:r>
              <w:t>IČO: 00023272</w:t>
            </w:r>
          </w:p>
          <w:p w14:paraId="7DEA1322" w14:textId="77777777" w:rsidR="008B0DEB" w:rsidRDefault="00B65869">
            <w:pPr>
              <w:pStyle w:val="Style13"/>
              <w:shd w:val="clear" w:color="auto" w:fill="auto"/>
              <w:spacing w:after="0" w:line="240" w:lineRule="auto"/>
            </w:pPr>
            <w:r>
              <w:t>Bankovní spojení:</w:t>
            </w:r>
          </w:p>
        </w:tc>
        <w:tc>
          <w:tcPr>
            <w:tcW w:w="6086" w:type="dxa"/>
            <w:shd w:val="clear" w:color="auto" w:fill="FFFFFF"/>
          </w:tcPr>
          <w:p w14:paraId="0588750C" w14:textId="77777777" w:rsidR="00922C49" w:rsidRDefault="00B65869">
            <w:pPr>
              <w:pStyle w:val="Style13"/>
              <w:shd w:val="clear" w:color="auto" w:fill="auto"/>
              <w:spacing w:after="0"/>
              <w:ind w:left="520" w:firstLine="20"/>
            </w:pPr>
            <w:r>
              <w:t xml:space="preserve">DIČ: </w:t>
            </w:r>
            <w:r>
              <w:t xml:space="preserve">CZ00023272 </w:t>
            </w:r>
          </w:p>
          <w:p w14:paraId="17ED06D3" w14:textId="2CA1D48B" w:rsidR="008B0DEB" w:rsidRDefault="00922C49">
            <w:pPr>
              <w:pStyle w:val="Style13"/>
              <w:shd w:val="clear" w:color="auto" w:fill="auto"/>
              <w:spacing w:after="0"/>
              <w:ind w:left="520" w:firstLine="20"/>
            </w:pPr>
            <w:r>
              <w:t>XXXXXXXXXXXX</w:t>
            </w:r>
          </w:p>
        </w:tc>
      </w:tr>
    </w:tbl>
    <w:p w14:paraId="513528C2" w14:textId="77777777" w:rsidR="008B0DEB" w:rsidRDefault="008B0DEB">
      <w:pPr>
        <w:spacing w:line="1" w:lineRule="exact"/>
      </w:pPr>
    </w:p>
    <w:p w14:paraId="7F698D30" w14:textId="77777777" w:rsidR="008B0DEB" w:rsidRDefault="00B65869">
      <w:pPr>
        <w:pStyle w:val="Style16"/>
        <w:shd w:val="clear" w:color="auto" w:fill="auto"/>
        <w:ind w:left="5"/>
      </w:pPr>
      <w:r>
        <w:t>Zastoupen:</w:t>
      </w:r>
    </w:p>
    <w:tbl>
      <w:tblPr>
        <w:tblOverlap w:val="never"/>
        <w:tblW w:w="0" w:type="auto"/>
        <w:tblLayout w:type="fixed"/>
        <w:tblCellMar>
          <w:left w:w="10" w:type="dxa"/>
          <w:right w:w="10" w:type="dxa"/>
        </w:tblCellMar>
        <w:tblLook w:val="04A0" w:firstRow="1" w:lastRow="0" w:firstColumn="1" w:lastColumn="0" w:noHBand="0" w:noVBand="1"/>
      </w:tblPr>
      <w:tblGrid>
        <w:gridCol w:w="3168"/>
        <w:gridCol w:w="6086"/>
      </w:tblGrid>
      <w:tr w:rsidR="008B0DEB" w14:paraId="27DC8C3E" w14:textId="77777777">
        <w:tblPrEx>
          <w:tblCellMar>
            <w:top w:w="0" w:type="dxa"/>
            <w:bottom w:w="0" w:type="dxa"/>
          </w:tblCellMar>
        </w:tblPrEx>
        <w:trPr>
          <w:trHeight w:hRule="exact" w:val="254"/>
        </w:trPr>
        <w:tc>
          <w:tcPr>
            <w:tcW w:w="3168" w:type="dxa"/>
            <w:shd w:val="clear" w:color="auto" w:fill="FFFFFF"/>
            <w:vAlign w:val="bottom"/>
          </w:tcPr>
          <w:p w14:paraId="0F5A6E2A" w14:textId="77777777" w:rsidR="008B0DEB" w:rsidRDefault="00B65869">
            <w:pPr>
              <w:pStyle w:val="Style13"/>
              <w:shd w:val="clear" w:color="auto" w:fill="auto"/>
              <w:spacing w:after="0" w:line="240" w:lineRule="auto"/>
            </w:pPr>
            <w:r>
              <w:t>Jméno a příjmení makléře:</w:t>
            </w:r>
          </w:p>
        </w:tc>
        <w:tc>
          <w:tcPr>
            <w:tcW w:w="6086" w:type="dxa"/>
            <w:shd w:val="clear" w:color="auto" w:fill="FFFFFF"/>
            <w:vAlign w:val="bottom"/>
          </w:tcPr>
          <w:p w14:paraId="1B410153" w14:textId="77777777" w:rsidR="008B0DEB" w:rsidRDefault="00B65869">
            <w:pPr>
              <w:pStyle w:val="Style13"/>
              <w:shd w:val="clear" w:color="auto" w:fill="auto"/>
              <w:spacing w:after="0" w:line="240" w:lineRule="auto"/>
              <w:ind w:firstLine="520"/>
            </w:pPr>
            <w:r>
              <w:t>Ing. Miloslav Ryšavý</w:t>
            </w:r>
          </w:p>
        </w:tc>
      </w:tr>
      <w:tr w:rsidR="008B0DEB" w14:paraId="71E1162C" w14:textId="77777777">
        <w:tblPrEx>
          <w:tblCellMar>
            <w:top w:w="0" w:type="dxa"/>
            <w:bottom w:w="0" w:type="dxa"/>
          </w:tblCellMar>
        </w:tblPrEx>
        <w:trPr>
          <w:trHeight w:hRule="exact" w:val="331"/>
        </w:trPr>
        <w:tc>
          <w:tcPr>
            <w:tcW w:w="3168" w:type="dxa"/>
            <w:shd w:val="clear" w:color="auto" w:fill="FFFFFF"/>
          </w:tcPr>
          <w:p w14:paraId="52FCFE1D" w14:textId="77777777" w:rsidR="008B0DEB" w:rsidRDefault="00B65869">
            <w:pPr>
              <w:pStyle w:val="Style13"/>
              <w:shd w:val="clear" w:color="auto" w:fill="auto"/>
              <w:spacing w:after="0" w:line="240" w:lineRule="auto"/>
            </w:pPr>
            <w:r>
              <w:t>Evidenční číslo makléře:</w:t>
            </w:r>
          </w:p>
        </w:tc>
        <w:tc>
          <w:tcPr>
            <w:tcW w:w="6086" w:type="dxa"/>
            <w:shd w:val="clear" w:color="auto" w:fill="FFFFFF"/>
          </w:tcPr>
          <w:p w14:paraId="4EAD8556" w14:textId="77777777" w:rsidR="008B0DEB" w:rsidRDefault="00B65869">
            <w:pPr>
              <w:pStyle w:val="Style13"/>
              <w:shd w:val="clear" w:color="auto" w:fill="auto"/>
              <w:spacing w:after="0" w:line="240" w:lineRule="auto"/>
              <w:ind w:firstLine="520"/>
            </w:pPr>
            <w:r>
              <w:t>41019</w:t>
            </w:r>
          </w:p>
        </w:tc>
      </w:tr>
      <w:tr w:rsidR="008B0DEB" w14:paraId="5E197FA6" w14:textId="77777777">
        <w:tblPrEx>
          <w:tblCellMar>
            <w:top w:w="0" w:type="dxa"/>
            <w:bottom w:w="0" w:type="dxa"/>
          </w:tblCellMar>
        </w:tblPrEx>
        <w:trPr>
          <w:trHeight w:hRule="exact" w:val="706"/>
        </w:trPr>
        <w:tc>
          <w:tcPr>
            <w:tcW w:w="3168" w:type="dxa"/>
            <w:shd w:val="clear" w:color="auto" w:fill="FFFFFF"/>
          </w:tcPr>
          <w:p w14:paraId="631C7F55" w14:textId="77777777" w:rsidR="008B0DEB" w:rsidRDefault="00B65869">
            <w:pPr>
              <w:pStyle w:val="Style13"/>
              <w:shd w:val="clear" w:color="auto" w:fill="auto"/>
              <w:spacing w:before="120" w:after="0" w:line="240" w:lineRule="auto"/>
            </w:pPr>
            <w:r>
              <w:rPr>
                <w:b/>
                <w:bCs/>
              </w:rPr>
              <w:t>Popis produktu:</w:t>
            </w:r>
          </w:p>
        </w:tc>
        <w:tc>
          <w:tcPr>
            <w:tcW w:w="6086" w:type="dxa"/>
            <w:shd w:val="clear" w:color="auto" w:fill="FFFFFF"/>
            <w:vAlign w:val="center"/>
          </w:tcPr>
          <w:p w14:paraId="574DC8B4" w14:textId="77777777" w:rsidR="008B0DEB" w:rsidRDefault="00B65869">
            <w:pPr>
              <w:pStyle w:val="Style13"/>
              <w:shd w:val="clear" w:color="auto" w:fill="auto"/>
              <w:spacing w:after="0" w:line="240" w:lineRule="auto"/>
              <w:ind w:left="520" w:firstLine="20"/>
            </w:pPr>
            <w:r>
              <w:rPr>
                <w:b/>
                <w:bCs/>
              </w:rPr>
              <w:t>Dodávka elektřiny v rámci sdružených služeb dodávky elektřiny v napěťové hladině vysokého napětí</w:t>
            </w:r>
          </w:p>
        </w:tc>
      </w:tr>
      <w:tr w:rsidR="008B0DEB" w14:paraId="2D2A37B8" w14:textId="77777777">
        <w:tblPrEx>
          <w:tblCellMar>
            <w:top w:w="0" w:type="dxa"/>
            <w:bottom w:w="0" w:type="dxa"/>
          </w:tblCellMar>
        </w:tblPrEx>
        <w:trPr>
          <w:trHeight w:hRule="exact" w:val="456"/>
        </w:trPr>
        <w:tc>
          <w:tcPr>
            <w:tcW w:w="3168" w:type="dxa"/>
            <w:shd w:val="clear" w:color="auto" w:fill="FFFFFF"/>
            <w:vAlign w:val="center"/>
          </w:tcPr>
          <w:p w14:paraId="1342F07A" w14:textId="77777777" w:rsidR="008B0DEB" w:rsidRDefault="00B65869">
            <w:pPr>
              <w:pStyle w:val="Style13"/>
              <w:shd w:val="clear" w:color="auto" w:fill="auto"/>
              <w:spacing w:after="0" w:line="240" w:lineRule="auto"/>
            </w:pPr>
            <w:r>
              <w:rPr>
                <w:b/>
                <w:bCs/>
              </w:rPr>
              <w:t xml:space="preserve">Způsob sjednání </w:t>
            </w:r>
            <w:r>
              <w:rPr>
                <w:b/>
                <w:bCs/>
              </w:rPr>
              <w:t>ceny:</w:t>
            </w:r>
          </w:p>
        </w:tc>
        <w:tc>
          <w:tcPr>
            <w:tcW w:w="6086" w:type="dxa"/>
            <w:shd w:val="clear" w:color="auto" w:fill="FFFFFF"/>
            <w:vAlign w:val="center"/>
          </w:tcPr>
          <w:p w14:paraId="0A1044C0" w14:textId="77777777" w:rsidR="008B0DEB" w:rsidRDefault="00B65869">
            <w:pPr>
              <w:pStyle w:val="Style13"/>
              <w:shd w:val="clear" w:color="auto" w:fill="auto"/>
              <w:spacing w:after="0" w:line="240" w:lineRule="auto"/>
              <w:ind w:firstLine="520"/>
            </w:pPr>
            <w:r>
              <w:rPr>
                <w:b/>
                <w:bCs/>
              </w:rPr>
              <w:t>postupná fixace ceny - násobící koeficient</w:t>
            </w:r>
          </w:p>
        </w:tc>
      </w:tr>
      <w:tr w:rsidR="008B0DEB" w14:paraId="77DF4A1E" w14:textId="77777777">
        <w:tblPrEx>
          <w:tblCellMar>
            <w:top w:w="0" w:type="dxa"/>
            <w:bottom w:w="0" w:type="dxa"/>
          </w:tblCellMar>
        </w:tblPrEx>
        <w:trPr>
          <w:trHeight w:hRule="exact" w:val="355"/>
        </w:trPr>
        <w:tc>
          <w:tcPr>
            <w:tcW w:w="3168" w:type="dxa"/>
            <w:shd w:val="clear" w:color="auto" w:fill="FFFFFF"/>
            <w:vAlign w:val="bottom"/>
          </w:tcPr>
          <w:p w14:paraId="47A849A3" w14:textId="77777777" w:rsidR="008B0DEB" w:rsidRDefault="00B65869">
            <w:pPr>
              <w:pStyle w:val="Style13"/>
              <w:shd w:val="clear" w:color="auto" w:fill="auto"/>
              <w:spacing w:after="0" w:line="240" w:lineRule="auto"/>
            </w:pPr>
            <w:r>
              <w:rPr>
                <w:b/>
                <w:bCs/>
              </w:rPr>
              <w:t>Hodnota fixačního produktu:</w:t>
            </w:r>
          </w:p>
        </w:tc>
        <w:tc>
          <w:tcPr>
            <w:tcW w:w="6086" w:type="dxa"/>
            <w:shd w:val="clear" w:color="auto" w:fill="FFFFFF"/>
            <w:vAlign w:val="bottom"/>
          </w:tcPr>
          <w:p w14:paraId="1E1DCA1C" w14:textId="77777777" w:rsidR="008B0DEB" w:rsidRDefault="00B65869">
            <w:pPr>
              <w:pStyle w:val="Style13"/>
              <w:shd w:val="clear" w:color="auto" w:fill="auto"/>
              <w:spacing w:after="0" w:line="240" w:lineRule="auto"/>
              <w:ind w:firstLine="520"/>
            </w:pPr>
            <w:r>
              <w:rPr>
                <w:b/>
                <w:bCs/>
                <w:lang w:val="en-US" w:eastAsia="en-US" w:bidi="en-US"/>
              </w:rPr>
              <w:t xml:space="preserve">best ask price </w:t>
            </w:r>
            <w:r>
              <w:rPr>
                <w:b/>
                <w:bCs/>
              </w:rPr>
              <w:t>- postupná fixace ve fixačních krocích</w:t>
            </w:r>
          </w:p>
        </w:tc>
      </w:tr>
    </w:tbl>
    <w:p w14:paraId="4C2B58B5" w14:textId="77777777" w:rsidR="008B0DEB" w:rsidRDefault="008B0DEB">
      <w:pPr>
        <w:spacing w:after="219" w:line="1" w:lineRule="exact"/>
      </w:pPr>
    </w:p>
    <w:p w14:paraId="35F702AD" w14:textId="77777777" w:rsidR="008B0DEB" w:rsidRDefault="00B65869">
      <w:pPr>
        <w:pStyle w:val="Style2"/>
        <w:shd w:val="clear" w:color="auto" w:fill="auto"/>
        <w:tabs>
          <w:tab w:val="left" w:pos="6396"/>
        </w:tabs>
        <w:spacing w:after="0" w:line="240" w:lineRule="auto"/>
      </w:pPr>
      <w:r>
        <w:rPr>
          <w:b/>
          <w:bCs/>
        </w:rPr>
        <w:t>Minimální počet fixačních kroků pro kalendářní rok dodávky:</w:t>
      </w:r>
      <w:r>
        <w:rPr>
          <w:b/>
          <w:bCs/>
        </w:rPr>
        <w:tab/>
        <w:t>2</w:t>
      </w:r>
    </w:p>
    <w:p w14:paraId="602E8867" w14:textId="77777777" w:rsidR="008B0DEB" w:rsidRDefault="00B65869">
      <w:pPr>
        <w:pStyle w:val="Style2"/>
        <w:shd w:val="clear" w:color="auto" w:fill="auto"/>
        <w:tabs>
          <w:tab w:val="left" w:pos="6396"/>
        </w:tabs>
        <w:spacing w:line="240" w:lineRule="auto"/>
      </w:pPr>
      <w:r>
        <w:rPr>
          <w:b/>
          <w:bCs/>
        </w:rPr>
        <w:t xml:space="preserve">Maximální počet fixačních kroků pro kalendářní rok </w:t>
      </w:r>
      <w:r>
        <w:rPr>
          <w:b/>
          <w:bCs/>
        </w:rPr>
        <w:t>dodávky:</w:t>
      </w:r>
      <w:r>
        <w:rPr>
          <w:b/>
          <w:bCs/>
        </w:rPr>
        <w:tab/>
        <w:t>4</w:t>
      </w:r>
    </w:p>
    <w:p w14:paraId="7433C449" w14:textId="77777777" w:rsidR="008B0DEB" w:rsidRDefault="00B65869">
      <w:pPr>
        <w:pStyle w:val="Style2"/>
        <w:shd w:val="clear" w:color="auto" w:fill="auto"/>
        <w:tabs>
          <w:tab w:val="left" w:pos="5506"/>
        </w:tabs>
        <w:spacing w:line="240" w:lineRule="auto"/>
      </w:pPr>
      <w:r>
        <w:rPr>
          <w:b/>
          <w:bCs/>
        </w:rPr>
        <w:t>Označení fixačního produktu pro dodávku v roce 2024:</w:t>
      </w:r>
      <w:r>
        <w:rPr>
          <w:b/>
          <w:bCs/>
        </w:rPr>
        <w:tab/>
      </w:r>
      <w:r>
        <w:rPr>
          <w:b/>
          <w:bCs/>
          <w:lang w:val="en-US" w:eastAsia="en-US" w:bidi="en-US"/>
        </w:rPr>
        <w:t>Czech Baseload Year Futures Cal-24</w:t>
      </w:r>
    </w:p>
    <w:p w14:paraId="00FE21CE" w14:textId="77777777" w:rsidR="008B0DEB" w:rsidRDefault="00B65869">
      <w:pPr>
        <w:pStyle w:val="Style2"/>
        <w:shd w:val="clear" w:color="auto" w:fill="auto"/>
        <w:spacing w:after="0" w:line="240" w:lineRule="auto"/>
      </w:pPr>
      <w:r>
        <w:rPr>
          <w:b/>
          <w:bCs/>
        </w:rPr>
        <w:t>Počet odběrných míst:</w:t>
      </w:r>
    </w:p>
    <w:p w14:paraId="306383ED" w14:textId="77777777" w:rsidR="008B0DEB" w:rsidRDefault="00B65869">
      <w:pPr>
        <w:spacing w:line="1" w:lineRule="exact"/>
      </w:pPr>
      <w:r>
        <w:rPr>
          <w:noProof/>
        </w:rPr>
        <mc:AlternateContent>
          <mc:Choice Requires="wps">
            <w:drawing>
              <wp:anchor distT="63500" distB="0" distL="0" distR="0" simplePos="0" relativeHeight="125829378" behindDoc="0" locked="0" layoutInCell="1" allowOverlap="1" wp14:anchorId="18552D4D" wp14:editId="16B7AE94">
                <wp:simplePos x="0" y="0"/>
                <wp:positionH relativeFrom="page">
                  <wp:posOffset>860425</wp:posOffset>
                </wp:positionH>
                <wp:positionV relativeFrom="paragraph">
                  <wp:posOffset>63500</wp:posOffset>
                </wp:positionV>
                <wp:extent cx="1798320" cy="15557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798320" cy="155575"/>
                        </a:xfrm>
                        <a:prstGeom prst="rect">
                          <a:avLst/>
                        </a:prstGeom>
                        <a:noFill/>
                      </wps:spPr>
                      <wps:txbx>
                        <w:txbxContent>
                          <w:p w14:paraId="1827F183" w14:textId="77777777" w:rsidR="008B0DEB" w:rsidRDefault="00B65869">
                            <w:pPr>
                              <w:pStyle w:val="Style2"/>
                              <w:shd w:val="clear" w:color="auto" w:fill="auto"/>
                              <w:spacing w:after="0" w:line="240" w:lineRule="auto"/>
                            </w:pPr>
                            <w:r>
                              <w:rPr>
                                <w:b/>
                                <w:bCs/>
                              </w:rPr>
                              <w:t>Technické parametry dodávky:</w:t>
                            </w:r>
                          </w:p>
                        </w:txbxContent>
                      </wps:txbx>
                      <wps:bodyPr wrap="none" lIns="0" tIns="0" rIns="0" bIns="0"/>
                    </wps:wsp>
                  </a:graphicData>
                </a:graphic>
              </wp:anchor>
            </w:drawing>
          </mc:Choice>
          <mc:Fallback>
            <w:pict>
              <v:shapetype w14:anchorId="18552D4D" id="_x0000_t202" coordsize="21600,21600" o:spt="202" path="m,l,21600r21600,l21600,xe">
                <v:stroke joinstyle="miter"/>
                <v:path gradientshapeok="t" o:connecttype="rect"/>
              </v:shapetype>
              <v:shape id="Shape 1" o:spid="_x0000_s1026" type="#_x0000_t202" style="position:absolute;margin-left:67.75pt;margin-top:5pt;width:141.6pt;height:12.25pt;z-index:125829378;visibility:visible;mso-wrap-style:non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" filled="f" stroked="f">
                <v:textbox inset="0,0,0,0">
                  <w:txbxContent>
                    <w:p w14:paraId="1827F183" w14:textId="77777777" w:rsidR="008B0DEB" w:rsidRDefault="00B65869">
                      <w:pPr>
                        <w:pStyle w:val="Style2"/>
                        <w:shd w:val="clear" w:color="auto" w:fill="auto"/>
                        <w:spacing w:after="0" w:line="240" w:lineRule="auto"/>
                      </w:pPr>
                      <w:r>
                        <w:rPr>
                          <w:b/>
                          <w:bCs/>
                        </w:rPr>
                        <w:t>Technické parametry dodávky:</w:t>
                      </w:r>
                    </w:p>
                  </w:txbxContent>
                </v:textbox>
                <w10:wrap type="topAndBottom" anchorx="page"/>
              </v:shape>
            </w:pict>
          </mc:Fallback>
        </mc:AlternateContent>
      </w:r>
      <w:r>
        <w:rPr>
          <w:noProof/>
        </w:rPr>
        <mc:AlternateContent>
          <mc:Choice Requires="wps">
            <w:drawing>
              <wp:anchor distT="63500" distB="6350" distL="0" distR="0" simplePos="0" relativeHeight="125829380" behindDoc="0" locked="0" layoutInCell="1" allowOverlap="1" wp14:anchorId="1FB121CF" wp14:editId="696AC4F5">
                <wp:simplePos x="0" y="0"/>
                <wp:positionH relativeFrom="page">
                  <wp:posOffset>3201035</wp:posOffset>
                </wp:positionH>
                <wp:positionV relativeFrom="paragraph">
                  <wp:posOffset>63500</wp:posOffset>
                </wp:positionV>
                <wp:extent cx="1783080" cy="14922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783080" cy="149225"/>
                        </a:xfrm>
                        <a:prstGeom prst="rect">
                          <a:avLst/>
                        </a:prstGeom>
                        <a:noFill/>
                      </wps:spPr>
                      <wps:txbx>
                        <w:txbxContent>
                          <w:p w14:paraId="089DF65B" w14:textId="77777777" w:rsidR="008B0DEB" w:rsidRDefault="00B65869">
                            <w:pPr>
                              <w:pStyle w:val="Style2"/>
                              <w:shd w:val="clear" w:color="auto" w:fill="auto"/>
                              <w:spacing w:after="0" w:line="240" w:lineRule="auto"/>
                            </w:pPr>
                            <w:r>
                              <w:t>viz Příloha závěrkového listu č. 1</w:t>
                            </w:r>
                          </w:p>
                        </w:txbxContent>
                      </wps:txbx>
                      <wps:bodyPr wrap="none" lIns="0" tIns="0" rIns="0" bIns="0"/>
                    </wps:wsp>
                  </a:graphicData>
                </a:graphic>
              </wp:anchor>
            </w:drawing>
          </mc:Choice>
          <mc:Fallback>
            <w:pict>
              <v:shape w14:anchorId="1FB121CF" id="Shape 3" o:spid="_x0000_s1027" type="#_x0000_t202" style="position:absolute;margin-left:252.05pt;margin-top:5pt;width:140.4pt;height:11.75pt;z-index:125829380;visibility:visible;mso-wrap-style:none;mso-wrap-distance-left:0;mso-wrap-distance-top:5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" filled="f" stroked="f">
                <v:textbox inset="0,0,0,0">
                  <w:txbxContent>
                    <w:p w14:paraId="089DF65B" w14:textId="77777777" w:rsidR="008B0DEB" w:rsidRDefault="00B65869">
                      <w:pPr>
                        <w:pStyle w:val="Style2"/>
                        <w:shd w:val="clear" w:color="auto" w:fill="auto"/>
                        <w:spacing w:after="0" w:line="240" w:lineRule="auto"/>
                      </w:pPr>
                      <w:r>
                        <w:t>viz Příloha závěrkového listu č. 1</w:t>
                      </w:r>
                    </w:p>
                  </w:txbxContent>
                </v:textbox>
                <w10:wrap type="topAndBottom" anchorx="page"/>
              </v:shape>
            </w:pict>
          </mc:Fallback>
        </mc:AlternateContent>
      </w:r>
    </w:p>
    <w:p w14:paraId="74C8D564" w14:textId="77777777" w:rsidR="008B0DEB" w:rsidRDefault="00B65869">
      <w:pPr>
        <w:spacing w:line="1" w:lineRule="exact"/>
        <w:sectPr w:rsidR="008B0DEB">
          <w:headerReference w:type="default" r:id="rId7"/>
          <w:footerReference w:type="default" r:id="rId8"/>
          <w:pgSz w:w="11909" w:h="16834"/>
          <w:pgMar w:top="264" w:right="440" w:bottom="298" w:left="1340" w:header="0" w:footer="3" w:gutter="0"/>
          <w:pgNumType w:start="1"/>
          <w:cols w:space="720"/>
          <w:noEndnote/>
          <w:docGrid w:linePitch="360"/>
        </w:sectPr>
      </w:pPr>
      <w:r>
        <w:rPr>
          <w:noProof/>
        </w:rPr>
        <mc:AlternateContent>
          <mc:Choice Requires="wps">
            <w:drawing>
              <wp:anchor distT="127000" distB="0" distL="0" distR="0" simplePos="0" relativeHeight="125829382" behindDoc="0" locked="0" layoutInCell="1" allowOverlap="1" wp14:anchorId="4012E523" wp14:editId="2FED4C67">
                <wp:simplePos x="0" y="0"/>
                <wp:positionH relativeFrom="page">
                  <wp:posOffset>860425</wp:posOffset>
                </wp:positionH>
                <wp:positionV relativeFrom="paragraph">
                  <wp:posOffset>127000</wp:posOffset>
                </wp:positionV>
                <wp:extent cx="990600" cy="15875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990600" cy="158750"/>
                        </a:xfrm>
                        <a:prstGeom prst="rect">
                          <a:avLst/>
                        </a:prstGeom>
                        <a:noFill/>
                      </wps:spPr>
                      <wps:txbx>
                        <w:txbxContent>
                          <w:p w14:paraId="4A0F1273" w14:textId="77777777" w:rsidR="008B0DEB" w:rsidRDefault="00B65869">
                            <w:pPr>
                              <w:pStyle w:val="Style2"/>
                              <w:shd w:val="clear" w:color="auto" w:fill="auto"/>
                              <w:spacing w:after="0" w:line="240" w:lineRule="auto"/>
                            </w:pPr>
                            <w:r>
                              <w:rPr>
                                <w:b/>
                                <w:bCs/>
                              </w:rPr>
                              <w:t>Termín dodávky:</w:t>
                            </w:r>
                          </w:p>
                        </w:txbxContent>
                      </wps:txbx>
                      <wps:bodyPr wrap="none" lIns="0" tIns="0" rIns="0" bIns="0"/>
                    </wps:wsp>
                  </a:graphicData>
                </a:graphic>
              </wp:anchor>
            </w:drawing>
          </mc:Choice>
          <mc:Fallback>
            <w:pict>
              <v:shape w14:anchorId="4012E523" id="Shape 12" o:spid="_x0000_s1028" type="#_x0000_t202" style="position:absolute;margin-left:67.75pt;margin-top:10pt;width:78pt;height:12.5pt;z-index:125829382;visibility:visible;mso-wrap-style:non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" filled="f" stroked="f">
                <v:textbox inset="0,0,0,0">
                  <w:txbxContent>
                    <w:p w14:paraId="4A0F1273" w14:textId="77777777" w:rsidR="008B0DEB" w:rsidRDefault="00B65869">
                      <w:pPr>
                        <w:pStyle w:val="Style2"/>
                        <w:shd w:val="clear" w:color="auto" w:fill="auto"/>
                        <w:spacing w:after="0" w:line="240" w:lineRule="auto"/>
                      </w:pPr>
                      <w:r>
                        <w:rPr>
                          <w:b/>
                          <w:bCs/>
                        </w:rPr>
                        <w:t>Termín dodávky:</w:t>
                      </w:r>
                    </w:p>
                  </w:txbxContent>
                </v:textbox>
                <w10:wrap type="topAndBottom" anchorx="page"/>
              </v:shape>
            </w:pict>
          </mc:Fallback>
        </mc:AlternateContent>
      </w:r>
      <w:r>
        <w:rPr>
          <w:noProof/>
        </w:rPr>
        <mc:AlternateContent>
          <mc:Choice Requires="wps">
            <w:drawing>
              <wp:anchor distT="130175" distB="6350" distL="0" distR="0" simplePos="0" relativeHeight="125829384" behindDoc="0" locked="0" layoutInCell="1" allowOverlap="1" wp14:anchorId="3D98D958" wp14:editId="2BD6DB36">
                <wp:simplePos x="0" y="0"/>
                <wp:positionH relativeFrom="page">
                  <wp:posOffset>3204210</wp:posOffset>
                </wp:positionH>
                <wp:positionV relativeFrom="paragraph">
                  <wp:posOffset>130175</wp:posOffset>
                </wp:positionV>
                <wp:extent cx="1511935" cy="149225"/>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1511935" cy="149225"/>
                        </a:xfrm>
                        <a:prstGeom prst="rect">
                          <a:avLst/>
                        </a:prstGeom>
                        <a:noFill/>
                      </wps:spPr>
                      <wps:txbx>
                        <w:txbxContent>
                          <w:p w14:paraId="1F7D6B83" w14:textId="77777777" w:rsidR="008B0DEB" w:rsidRDefault="00B65869">
                            <w:pPr>
                              <w:pStyle w:val="Style2"/>
                              <w:shd w:val="clear" w:color="auto" w:fill="auto"/>
                              <w:spacing w:after="0" w:line="240" w:lineRule="auto"/>
                            </w:pPr>
                            <w:r>
                              <w:rPr>
                                <w:b/>
                                <w:bCs/>
                              </w:rPr>
                              <w:t>01. 01. 2024-31.12. 2024</w:t>
                            </w:r>
                          </w:p>
                        </w:txbxContent>
                      </wps:txbx>
                      <wps:bodyPr wrap="none" lIns="0" tIns="0" rIns="0" bIns="0"/>
                    </wps:wsp>
                  </a:graphicData>
                </a:graphic>
              </wp:anchor>
            </w:drawing>
          </mc:Choice>
          <mc:Fallback>
            <w:pict>
              <v:shape w14:anchorId="3D98D958" id="Shape 14" o:spid="_x0000_s1029" type="#_x0000_t202" style="position:absolute;margin-left:252.3pt;margin-top:10.25pt;width:119.05pt;height:11.75pt;z-index:125829384;visibility:visible;mso-wrap-style:none;mso-wrap-distance-left:0;mso-wrap-distance-top:10.25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" filled="f" stroked="f">
                <v:textbox inset="0,0,0,0">
                  <w:txbxContent>
                    <w:p w14:paraId="1F7D6B83" w14:textId="77777777" w:rsidR="008B0DEB" w:rsidRDefault="00B65869">
                      <w:pPr>
                        <w:pStyle w:val="Style2"/>
                        <w:shd w:val="clear" w:color="auto" w:fill="auto"/>
                        <w:spacing w:after="0" w:line="240" w:lineRule="auto"/>
                      </w:pPr>
                      <w:r>
                        <w:rPr>
                          <w:b/>
                          <w:bCs/>
                        </w:rPr>
                        <w:t>01. 01. 2024-31.12. 2024</w:t>
                      </w:r>
                    </w:p>
                  </w:txbxContent>
                </v:textbox>
                <w10:wrap type="topAndBottom" anchorx="page"/>
              </v:shape>
            </w:pict>
          </mc:Fallback>
        </mc:AlternateContent>
      </w:r>
    </w:p>
    <w:p w14:paraId="57AF4ECE" w14:textId="77777777" w:rsidR="008B0DEB" w:rsidRDefault="008B0DEB">
      <w:pPr>
        <w:spacing w:line="123" w:lineRule="exact"/>
        <w:rPr>
          <w:sz w:val="10"/>
          <w:szCs w:val="10"/>
        </w:rPr>
      </w:pPr>
    </w:p>
    <w:p w14:paraId="7B6F259A" w14:textId="77777777" w:rsidR="008B0DEB" w:rsidRDefault="008B0DEB">
      <w:pPr>
        <w:spacing w:line="1" w:lineRule="exact"/>
        <w:sectPr w:rsidR="008B0DEB">
          <w:type w:val="continuous"/>
          <w:pgSz w:w="11909" w:h="16834"/>
          <w:pgMar w:top="264" w:right="0" w:bottom="298" w:left="0" w:header="0" w:footer="3" w:gutter="0"/>
          <w:cols w:space="720"/>
          <w:noEndnote/>
          <w:docGrid w:linePitch="360"/>
        </w:sectPr>
      </w:pPr>
    </w:p>
    <w:p w14:paraId="72026CF1" w14:textId="77777777" w:rsidR="008B0DEB" w:rsidRDefault="00B65869">
      <w:pPr>
        <w:pStyle w:val="Style2"/>
        <w:shd w:val="clear" w:color="auto" w:fill="auto"/>
        <w:spacing w:after="240" w:line="240" w:lineRule="auto"/>
      </w:pPr>
      <w:r>
        <w:rPr>
          <w:noProof/>
        </w:rPr>
        <mc:AlternateContent>
          <mc:Choice Requires="wps">
            <w:drawing>
              <wp:anchor distT="0" distB="0" distL="114300" distR="114300" simplePos="0" relativeHeight="125829386" behindDoc="0" locked="0" layoutInCell="1" allowOverlap="1" wp14:anchorId="6CA48314" wp14:editId="7E4575A5">
                <wp:simplePos x="0" y="0"/>
                <wp:positionH relativeFrom="page">
                  <wp:posOffset>3786505</wp:posOffset>
                </wp:positionH>
                <wp:positionV relativeFrom="paragraph">
                  <wp:posOffset>12700</wp:posOffset>
                </wp:positionV>
                <wp:extent cx="652145" cy="149225"/>
                <wp:effectExtent l="0" t="0" r="0" b="0"/>
                <wp:wrapSquare wrapText="left"/>
                <wp:docPr id="16" name="Shape 16"/>
                <wp:cNvGraphicFramePr/>
                <a:graphic xmlns:a="http://schemas.openxmlformats.org/drawingml/2006/main">
                  <a:graphicData uri="http://schemas.microsoft.com/office/word/2010/wordprocessingShape">
                    <wps:wsp>
                      <wps:cNvSpPr txBox="1"/>
                      <wps:spPr>
                        <a:xfrm>
                          <a:off x="0" y="0"/>
                          <a:ext cx="652145" cy="149225"/>
                        </a:xfrm>
                        <a:prstGeom prst="rect">
                          <a:avLst/>
                        </a:prstGeom>
                        <a:noFill/>
                      </wps:spPr>
                      <wps:txbx>
                        <w:txbxContent>
                          <w:p w14:paraId="6DA9EAE2" w14:textId="77777777" w:rsidR="008B0DEB" w:rsidRDefault="00B65869">
                            <w:pPr>
                              <w:pStyle w:val="Style2"/>
                              <w:shd w:val="clear" w:color="auto" w:fill="auto"/>
                              <w:spacing w:after="0" w:line="240" w:lineRule="auto"/>
                            </w:pPr>
                            <w:r>
                              <w:rPr>
                                <w:b/>
                                <w:bCs/>
                              </w:rPr>
                              <w:t xml:space="preserve">9 212 </w:t>
                            </w:r>
                            <w:proofErr w:type="spellStart"/>
                            <w:r>
                              <w:rPr>
                                <w:b/>
                                <w:bCs/>
                              </w:rPr>
                              <w:t>MWh</w:t>
                            </w:r>
                            <w:proofErr w:type="spellEnd"/>
                          </w:p>
                        </w:txbxContent>
                      </wps:txbx>
                      <wps:bodyPr wrap="none" lIns="0" tIns="0" rIns="0" bIns="0"/>
                    </wps:wsp>
                  </a:graphicData>
                </a:graphic>
              </wp:anchor>
            </w:drawing>
          </mc:Choice>
          <mc:Fallback>
            <w:pict>
              <v:shape w14:anchorId="6CA48314" id="Shape 16" o:spid="_x0000_s1030" type="#_x0000_t202" style="position:absolute;margin-left:298.15pt;margin-top:1pt;width:51.35pt;height:11.75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" filled="f" stroked="f">
                <v:textbox inset="0,0,0,0">
                  <w:txbxContent>
                    <w:p w14:paraId="6DA9EAE2" w14:textId="77777777" w:rsidR="008B0DEB" w:rsidRDefault="00B65869">
                      <w:pPr>
                        <w:pStyle w:val="Style2"/>
                        <w:shd w:val="clear" w:color="auto" w:fill="auto"/>
                        <w:spacing w:after="0" w:line="240" w:lineRule="auto"/>
                      </w:pPr>
                      <w:r>
                        <w:rPr>
                          <w:b/>
                          <w:bCs/>
                        </w:rPr>
                        <w:t xml:space="preserve">9 212 </w:t>
                      </w:r>
                      <w:proofErr w:type="spellStart"/>
                      <w:r>
                        <w:rPr>
                          <w:b/>
                          <w:bCs/>
                        </w:rPr>
                        <w:t>MWh</w:t>
                      </w:r>
                      <w:proofErr w:type="spellEnd"/>
                    </w:p>
                  </w:txbxContent>
                </v:textbox>
                <w10:wrap type="square" side="left" anchorx="page"/>
              </v:shape>
            </w:pict>
          </mc:Fallback>
        </mc:AlternateContent>
      </w:r>
      <w:r>
        <w:rPr>
          <w:b/>
          <w:bCs/>
        </w:rPr>
        <w:t>Celkové množství dodávky:</w:t>
      </w:r>
    </w:p>
    <w:p w14:paraId="621A5E3F" w14:textId="77777777" w:rsidR="008B0DEB" w:rsidRDefault="00B65869">
      <w:pPr>
        <w:pStyle w:val="Style16"/>
        <w:shd w:val="clear" w:color="auto" w:fill="auto"/>
      </w:pPr>
      <w:r>
        <w:t xml:space="preserve">Rozdělení ročního množství dodávky 9 212 </w:t>
      </w:r>
      <w:proofErr w:type="spellStart"/>
      <w:r>
        <w:t>MWh</w:t>
      </w:r>
      <w:proofErr w:type="spellEnd"/>
      <w:r>
        <w:t xml:space="preserve"> na jednotlivé kalendářní měsíce roku 2024:</w:t>
      </w:r>
    </w:p>
    <w:tbl>
      <w:tblPr>
        <w:tblOverlap w:val="never"/>
        <w:tblW w:w="0" w:type="auto"/>
        <w:tblLayout w:type="fixed"/>
        <w:tblCellMar>
          <w:left w:w="10" w:type="dxa"/>
          <w:right w:w="10" w:type="dxa"/>
        </w:tblCellMar>
        <w:tblLook w:val="04A0" w:firstRow="1" w:lastRow="0" w:firstColumn="1" w:lastColumn="0" w:noHBand="0" w:noVBand="1"/>
      </w:tblPr>
      <w:tblGrid>
        <w:gridCol w:w="2318"/>
        <w:gridCol w:w="2299"/>
        <w:gridCol w:w="2309"/>
        <w:gridCol w:w="2318"/>
      </w:tblGrid>
      <w:tr w:rsidR="008B0DEB" w14:paraId="0A714E70" w14:textId="77777777">
        <w:tblPrEx>
          <w:tblCellMar>
            <w:top w:w="0" w:type="dxa"/>
            <w:bottom w:w="0" w:type="dxa"/>
          </w:tblCellMar>
        </w:tblPrEx>
        <w:trPr>
          <w:trHeight w:hRule="exact" w:val="523"/>
        </w:trPr>
        <w:tc>
          <w:tcPr>
            <w:tcW w:w="2318" w:type="dxa"/>
            <w:tcBorders>
              <w:top w:val="single" w:sz="4" w:space="0" w:color="auto"/>
              <w:left w:val="single" w:sz="4" w:space="0" w:color="auto"/>
            </w:tcBorders>
            <w:shd w:val="clear" w:color="auto" w:fill="FFFFFF"/>
            <w:vAlign w:val="center"/>
          </w:tcPr>
          <w:p w14:paraId="289E8B1A" w14:textId="77777777" w:rsidR="008B0DEB" w:rsidRDefault="00B65869">
            <w:pPr>
              <w:pStyle w:val="Style13"/>
              <w:shd w:val="clear" w:color="auto" w:fill="auto"/>
              <w:spacing w:after="0" w:line="240" w:lineRule="auto"/>
              <w:jc w:val="center"/>
            </w:pPr>
            <w:r>
              <w:rPr>
                <w:b/>
                <w:bCs/>
              </w:rPr>
              <w:t>leden</w:t>
            </w:r>
          </w:p>
        </w:tc>
        <w:tc>
          <w:tcPr>
            <w:tcW w:w="2299" w:type="dxa"/>
            <w:tcBorders>
              <w:top w:val="single" w:sz="4" w:space="0" w:color="auto"/>
              <w:left w:val="single" w:sz="4" w:space="0" w:color="auto"/>
            </w:tcBorders>
            <w:shd w:val="clear" w:color="auto" w:fill="FFFFFF"/>
            <w:vAlign w:val="center"/>
          </w:tcPr>
          <w:p w14:paraId="654B33B8" w14:textId="77777777" w:rsidR="008B0DEB" w:rsidRDefault="00B65869">
            <w:pPr>
              <w:pStyle w:val="Style13"/>
              <w:shd w:val="clear" w:color="auto" w:fill="auto"/>
              <w:spacing w:after="0" w:line="240" w:lineRule="auto"/>
              <w:jc w:val="center"/>
            </w:pPr>
            <w:r>
              <w:rPr>
                <w:b/>
                <w:bCs/>
              </w:rPr>
              <w:t>946</w:t>
            </w:r>
          </w:p>
        </w:tc>
        <w:tc>
          <w:tcPr>
            <w:tcW w:w="2309" w:type="dxa"/>
            <w:tcBorders>
              <w:top w:val="single" w:sz="4" w:space="0" w:color="auto"/>
              <w:left w:val="single" w:sz="4" w:space="0" w:color="auto"/>
            </w:tcBorders>
            <w:shd w:val="clear" w:color="auto" w:fill="FFFFFF"/>
            <w:vAlign w:val="center"/>
          </w:tcPr>
          <w:p w14:paraId="110BFA6E" w14:textId="77777777" w:rsidR="008B0DEB" w:rsidRDefault="00B65869">
            <w:pPr>
              <w:pStyle w:val="Style13"/>
              <w:shd w:val="clear" w:color="auto" w:fill="auto"/>
              <w:spacing w:after="0" w:line="240" w:lineRule="auto"/>
              <w:jc w:val="center"/>
            </w:pPr>
            <w:r>
              <w:rPr>
                <w:b/>
                <w:bCs/>
              </w:rPr>
              <w:t>červenec</w:t>
            </w:r>
          </w:p>
        </w:tc>
        <w:tc>
          <w:tcPr>
            <w:tcW w:w="2318" w:type="dxa"/>
            <w:tcBorders>
              <w:top w:val="single" w:sz="4" w:space="0" w:color="auto"/>
              <w:left w:val="single" w:sz="4" w:space="0" w:color="auto"/>
              <w:right w:val="single" w:sz="4" w:space="0" w:color="auto"/>
            </w:tcBorders>
            <w:shd w:val="clear" w:color="auto" w:fill="FFFFFF"/>
            <w:vAlign w:val="center"/>
          </w:tcPr>
          <w:p w14:paraId="1393069C" w14:textId="77777777" w:rsidR="008B0DEB" w:rsidRDefault="00B65869">
            <w:pPr>
              <w:pStyle w:val="Style13"/>
              <w:shd w:val="clear" w:color="auto" w:fill="auto"/>
              <w:spacing w:after="0" w:line="240" w:lineRule="auto"/>
              <w:jc w:val="center"/>
            </w:pPr>
            <w:r>
              <w:rPr>
                <w:b/>
                <w:bCs/>
              </w:rPr>
              <w:t>668</w:t>
            </w:r>
          </w:p>
        </w:tc>
      </w:tr>
      <w:tr w:rsidR="008B0DEB" w14:paraId="3220F6EB" w14:textId="77777777">
        <w:tblPrEx>
          <w:tblCellMar>
            <w:top w:w="0" w:type="dxa"/>
            <w:bottom w:w="0" w:type="dxa"/>
          </w:tblCellMar>
        </w:tblPrEx>
        <w:trPr>
          <w:trHeight w:hRule="exact" w:val="509"/>
        </w:trPr>
        <w:tc>
          <w:tcPr>
            <w:tcW w:w="2318" w:type="dxa"/>
            <w:tcBorders>
              <w:top w:val="single" w:sz="4" w:space="0" w:color="auto"/>
              <w:left w:val="single" w:sz="4" w:space="0" w:color="auto"/>
            </w:tcBorders>
            <w:shd w:val="clear" w:color="auto" w:fill="FFFFFF"/>
            <w:vAlign w:val="center"/>
          </w:tcPr>
          <w:p w14:paraId="37DAE845" w14:textId="77777777" w:rsidR="008B0DEB" w:rsidRDefault="00B65869">
            <w:pPr>
              <w:pStyle w:val="Style13"/>
              <w:shd w:val="clear" w:color="auto" w:fill="auto"/>
              <w:spacing w:after="0" w:line="240" w:lineRule="auto"/>
              <w:jc w:val="center"/>
            </w:pPr>
            <w:r>
              <w:rPr>
                <w:b/>
                <w:bCs/>
              </w:rPr>
              <w:t>únor</w:t>
            </w:r>
          </w:p>
        </w:tc>
        <w:tc>
          <w:tcPr>
            <w:tcW w:w="2299" w:type="dxa"/>
            <w:tcBorders>
              <w:top w:val="single" w:sz="4" w:space="0" w:color="auto"/>
              <w:left w:val="single" w:sz="4" w:space="0" w:color="auto"/>
            </w:tcBorders>
            <w:shd w:val="clear" w:color="auto" w:fill="FFFFFF"/>
            <w:vAlign w:val="center"/>
          </w:tcPr>
          <w:p w14:paraId="640D60C7" w14:textId="77777777" w:rsidR="008B0DEB" w:rsidRDefault="00B65869">
            <w:pPr>
              <w:pStyle w:val="Style13"/>
              <w:shd w:val="clear" w:color="auto" w:fill="auto"/>
              <w:spacing w:after="0" w:line="240" w:lineRule="auto"/>
              <w:jc w:val="center"/>
            </w:pPr>
            <w:r>
              <w:rPr>
                <w:b/>
                <w:bCs/>
              </w:rPr>
              <w:t>875</w:t>
            </w:r>
          </w:p>
        </w:tc>
        <w:tc>
          <w:tcPr>
            <w:tcW w:w="2309" w:type="dxa"/>
            <w:tcBorders>
              <w:top w:val="single" w:sz="4" w:space="0" w:color="auto"/>
              <w:left w:val="single" w:sz="4" w:space="0" w:color="auto"/>
            </w:tcBorders>
            <w:shd w:val="clear" w:color="auto" w:fill="FFFFFF"/>
            <w:vAlign w:val="center"/>
          </w:tcPr>
          <w:p w14:paraId="70469798" w14:textId="77777777" w:rsidR="008B0DEB" w:rsidRDefault="00B65869">
            <w:pPr>
              <w:pStyle w:val="Style13"/>
              <w:shd w:val="clear" w:color="auto" w:fill="auto"/>
              <w:spacing w:after="0" w:line="240" w:lineRule="auto"/>
              <w:jc w:val="center"/>
            </w:pPr>
            <w:r>
              <w:rPr>
                <w:b/>
                <w:bCs/>
              </w:rPr>
              <w:t>srpen</w:t>
            </w:r>
          </w:p>
        </w:tc>
        <w:tc>
          <w:tcPr>
            <w:tcW w:w="2318" w:type="dxa"/>
            <w:tcBorders>
              <w:top w:val="single" w:sz="4" w:space="0" w:color="auto"/>
              <w:left w:val="single" w:sz="4" w:space="0" w:color="auto"/>
              <w:right w:val="single" w:sz="4" w:space="0" w:color="auto"/>
            </w:tcBorders>
            <w:shd w:val="clear" w:color="auto" w:fill="FFFFFF"/>
            <w:vAlign w:val="center"/>
          </w:tcPr>
          <w:p w14:paraId="5F32923C" w14:textId="77777777" w:rsidR="008B0DEB" w:rsidRDefault="00B65869">
            <w:pPr>
              <w:pStyle w:val="Style13"/>
              <w:shd w:val="clear" w:color="auto" w:fill="auto"/>
              <w:spacing w:after="0" w:line="240" w:lineRule="auto"/>
              <w:jc w:val="center"/>
            </w:pPr>
            <w:r>
              <w:rPr>
                <w:b/>
                <w:bCs/>
              </w:rPr>
              <w:t>668</w:t>
            </w:r>
          </w:p>
        </w:tc>
      </w:tr>
      <w:tr w:rsidR="008B0DEB" w14:paraId="7CBCC655" w14:textId="77777777">
        <w:tblPrEx>
          <w:tblCellMar>
            <w:top w:w="0" w:type="dxa"/>
            <w:bottom w:w="0" w:type="dxa"/>
          </w:tblCellMar>
        </w:tblPrEx>
        <w:trPr>
          <w:trHeight w:hRule="exact" w:val="509"/>
        </w:trPr>
        <w:tc>
          <w:tcPr>
            <w:tcW w:w="2318" w:type="dxa"/>
            <w:tcBorders>
              <w:top w:val="single" w:sz="4" w:space="0" w:color="auto"/>
              <w:left w:val="single" w:sz="4" w:space="0" w:color="auto"/>
            </w:tcBorders>
            <w:shd w:val="clear" w:color="auto" w:fill="FFFFFF"/>
            <w:vAlign w:val="center"/>
          </w:tcPr>
          <w:p w14:paraId="35AD5729" w14:textId="77777777" w:rsidR="008B0DEB" w:rsidRDefault="00B65869">
            <w:pPr>
              <w:pStyle w:val="Style13"/>
              <w:shd w:val="clear" w:color="auto" w:fill="auto"/>
              <w:spacing w:after="0" w:line="240" w:lineRule="auto"/>
              <w:jc w:val="center"/>
            </w:pPr>
            <w:r>
              <w:rPr>
                <w:b/>
                <w:bCs/>
              </w:rPr>
              <w:t>březen</w:t>
            </w:r>
          </w:p>
        </w:tc>
        <w:tc>
          <w:tcPr>
            <w:tcW w:w="2299" w:type="dxa"/>
            <w:tcBorders>
              <w:top w:val="single" w:sz="4" w:space="0" w:color="auto"/>
              <w:left w:val="single" w:sz="4" w:space="0" w:color="auto"/>
            </w:tcBorders>
            <w:shd w:val="clear" w:color="auto" w:fill="FFFFFF"/>
            <w:vAlign w:val="center"/>
          </w:tcPr>
          <w:p w14:paraId="55F585CD" w14:textId="77777777" w:rsidR="008B0DEB" w:rsidRDefault="00B65869">
            <w:pPr>
              <w:pStyle w:val="Style13"/>
              <w:shd w:val="clear" w:color="auto" w:fill="auto"/>
              <w:spacing w:after="0" w:line="240" w:lineRule="auto"/>
              <w:jc w:val="center"/>
            </w:pPr>
            <w:r>
              <w:rPr>
                <w:b/>
                <w:bCs/>
              </w:rPr>
              <w:t>899</w:t>
            </w:r>
          </w:p>
        </w:tc>
        <w:tc>
          <w:tcPr>
            <w:tcW w:w="2309" w:type="dxa"/>
            <w:tcBorders>
              <w:top w:val="single" w:sz="4" w:space="0" w:color="auto"/>
              <w:left w:val="single" w:sz="4" w:space="0" w:color="auto"/>
            </w:tcBorders>
            <w:shd w:val="clear" w:color="auto" w:fill="FFFFFF"/>
            <w:vAlign w:val="center"/>
          </w:tcPr>
          <w:p w14:paraId="471AF55F" w14:textId="77777777" w:rsidR="008B0DEB" w:rsidRDefault="00B65869">
            <w:pPr>
              <w:pStyle w:val="Style13"/>
              <w:shd w:val="clear" w:color="auto" w:fill="auto"/>
              <w:spacing w:after="0" w:line="240" w:lineRule="auto"/>
              <w:jc w:val="center"/>
            </w:pPr>
            <w:r>
              <w:rPr>
                <w:b/>
                <w:bCs/>
              </w:rPr>
              <w:t>září</w:t>
            </w:r>
          </w:p>
        </w:tc>
        <w:tc>
          <w:tcPr>
            <w:tcW w:w="2318" w:type="dxa"/>
            <w:tcBorders>
              <w:top w:val="single" w:sz="4" w:space="0" w:color="auto"/>
              <w:left w:val="single" w:sz="4" w:space="0" w:color="auto"/>
              <w:right w:val="single" w:sz="4" w:space="0" w:color="auto"/>
            </w:tcBorders>
            <w:shd w:val="clear" w:color="auto" w:fill="FFFFFF"/>
            <w:vAlign w:val="center"/>
          </w:tcPr>
          <w:p w14:paraId="70440690" w14:textId="77777777" w:rsidR="008B0DEB" w:rsidRDefault="00B65869">
            <w:pPr>
              <w:pStyle w:val="Style13"/>
              <w:shd w:val="clear" w:color="auto" w:fill="auto"/>
              <w:spacing w:after="0" w:line="240" w:lineRule="auto"/>
              <w:jc w:val="center"/>
            </w:pPr>
            <w:r>
              <w:rPr>
                <w:b/>
                <w:bCs/>
              </w:rPr>
              <w:t>633</w:t>
            </w:r>
          </w:p>
        </w:tc>
      </w:tr>
      <w:tr w:rsidR="008B0DEB" w14:paraId="1BE0B645" w14:textId="77777777">
        <w:tblPrEx>
          <w:tblCellMar>
            <w:top w:w="0" w:type="dxa"/>
            <w:bottom w:w="0" w:type="dxa"/>
          </w:tblCellMar>
        </w:tblPrEx>
        <w:trPr>
          <w:trHeight w:hRule="exact" w:val="504"/>
        </w:trPr>
        <w:tc>
          <w:tcPr>
            <w:tcW w:w="2318" w:type="dxa"/>
            <w:tcBorders>
              <w:top w:val="single" w:sz="4" w:space="0" w:color="auto"/>
              <w:left w:val="single" w:sz="4" w:space="0" w:color="auto"/>
            </w:tcBorders>
            <w:shd w:val="clear" w:color="auto" w:fill="FFFFFF"/>
            <w:vAlign w:val="center"/>
          </w:tcPr>
          <w:p w14:paraId="7111AD2D" w14:textId="77777777" w:rsidR="008B0DEB" w:rsidRDefault="00B65869">
            <w:pPr>
              <w:pStyle w:val="Style13"/>
              <w:shd w:val="clear" w:color="auto" w:fill="auto"/>
              <w:spacing w:after="0" w:line="240" w:lineRule="auto"/>
              <w:jc w:val="center"/>
            </w:pPr>
            <w:r>
              <w:rPr>
                <w:b/>
                <w:bCs/>
              </w:rPr>
              <w:t>duben</w:t>
            </w:r>
          </w:p>
        </w:tc>
        <w:tc>
          <w:tcPr>
            <w:tcW w:w="2299" w:type="dxa"/>
            <w:tcBorders>
              <w:top w:val="single" w:sz="4" w:space="0" w:color="auto"/>
              <w:left w:val="single" w:sz="4" w:space="0" w:color="auto"/>
            </w:tcBorders>
            <w:shd w:val="clear" w:color="auto" w:fill="FFFFFF"/>
            <w:vAlign w:val="center"/>
          </w:tcPr>
          <w:p w14:paraId="4E2D92C1" w14:textId="77777777" w:rsidR="008B0DEB" w:rsidRDefault="00B65869">
            <w:pPr>
              <w:pStyle w:val="Style13"/>
              <w:shd w:val="clear" w:color="auto" w:fill="auto"/>
              <w:spacing w:after="0" w:line="240" w:lineRule="auto"/>
              <w:jc w:val="center"/>
            </w:pPr>
            <w:r>
              <w:rPr>
                <w:b/>
                <w:bCs/>
              </w:rPr>
              <w:t>787</w:t>
            </w:r>
          </w:p>
        </w:tc>
        <w:tc>
          <w:tcPr>
            <w:tcW w:w="2309" w:type="dxa"/>
            <w:tcBorders>
              <w:top w:val="single" w:sz="4" w:space="0" w:color="auto"/>
              <w:left w:val="single" w:sz="4" w:space="0" w:color="auto"/>
            </w:tcBorders>
            <w:shd w:val="clear" w:color="auto" w:fill="FFFFFF"/>
            <w:vAlign w:val="center"/>
          </w:tcPr>
          <w:p w14:paraId="4563D63F" w14:textId="77777777" w:rsidR="008B0DEB" w:rsidRDefault="00B65869">
            <w:pPr>
              <w:pStyle w:val="Style13"/>
              <w:shd w:val="clear" w:color="auto" w:fill="auto"/>
              <w:spacing w:after="0" w:line="240" w:lineRule="auto"/>
              <w:jc w:val="center"/>
            </w:pPr>
            <w:r>
              <w:rPr>
                <w:b/>
                <w:bCs/>
              </w:rPr>
              <w:t>říjen</w:t>
            </w:r>
          </w:p>
        </w:tc>
        <w:tc>
          <w:tcPr>
            <w:tcW w:w="2318" w:type="dxa"/>
            <w:tcBorders>
              <w:top w:val="single" w:sz="4" w:space="0" w:color="auto"/>
              <w:left w:val="single" w:sz="4" w:space="0" w:color="auto"/>
              <w:right w:val="single" w:sz="4" w:space="0" w:color="auto"/>
            </w:tcBorders>
            <w:shd w:val="clear" w:color="auto" w:fill="FFFFFF"/>
            <w:vAlign w:val="center"/>
          </w:tcPr>
          <w:p w14:paraId="221F0A74" w14:textId="77777777" w:rsidR="008B0DEB" w:rsidRDefault="00B65869">
            <w:pPr>
              <w:pStyle w:val="Style13"/>
              <w:shd w:val="clear" w:color="auto" w:fill="auto"/>
              <w:spacing w:after="0" w:line="240" w:lineRule="auto"/>
              <w:jc w:val="center"/>
            </w:pPr>
            <w:r>
              <w:rPr>
                <w:b/>
                <w:bCs/>
              </w:rPr>
              <w:t>645</w:t>
            </w:r>
          </w:p>
        </w:tc>
      </w:tr>
      <w:tr w:rsidR="008B0DEB" w14:paraId="077705C8" w14:textId="77777777">
        <w:tblPrEx>
          <w:tblCellMar>
            <w:top w:w="0" w:type="dxa"/>
            <w:bottom w:w="0" w:type="dxa"/>
          </w:tblCellMar>
        </w:tblPrEx>
        <w:trPr>
          <w:trHeight w:hRule="exact" w:val="499"/>
        </w:trPr>
        <w:tc>
          <w:tcPr>
            <w:tcW w:w="2318" w:type="dxa"/>
            <w:tcBorders>
              <w:top w:val="single" w:sz="4" w:space="0" w:color="auto"/>
              <w:left w:val="single" w:sz="4" w:space="0" w:color="auto"/>
            </w:tcBorders>
            <w:shd w:val="clear" w:color="auto" w:fill="FFFFFF"/>
            <w:vAlign w:val="center"/>
          </w:tcPr>
          <w:p w14:paraId="16BD3C67" w14:textId="77777777" w:rsidR="008B0DEB" w:rsidRDefault="00B65869">
            <w:pPr>
              <w:pStyle w:val="Style13"/>
              <w:shd w:val="clear" w:color="auto" w:fill="auto"/>
              <w:spacing w:after="0" w:line="240" w:lineRule="auto"/>
              <w:jc w:val="center"/>
            </w:pPr>
            <w:r>
              <w:rPr>
                <w:b/>
                <w:bCs/>
              </w:rPr>
              <w:t>květen</w:t>
            </w:r>
          </w:p>
        </w:tc>
        <w:tc>
          <w:tcPr>
            <w:tcW w:w="2299" w:type="dxa"/>
            <w:tcBorders>
              <w:top w:val="single" w:sz="4" w:space="0" w:color="auto"/>
              <w:left w:val="single" w:sz="4" w:space="0" w:color="auto"/>
            </w:tcBorders>
            <w:shd w:val="clear" w:color="auto" w:fill="FFFFFF"/>
            <w:vAlign w:val="center"/>
          </w:tcPr>
          <w:p w14:paraId="74C2EBE5" w14:textId="77777777" w:rsidR="008B0DEB" w:rsidRDefault="00B65869">
            <w:pPr>
              <w:pStyle w:val="Style13"/>
              <w:shd w:val="clear" w:color="auto" w:fill="auto"/>
              <w:spacing w:after="0" w:line="240" w:lineRule="auto"/>
              <w:jc w:val="center"/>
            </w:pPr>
            <w:r>
              <w:rPr>
                <w:b/>
                <w:bCs/>
              </w:rPr>
              <w:t>734</w:t>
            </w:r>
          </w:p>
        </w:tc>
        <w:tc>
          <w:tcPr>
            <w:tcW w:w="2309" w:type="dxa"/>
            <w:tcBorders>
              <w:top w:val="single" w:sz="4" w:space="0" w:color="auto"/>
              <w:left w:val="single" w:sz="4" w:space="0" w:color="auto"/>
            </w:tcBorders>
            <w:shd w:val="clear" w:color="auto" w:fill="FFFFFF"/>
            <w:vAlign w:val="center"/>
          </w:tcPr>
          <w:p w14:paraId="74E09E09" w14:textId="77777777" w:rsidR="008B0DEB" w:rsidRDefault="00B65869">
            <w:pPr>
              <w:pStyle w:val="Style13"/>
              <w:shd w:val="clear" w:color="auto" w:fill="auto"/>
              <w:spacing w:after="0" w:line="240" w:lineRule="auto"/>
              <w:jc w:val="center"/>
            </w:pPr>
            <w:r>
              <w:rPr>
                <w:b/>
                <w:bCs/>
              </w:rPr>
              <w:t>listopad</w:t>
            </w:r>
          </w:p>
        </w:tc>
        <w:tc>
          <w:tcPr>
            <w:tcW w:w="2318" w:type="dxa"/>
            <w:tcBorders>
              <w:top w:val="single" w:sz="4" w:space="0" w:color="auto"/>
              <w:left w:val="single" w:sz="4" w:space="0" w:color="auto"/>
              <w:right w:val="single" w:sz="4" w:space="0" w:color="auto"/>
            </w:tcBorders>
            <w:shd w:val="clear" w:color="auto" w:fill="FFFFFF"/>
            <w:vAlign w:val="center"/>
          </w:tcPr>
          <w:p w14:paraId="681BA432" w14:textId="77777777" w:rsidR="008B0DEB" w:rsidRDefault="00B65869">
            <w:pPr>
              <w:pStyle w:val="Style13"/>
              <w:shd w:val="clear" w:color="auto" w:fill="auto"/>
              <w:spacing w:after="0" w:line="240" w:lineRule="auto"/>
              <w:jc w:val="center"/>
            </w:pPr>
            <w:r>
              <w:rPr>
                <w:b/>
                <w:bCs/>
              </w:rPr>
              <w:t>779</w:t>
            </w:r>
          </w:p>
        </w:tc>
      </w:tr>
      <w:tr w:rsidR="008B0DEB" w14:paraId="7D237FA2" w14:textId="77777777">
        <w:tblPrEx>
          <w:tblCellMar>
            <w:top w:w="0" w:type="dxa"/>
            <w:bottom w:w="0" w:type="dxa"/>
          </w:tblCellMar>
        </w:tblPrEx>
        <w:trPr>
          <w:trHeight w:hRule="exact" w:val="528"/>
        </w:trPr>
        <w:tc>
          <w:tcPr>
            <w:tcW w:w="2318" w:type="dxa"/>
            <w:tcBorders>
              <w:top w:val="single" w:sz="4" w:space="0" w:color="auto"/>
              <w:left w:val="single" w:sz="4" w:space="0" w:color="auto"/>
              <w:bottom w:val="single" w:sz="4" w:space="0" w:color="auto"/>
            </w:tcBorders>
            <w:shd w:val="clear" w:color="auto" w:fill="FFFFFF"/>
            <w:vAlign w:val="center"/>
          </w:tcPr>
          <w:p w14:paraId="7C25878B" w14:textId="77777777" w:rsidR="008B0DEB" w:rsidRDefault="00B65869">
            <w:pPr>
              <w:pStyle w:val="Style13"/>
              <w:shd w:val="clear" w:color="auto" w:fill="auto"/>
              <w:spacing w:after="0" w:line="240" w:lineRule="auto"/>
              <w:jc w:val="center"/>
            </w:pPr>
            <w:r>
              <w:rPr>
                <w:b/>
                <w:bCs/>
              </w:rPr>
              <w:t>červen</w:t>
            </w:r>
          </w:p>
        </w:tc>
        <w:tc>
          <w:tcPr>
            <w:tcW w:w="2299" w:type="dxa"/>
            <w:tcBorders>
              <w:top w:val="single" w:sz="4" w:space="0" w:color="auto"/>
              <w:left w:val="single" w:sz="4" w:space="0" w:color="auto"/>
              <w:bottom w:val="single" w:sz="4" w:space="0" w:color="auto"/>
            </w:tcBorders>
            <w:shd w:val="clear" w:color="auto" w:fill="FFFFFF"/>
            <w:vAlign w:val="center"/>
          </w:tcPr>
          <w:p w14:paraId="46CDE10C" w14:textId="77777777" w:rsidR="008B0DEB" w:rsidRDefault="00B65869">
            <w:pPr>
              <w:pStyle w:val="Style13"/>
              <w:shd w:val="clear" w:color="auto" w:fill="auto"/>
              <w:spacing w:after="0" w:line="240" w:lineRule="auto"/>
              <w:jc w:val="center"/>
            </w:pPr>
            <w:r>
              <w:rPr>
                <w:b/>
                <w:bCs/>
              </w:rPr>
              <w:t>665</w:t>
            </w:r>
          </w:p>
        </w:tc>
        <w:tc>
          <w:tcPr>
            <w:tcW w:w="2309" w:type="dxa"/>
            <w:tcBorders>
              <w:top w:val="single" w:sz="4" w:space="0" w:color="auto"/>
              <w:left w:val="single" w:sz="4" w:space="0" w:color="auto"/>
              <w:bottom w:val="single" w:sz="4" w:space="0" w:color="auto"/>
            </w:tcBorders>
            <w:shd w:val="clear" w:color="auto" w:fill="FFFFFF"/>
            <w:vAlign w:val="center"/>
          </w:tcPr>
          <w:p w14:paraId="633F6572" w14:textId="77777777" w:rsidR="008B0DEB" w:rsidRDefault="00B65869">
            <w:pPr>
              <w:pStyle w:val="Style13"/>
              <w:shd w:val="clear" w:color="auto" w:fill="auto"/>
              <w:spacing w:after="0" w:line="240" w:lineRule="auto"/>
              <w:jc w:val="center"/>
            </w:pPr>
            <w:r>
              <w:rPr>
                <w:b/>
                <w:bCs/>
              </w:rPr>
              <w:t>prosinec</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1223A953" w14:textId="77777777" w:rsidR="008B0DEB" w:rsidRDefault="00B65869">
            <w:pPr>
              <w:pStyle w:val="Style13"/>
              <w:shd w:val="clear" w:color="auto" w:fill="auto"/>
              <w:spacing w:after="0" w:line="240" w:lineRule="auto"/>
              <w:jc w:val="center"/>
            </w:pPr>
            <w:r>
              <w:rPr>
                <w:b/>
                <w:bCs/>
              </w:rPr>
              <w:t>913</w:t>
            </w:r>
          </w:p>
        </w:tc>
      </w:tr>
    </w:tbl>
    <w:p w14:paraId="55E469AE" w14:textId="77777777" w:rsidR="008B0DEB" w:rsidRDefault="008B0DEB">
      <w:pPr>
        <w:spacing w:after="939" w:line="1" w:lineRule="exact"/>
      </w:pPr>
    </w:p>
    <w:p w14:paraId="36B70D8E" w14:textId="77777777" w:rsidR="008B0DEB" w:rsidRDefault="00B65869">
      <w:pPr>
        <w:pStyle w:val="Style18"/>
        <w:shd w:val="clear" w:color="auto" w:fill="auto"/>
        <w:sectPr w:rsidR="008B0DEB">
          <w:type w:val="continuous"/>
          <w:pgSz w:w="11909" w:h="16834"/>
          <w:pgMar w:top="264" w:right="440" w:bottom="298" w:left="1340" w:header="0" w:footer="3" w:gutter="0"/>
          <w:cols w:space="720"/>
          <w:noEndnote/>
          <w:docGrid w:linePitch="360"/>
        </w:sectPr>
      </w:pPr>
      <w:r>
        <w:t>h</w:t>
      </w:r>
    </w:p>
    <w:p w14:paraId="278FD628" w14:textId="77777777" w:rsidR="008B0DEB" w:rsidRDefault="00B65869">
      <w:pPr>
        <w:pStyle w:val="Style2"/>
        <w:shd w:val="clear" w:color="auto" w:fill="auto"/>
        <w:spacing w:line="240" w:lineRule="auto"/>
      </w:pPr>
      <w:r>
        <w:rPr>
          <w:noProof/>
        </w:rPr>
        <w:lastRenderedPageBreak/>
        <mc:AlternateContent>
          <mc:Choice Requires="wps">
            <w:drawing>
              <wp:anchor distT="0" distB="292735" distL="114300" distR="120650" simplePos="0" relativeHeight="125829388" behindDoc="0" locked="0" layoutInCell="1" allowOverlap="1" wp14:anchorId="49BF43FC" wp14:editId="499FFCED">
                <wp:simplePos x="0" y="0"/>
                <wp:positionH relativeFrom="page">
                  <wp:posOffset>6090285</wp:posOffset>
                </wp:positionH>
                <wp:positionV relativeFrom="paragraph">
                  <wp:posOffset>12700</wp:posOffset>
                </wp:positionV>
                <wp:extent cx="466090" cy="149225"/>
                <wp:effectExtent l="0" t="0" r="0" b="0"/>
                <wp:wrapSquare wrapText="left"/>
                <wp:docPr id="18" name="Shape 18"/>
                <wp:cNvGraphicFramePr/>
                <a:graphic xmlns:a="http://schemas.openxmlformats.org/drawingml/2006/main">
                  <a:graphicData uri="http://schemas.microsoft.com/office/word/2010/wordprocessingShape">
                    <wps:wsp>
                      <wps:cNvSpPr txBox="1"/>
                      <wps:spPr>
                        <a:xfrm>
                          <a:off x="0" y="0"/>
                          <a:ext cx="466090" cy="149225"/>
                        </a:xfrm>
                        <a:prstGeom prst="rect">
                          <a:avLst/>
                        </a:prstGeom>
                        <a:noFill/>
                      </wps:spPr>
                      <wps:txbx>
                        <w:txbxContent>
                          <w:p w14:paraId="0E69AE43" w14:textId="77777777" w:rsidR="008B0DEB" w:rsidRDefault="00B65869">
                            <w:pPr>
                              <w:pStyle w:val="Style2"/>
                              <w:shd w:val="clear" w:color="auto" w:fill="auto"/>
                              <w:spacing w:after="0" w:line="240" w:lineRule="auto"/>
                            </w:pPr>
                            <w:r>
                              <w:rPr>
                                <w:b/>
                                <w:bCs/>
                              </w:rPr>
                              <w:t>108,1 %</w:t>
                            </w:r>
                          </w:p>
                        </w:txbxContent>
                      </wps:txbx>
                      <wps:bodyPr wrap="none" lIns="0" tIns="0" rIns="0" bIns="0"/>
                    </wps:wsp>
                  </a:graphicData>
                </a:graphic>
              </wp:anchor>
            </w:drawing>
          </mc:Choice>
          <mc:Fallback>
            <w:pict>
              <v:shape w14:anchorId="49BF43FC" id="Shape 18" o:spid="_x0000_s1031" type="#_x0000_t202" style="position:absolute;margin-left:479.55pt;margin-top:1pt;width:36.7pt;height:11.75pt;z-index:125829388;visibility:visible;mso-wrap-style:none;mso-wrap-distance-left:9pt;mso-wrap-distance-top:0;mso-wrap-distance-right:9.5pt;mso-wrap-distance-bottom:23.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" filled="f" stroked="f">
                <v:textbox inset="0,0,0,0">
                  <w:txbxContent>
                    <w:p w14:paraId="0E69AE43" w14:textId="77777777" w:rsidR="008B0DEB" w:rsidRDefault="00B65869">
                      <w:pPr>
                        <w:pStyle w:val="Style2"/>
                        <w:shd w:val="clear" w:color="auto" w:fill="auto"/>
                        <w:spacing w:after="0" w:line="240" w:lineRule="auto"/>
                      </w:pPr>
                      <w:r>
                        <w:rPr>
                          <w:b/>
                          <w:bCs/>
                        </w:rPr>
                        <w:t>108,1 %</w:t>
                      </w:r>
                    </w:p>
                  </w:txbxContent>
                </v:textbox>
                <w10:wrap type="square" side="left" anchorx="page"/>
              </v:shape>
            </w:pict>
          </mc:Fallback>
        </mc:AlternateContent>
      </w:r>
      <w:r>
        <w:rPr>
          <w:noProof/>
        </w:rPr>
        <mc:AlternateContent>
          <mc:Choice Requires="wps">
            <w:drawing>
              <wp:anchor distT="292735" distB="0" distL="257810" distR="114300" simplePos="0" relativeHeight="125829390" behindDoc="0" locked="0" layoutInCell="1" allowOverlap="1" wp14:anchorId="19B6FCE5" wp14:editId="1C10AD24">
                <wp:simplePos x="0" y="0"/>
                <wp:positionH relativeFrom="page">
                  <wp:posOffset>6233795</wp:posOffset>
                </wp:positionH>
                <wp:positionV relativeFrom="paragraph">
                  <wp:posOffset>305435</wp:posOffset>
                </wp:positionV>
                <wp:extent cx="328930" cy="149225"/>
                <wp:effectExtent l="0" t="0" r="0" b="0"/>
                <wp:wrapSquare wrapText="left"/>
                <wp:docPr id="20" name="Shape 20"/>
                <wp:cNvGraphicFramePr/>
                <a:graphic xmlns:a="http://schemas.openxmlformats.org/drawingml/2006/main">
                  <a:graphicData uri="http://schemas.microsoft.com/office/word/2010/wordprocessingShape">
                    <wps:wsp>
                      <wps:cNvSpPr txBox="1"/>
                      <wps:spPr>
                        <a:xfrm>
                          <a:off x="0" y="0"/>
                          <a:ext cx="328930" cy="149225"/>
                        </a:xfrm>
                        <a:prstGeom prst="rect">
                          <a:avLst/>
                        </a:prstGeom>
                        <a:noFill/>
                      </wps:spPr>
                      <wps:txbx>
                        <w:txbxContent>
                          <w:p w14:paraId="7AD28BC2" w14:textId="77777777" w:rsidR="008B0DEB" w:rsidRDefault="00B65869">
                            <w:pPr>
                              <w:pStyle w:val="Style2"/>
                              <w:shd w:val="clear" w:color="auto" w:fill="auto"/>
                              <w:spacing w:after="0" w:line="240" w:lineRule="auto"/>
                            </w:pPr>
                            <w:r>
                              <w:rPr>
                                <w:b/>
                                <w:bCs/>
                              </w:rPr>
                              <w:t>1,000</w:t>
                            </w:r>
                          </w:p>
                        </w:txbxContent>
                      </wps:txbx>
                      <wps:bodyPr wrap="none" lIns="0" tIns="0" rIns="0" bIns="0"/>
                    </wps:wsp>
                  </a:graphicData>
                </a:graphic>
              </wp:anchor>
            </w:drawing>
          </mc:Choice>
          <mc:Fallback>
            <w:pict>
              <v:shape w14:anchorId="19B6FCE5" id="Shape 20" o:spid="_x0000_s1032" type="#_x0000_t202" style="position:absolute;margin-left:490.85pt;margin-top:24.05pt;width:25.9pt;height:11.75pt;z-index:125829390;visibility:visible;mso-wrap-style:none;mso-wrap-distance-left:20.3pt;mso-wrap-distance-top:23.0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" filled="f" stroked="f">
                <v:textbox inset="0,0,0,0">
                  <w:txbxContent>
                    <w:p w14:paraId="7AD28BC2" w14:textId="77777777" w:rsidR="008B0DEB" w:rsidRDefault="00B65869">
                      <w:pPr>
                        <w:pStyle w:val="Style2"/>
                        <w:shd w:val="clear" w:color="auto" w:fill="auto"/>
                        <w:spacing w:after="0" w:line="240" w:lineRule="auto"/>
                      </w:pPr>
                      <w:r>
                        <w:rPr>
                          <w:b/>
                          <w:bCs/>
                        </w:rPr>
                        <w:t>1,000</w:t>
                      </w:r>
                    </w:p>
                  </w:txbxContent>
                </v:textbox>
                <w10:wrap type="square" side="left" anchorx="page"/>
              </v:shape>
            </w:pict>
          </mc:Fallback>
        </mc:AlternateContent>
      </w:r>
      <w:r>
        <w:rPr>
          <w:b/>
          <w:bCs/>
        </w:rPr>
        <w:t>Hodnota násobícího fixačního koeficientu;</w:t>
      </w:r>
    </w:p>
    <w:p w14:paraId="541780A4" w14:textId="77777777" w:rsidR="008B0DEB" w:rsidRDefault="00B65869">
      <w:pPr>
        <w:pStyle w:val="Style2"/>
        <w:shd w:val="clear" w:color="auto" w:fill="auto"/>
        <w:spacing w:after="460" w:line="240" w:lineRule="auto"/>
      </w:pPr>
      <w:r>
        <w:rPr>
          <w:b/>
          <w:bCs/>
        </w:rPr>
        <w:t>Koeficient pro jednotarif;</w:t>
      </w:r>
    </w:p>
    <w:tbl>
      <w:tblPr>
        <w:tblOverlap w:val="never"/>
        <w:tblW w:w="0" w:type="auto"/>
        <w:tblLayout w:type="fixed"/>
        <w:tblCellMar>
          <w:left w:w="10" w:type="dxa"/>
          <w:right w:w="10" w:type="dxa"/>
        </w:tblCellMar>
        <w:tblLook w:val="04A0" w:firstRow="1" w:lastRow="0" w:firstColumn="1" w:lastColumn="0" w:noHBand="0" w:noVBand="1"/>
      </w:tblPr>
      <w:tblGrid>
        <w:gridCol w:w="3586"/>
        <w:gridCol w:w="5539"/>
      </w:tblGrid>
      <w:tr w:rsidR="008B0DEB" w14:paraId="0FF788A8" w14:textId="77777777">
        <w:tblPrEx>
          <w:tblCellMar>
            <w:top w:w="0" w:type="dxa"/>
            <w:bottom w:w="0" w:type="dxa"/>
          </w:tblCellMar>
        </w:tblPrEx>
        <w:trPr>
          <w:trHeight w:hRule="exact" w:val="341"/>
        </w:trPr>
        <w:tc>
          <w:tcPr>
            <w:tcW w:w="3586" w:type="dxa"/>
            <w:shd w:val="clear" w:color="auto" w:fill="FFFFFF"/>
          </w:tcPr>
          <w:p w14:paraId="24AEF1B1" w14:textId="77777777" w:rsidR="008B0DEB" w:rsidRDefault="00B65869">
            <w:pPr>
              <w:pStyle w:val="Style13"/>
              <w:shd w:val="clear" w:color="auto" w:fill="auto"/>
              <w:spacing w:after="0" w:line="240" w:lineRule="auto"/>
            </w:pPr>
            <w:r>
              <w:rPr>
                <w:b/>
                <w:bCs/>
              </w:rPr>
              <w:t>Vyhodnocení tolerance odběru:</w:t>
            </w:r>
          </w:p>
        </w:tc>
        <w:tc>
          <w:tcPr>
            <w:tcW w:w="5539" w:type="dxa"/>
            <w:shd w:val="clear" w:color="auto" w:fill="FFFFFF"/>
          </w:tcPr>
          <w:p w14:paraId="667ACC2B" w14:textId="77777777" w:rsidR="008B0DEB" w:rsidRDefault="00B65869">
            <w:pPr>
              <w:pStyle w:val="Style13"/>
              <w:shd w:val="clear" w:color="auto" w:fill="auto"/>
              <w:spacing w:after="0" w:line="240" w:lineRule="auto"/>
            </w:pPr>
            <w:r>
              <w:t>bez omezení</w:t>
            </w:r>
          </w:p>
        </w:tc>
      </w:tr>
      <w:tr w:rsidR="008B0DEB" w14:paraId="6604F07F" w14:textId="77777777">
        <w:tblPrEx>
          <w:tblCellMar>
            <w:top w:w="0" w:type="dxa"/>
            <w:bottom w:w="0" w:type="dxa"/>
          </w:tblCellMar>
        </w:tblPrEx>
        <w:trPr>
          <w:trHeight w:hRule="exact" w:val="710"/>
        </w:trPr>
        <w:tc>
          <w:tcPr>
            <w:tcW w:w="3586" w:type="dxa"/>
            <w:shd w:val="clear" w:color="auto" w:fill="FFFFFF"/>
          </w:tcPr>
          <w:p w14:paraId="26425240" w14:textId="77777777" w:rsidR="008B0DEB" w:rsidRDefault="00B65869">
            <w:pPr>
              <w:pStyle w:val="Style13"/>
              <w:shd w:val="clear" w:color="auto" w:fill="auto"/>
              <w:spacing w:before="100" w:after="0" w:line="240" w:lineRule="auto"/>
            </w:pPr>
            <w:r>
              <w:rPr>
                <w:b/>
                <w:bCs/>
              </w:rPr>
              <w:t>Toleranční pásmo:</w:t>
            </w:r>
          </w:p>
        </w:tc>
        <w:tc>
          <w:tcPr>
            <w:tcW w:w="5539" w:type="dxa"/>
            <w:shd w:val="clear" w:color="auto" w:fill="FFFFFF"/>
            <w:vAlign w:val="center"/>
          </w:tcPr>
          <w:p w14:paraId="595A2416" w14:textId="77777777" w:rsidR="008B0DEB" w:rsidRDefault="00B65869">
            <w:pPr>
              <w:pStyle w:val="Style13"/>
              <w:numPr>
                <w:ilvl w:val="0"/>
                <w:numId w:val="1"/>
              </w:numPr>
              <w:shd w:val="clear" w:color="auto" w:fill="auto"/>
              <w:tabs>
                <w:tab w:val="left" w:pos="182"/>
              </w:tabs>
              <w:spacing w:after="0" w:line="240" w:lineRule="auto"/>
            </w:pPr>
            <w:r>
              <w:t xml:space="preserve">% nad množství uvedené v </w:t>
            </w:r>
            <w:r>
              <w:t>závěrkovém listu</w:t>
            </w:r>
          </w:p>
          <w:p w14:paraId="72273ABA" w14:textId="77777777" w:rsidR="008B0DEB" w:rsidRDefault="00B65869">
            <w:pPr>
              <w:pStyle w:val="Style13"/>
              <w:numPr>
                <w:ilvl w:val="0"/>
                <w:numId w:val="1"/>
              </w:numPr>
              <w:shd w:val="clear" w:color="auto" w:fill="auto"/>
              <w:tabs>
                <w:tab w:val="left" w:pos="182"/>
              </w:tabs>
              <w:spacing w:after="0" w:line="240" w:lineRule="auto"/>
            </w:pPr>
            <w:r>
              <w:t>% pod množství uvedené v závěrkovém listu</w:t>
            </w:r>
          </w:p>
        </w:tc>
      </w:tr>
    </w:tbl>
    <w:p w14:paraId="668B2CF3" w14:textId="77777777" w:rsidR="008B0DEB" w:rsidRDefault="008B0DEB">
      <w:pPr>
        <w:spacing w:after="79" w:line="1" w:lineRule="exact"/>
      </w:pPr>
    </w:p>
    <w:p w14:paraId="044846F0" w14:textId="77777777" w:rsidR="008B0DEB" w:rsidRDefault="008B0DEB">
      <w:pPr>
        <w:spacing w:line="1" w:lineRule="exact"/>
      </w:pPr>
    </w:p>
    <w:p w14:paraId="63D624CD" w14:textId="77777777" w:rsidR="008B0DEB" w:rsidRDefault="00B65869">
      <w:pPr>
        <w:pStyle w:val="Style16"/>
        <w:shd w:val="clear" w:color="auto" w:fill="auto"/>
      </w:pPr>
      <w:r>
        <w:rPr>
          <w:u w:val="single"/>
        </w:rPr>
        <w:t>Zúčtovací podmínky</w:t>
      </w:r>
    </w:p>
    <w:tbl>
      <w:tblPr>
        <w:tblOverlap w:val="never"/>
        <w:tblW w:w="0" w:type="auto"/>
        <w:tblLayout w:type="fixed"/>
        <w:tblCellMar>
          <w:left w:w="10" w:type="dxa"/>
          <w:right w:w="10" w:type="dxa"/>
        </w:tblCellMar>
        <w:tblLook w:val="04A0" w:firstRow="1" w:lastRow="0" w:firstColumn="1" w:lastColumn="0" w:noHBand="0" w:noVBand="1"/>
      </w:tblPr>
      <w:tblGrid>
        <w:gridCol w:w="3586"/>
        <w:gridCol w:w="5539"/>
      </w:tblGrid>
      <w:tr w:rsidR="008B0DEB" w14:paraId="6F0947C4" w14:textId="77777777">
        <w:tblPrEx>
          <w:tblCellMar>
            <w:top w:w="0" w:type="dxa"/>
            <w:bottom w:w="0" w:type="dxa"/>
          </w:tblCellMar>
        </w:tblPrEx>
        <w:trPr>
          <w:trHeight w:hRule="exact" w:val="475"/>
        </w:trPr>
        <w:tc>
          <w:tcPr>
            <w:tcW w:w="3586" w:type="dxa"/>
            <w:shd w:val="clear" w:color="auto" w:fill="FFFFFF"/>
            <w:vAlign w:val="center"/>
          </w:tcPr>
          <w:p w14:paraId="294EAE7B" w14:textId="77777777" w:rsidR="008B0DEB" w:rsidRDefault="00B65869">
            <w:pPr>
              <w:pStyle w:val="Style13"/>
              <w:shd w:val="clear" w:color="auto" w:fill="auto"/>
              <w:spacing w:after="0" w:line="240" w:lineRule="auto"/>
            </w:pPr>
            <w:r>
              <w:rPr>
                <w:b/>
                <w:bCs/>
              </w:rPr>
              <w:t>Zúčtovací období:</w:t>
            </w:r>
          </w:p>
        </w:tc>
        <w:tc>
          <w:tcPr>
            <w:tcW w:w="5539" w:type="dxa"/>
            <w:shd w:val="clear" w:color="auto" w:fill="FFFFFF"/>
            <w:vAlign w:val="center"/>
          </w:tcPr>
          <w:p w14:paraId="4A886EA3" w14:textId="77777777" w:rsidR="008B0DEB" w:rsidRDefault="00B65869">
            <w:pPr>
              <w:pStyle w:val="Style13"/>
              <w:shd w:val="clear" w:color="auto" w:fill="auto"/>
              <w:spacing w:after="0" w:line="240" w:lineRule="auto"/>
            </w:pPr>
            <w:r>
              <w:t>měsíc</w:t>
            </w:r>
          </w:p>
        </w:tc>
      </w:tr>
      <w:tr w:rsidR="008B0DEB" w14:paraId="0B3C09BE" w14:textId="77777777">
        <w:tblPrEx>
          <w:tblCellMar>
            <w:top w:w="0" w:type="dxa"/>
            <w:bottom w:w="0" w:type="dxa"/>
          </w:tblCellMar>
        </w:tblPrEx>
        <w:trPr>
          <w:trHeight w:hRule="exact" w:val="470"/>
        </w:trPr>
        <w:tc>
          <w:tcPr>
            <w:tcW w:w="3586" w:type="dxa"/>
            <w:shd w:val="clear" w:color="auto" w:fill="FFFFFF"/>
            <w:vAlign w:val="center"/>
          </w:tcPr>
          <w:p w14:paraId="52132143" w14:textId="77777777" w:rsidR="008B0DEB" w:rsidRDefault="00B65869">
            <w:pPr>
              <w:pStyle w:val="Style13"/>
              <w:shd w:val="clear" w:color="auto" w:fill="auto"/>
              <w:spacing w:after="0" w:line="240" w:lineRule="auto"/>
            </w:pPr>
            <w:r>
              <w:rPr>
                <w:b/>
                <w:bCs/>
              </w:rPr>
              <w:t>Splatnost zúčtovací faktury:</w:t>
            </w:r>
          </w:p>
        </w:tc>
        <w:tc>
          <w:tcPr>
            <w:tcW w:w="5539" w:type="dxa"/>
            <w:shd w:val="clear" w:color="auto" w:fill="FFFFFF"/>
            <w:vAlign w:val="center"/>
          </w:tcPr>
          <w:p w14:paraId="42EFF94E" w14:textId="77777777" w:rsidR="008B0DEB" w:rsidRDefault="00B65869">
            <w:pPr>
              <w:pStyle w:val="Style13"/>
              <w:shd w:val="clear" w:color="auto" w:fill="auto"/>
              <w:spacing w:after="0" w:line="240" w:lineRule="auto"/>
            </w:pPr>
            <w:r>
              <w:t>21 dní</w:t>
            </w:r>
          </w:p>
        </w:tc>
      </w:tr>
      <w:tr w:rsidR="008B0DEB" w14:paraId="2CD38C12" w14:textId="77777777">
        <w:tblPrEx>
          <w:tblCellMar>
            <w:top w:w="0" w:type="dxa"/>
            <w:bottom w:w="0" w:type="dxa"/>
          </w:tblCellMar>
        </w:tblPrEx>
        <w:trPr>
          <w:trHeight w:hRule="exact" w:val="485"/>
        </w:trPr>
        <w:tc>
          <w:tcPr>
            <w:tcW w:w="3586" w:type="dxa"/>
            <w:shd w:val="clear" w:color="auto" w:fill="FFFFFF"/>
            <w:vAlign w:val="center"/>
          </w:tcPr>
          <w:p w14:paraId="194E80CA" w14:textId="77777777" w:rsidR="008B0DEB" w:rsidRDefault="00B65869">
            <w:pPr>
              <w:pStyle w:val="Style13"/>
              <w:shd w:val="clear" w:color="auto" w:fill="auto"/>
              <w:spacing w:after="0" w:line="240" w:lineRule="auto"/>
            </w:pPr>
            <w:r>
              <w:rPr>
                <w:b/>
                <w:bCs/>
              </w:rPr>
              <w:t>Zálohy v průběhu zúčtovacího období:</w:t>
            </w:r>
          </w:p>
        </w:tc>
        <w:tc>
          <w:tcPr>
            <w:tcW w:w="5539" w:type="dxa"/>
            <w:shd w:val="clear" w:color="auto" w:fill="FFFFFF"/>
            <w:vAlign w:val="center"/>
          </w:tcPr>
          <w:p w14:paraId="73AF72C9" w14:textId="77777777" w:rsidR="008B0DEB" w:rsidRDefault="00B65869">
            <w:pPr>
              <w:pStyle w:val="Style13"/>
              <w:shd w:val="clear" w:color="auto" w:fill="auto"/>
              <w:spacing w:after="0" w:line="240" w:lineRule="auto"/>
            </w:pPr>
            <w:r>
              <w:t>měsíční</w:t>
            </w:r>
          </w:p>
        </w:tc>
      </w:tr>
    </w:tbl>
    <w:p w14:paraId="4AB15C8A" w14:textId="77777777" w:rsidR="008B0DEB" w:rsidRDefault="008B0DEB">
      <w:pPr>
        <w:spacing w:after="79" w:line="1" w:lineRule="exact"/>
      </w:pPr>
    </w:p>
    <w:p w14:paraId="1137F759" w14:textId="77777777" w:rsidR="008B0DEB" w:rsidRDefault="00B65869">
      <w:pPr>
        <w:pStyle w:val="Style21"/>
        <w:keepNext/>
        <w:keepLines/>
        <w:shd w:val="clear" w:color="auto" w:fill="auto"/>
        <w:ind w:firstLine="0"/>
      </w:pPr>
      <w:bookmarkStart w:id="3" w:name="bookmark6"/>
      <w:bookmarkStart w:id="4" w:name="bookmark7"/>
      <w:bookmarkStart w:id="5" w:name="bookmark8"/>
      <w:r>
        <w:t>Ostatní podmínky:</w:t>
      </w:r>
      <w:bookmarkEnd w:id="3"/>
      <w:bookmarkEnd w:id="4"/>
      <w:bookmarkEnd w:id="5"/>
    </w:p>
    <w:p w14:paraId="2B18C350" w14:textId="77777777" w:rsidR="008B0DEB" w:rsidRDefault="00B65869">
      <w:pPr>
        <w:pStyle w:val="Style2"/>
        <w:shd w:val="clear" w:color="auto" w:fill="auto"/>
      </w:pPr>
      <w:r>
        <w:t xml:space="preserve">Pokyn k jednotlivým fixačním krokům bude </w:t>
      </w:r>
      <w:r>
        <w:t>zajišťován formou společného pokynu pro více odběratelů (Závěrkové listy č. EL-20230915-3520-1 až EL-20230915-3520-21). Všechna ustanovení uvedená v závěrkovém listě, která se týkají ceny za dodávku komodity, platí pro společný pokyn.</w:t>
      </w:r>
    </w:p>
    <w:p w14:paraId="70098D74" w14:textId="77777777" w:rsidR="008B0DEB" w:rsidRDefault="00B65869">
      <w:pPr>
        <w:pStyle w:val="Style2"/>
        <w:shd w:val="clear" w:color="auto" w:fill="auto"/>
      </w:pPr>
      <w:r>
        <w:t>Dodavatel bude odběrateli účtovat dodávku samostatnou fakturou v elektronické podobě ve formátu PDF za každé odběrné místo zvlášť.</w:t>
      </w:r>
    </w:p>
    <w:p w14:paraId="3984A097" w14:textId="77777777" w:rsidR="008B0DEB" w:rsidRDefault="00B65869">
      <w:pPr>
        <w:pStyle w:val="Style2"/>
        <w:shd w:val="clear" w:color="auto" w:fill="auto"/>
      </w:pPr>
      <w:r>
        <w:t xml:space="preserve">Dodavatel bude odběrateli předepisovat a účtovat zálohy samostatným předpisem a samostatným daňovým dokladem o přijetí platby v </w:t>
      </w:r>
      <w:r>
        <w:t>elektronické podobě ve formátu PDF za každé odběrné místo zvlášť.</w:t>
      </w:r>
    </w:p>
    <w:p w14:paraId="301187AA" w14:textId="77777777" w:rsidR="008B0DEB" w:rsidRDefault="00B65869">
      <w:pPr>
        <w:pStyle w:val="Style2"/>
        <w:shd w:val="clear" w:color="auto" w:fill="auto"/>
        <w:spacing w:line="240" w:lineRule="auto"/>
      </w:pPr>
      <w:r>
        <w:t>Odběratel je oprávněn uplatnit u dodavatele požadavek na zajištění Měsíční rezervované kapacity na příslušný kalendářní měsíc v rámci příslušných energetických předpisů.</w:t>
      </w:r>
    </w:p>
    <w:p w14:paraId="2B8E5130" w14:textId="77777777" w:rsidR="008B0DEB" w:rsidRDefault="00B65869">
      <w:pPr>
        <w:pStyle w:val="Style2"/>
        <w:shd w:val="clear" w:color="auto" w:fill="auto"/>
      </w:pPr>
      <w:r>
        <w:t>Dodavatel je povinen po ukončení dodávky poskytnout odběrateli bezplatně odběrový diagram (hodinový profil spotřeb) ve formátu .</w:t>
      </w:r>
      <w:proofErr w:type="spellStart"/>
      <w:r>
        <w:t>xls</w:t>
      </w:r>
      <w:proofErr w:type="spellEnd"/>
      <w:r>
        <w:t xml:space="preserve"> za všechna odběrná místa.</w:t>
      </w:r>
    </w:p>
    <w:p w14:paraId="0DCD5C68" w14:textId="77777777" w:rsidR="008B0DEB" w:rsidRDefault="00B65869">
      <w:pPr>
        <w:pStyle w:val="Style2"/>
        <w:shd w:val="clear" w:color="auto" w:fill="auto"/>
        <w:spacing w:line="257" w:lineRule="auto"/>
      </w:pPr>
      <w:r>
        <w:t>Dodavatel je povinen jmenovat pro zajištění obchodního styku s odběratelem konkrétní kontaktní osobu, která bude odběrateli operativně k dispozici pro řešení případných problémů při dodávce komodity, řešení reklamací souvisejících s fakturací, včasné zpracování požadavků na změny parametrů odběrných míst, apod.</w:t>
      </w:r>
    </w:p>
    <w:p w14:paraId="1A5EBD94" w14:textId="77777777" w:rsidR="008B0DEB" w:rsidRDefault="00B65869">
      <w:pPr>
        <w:pStyle w:val="Style2"/>
        <w:shd w:val="clear" w:color="auto" w:fill="auto"/>
      </w:pPr>
      <w:r>
        <w:t>Odběratel je oprávněn zveřejnit závěrkový list ve veřejně přístupných evidencích.</w:t>
      </w:r>
    </w:p>
    <w:p w14:paraId="3F9B884B" w14:textId="77777777" w:rsidR="008B0DEB" w:rsidRDefault="00B65869">
      <w:pPr>
        <w:pStyle w:val="Style2"/>
        <w:shd w:val="clear" w:color="auto" w:fill="auto"/>
      </w:pPr>
      <w:r>
        <w:t>Dodavatel je povinen vystavit odběrateli platební kalendář s uvedením počtu, výše a splatnosti záloh nejpozději do 15 kalendářních dnů po zahájení dodávky.</w:t>
      </w:r>
    </w:p>
    <w:p w14:paraId="4CC8818F" w14:textId="605E02DF" w:rsidR="008B0DEB" w:rsidRDefault="00B65869">
      <w:pPr>
        <w:pStyle w:val="Style2"/>
        <w:shd w:val="clear" w:color="auto" w:fill="auto"/>
      </w:pPr>
      <w:r>
        <w:t xml:space="preserve">Dodavatel je povinen po skončení dodávky poskytnout data o odběrech a fakturaci na všech odběrných místech v elektronické podobě ve formátu XLS do 31.1.2025 centrálnímu zadavateli, České </w:t>
      </w:r>
      <w:proofErr w:type="spellStart"/>
      <w:r>
        <w:t>rebublice</w:t>
      </w:r>
      <w:proofErr w:type="spellEnd"/>
      <w:r>
        <w:t xml:space="preserve"> - Ministerstvu kultury na e-mailovou adresu </w:t>
      </w:r>
      <w:hyperlink r:id="rId9" w:history="1">
        <w:r w:rsidR="00EA155A">
          <w:rPr>
            <w:lang w:val="en-US" w:eastAsia="en-US" w:bidi="en-US"/>
          </w:rPr>
          <w:t>XXXXXXXXXXX</w:t>
        </w:r>
      </w:hyperlink>
      <w:r>
        <w:rPr>
          <w:lang w:val="en-US" w:eastAsia="en-US" w:bidi="en-US"/>
        </w:rPr>
        <w:t xml:space="preserve"> </w:t>
      </w:r>
      <w:r>
        <w:t xml:space="preserve">a v kopii na adresu </w:t>
      </w:r>
      <w:hyperlink r:id="rId10" w:history="1">
        <w:r w:rsidR="00EA155A">
          <w:rPr>
            <w:lang w:val="en-US" w:eastAsia="en-US" w:bidi="en-US"/>
          </w:rPr>
          <w:t>XXXXXXXXXXXXXXXX</w:t>
        </w:r>
      </w:hyperlink>
      <w:r>
        <w:rPr>
          <w:lang w:val="en-US" w:eastAsia="en-US" w:bidi="en-US"/>
        </w:rPr>
        <w:t>.</w:t>
      </w:r>
    </w:p>
    <w:p w14:paraId="431F1C65" w14:textId="59775253" w:rsidR="008B0DEB" w:rsidRDefault="00B65869">
      <w:pPr>
        <w:pStyle w:val="Style2"/>
        <w:shd w:val="clear" w:color="auto" w:fill="auto"/>
        <w:spacing w:line="257" w:lineRule="auto"/>
      </w:pPr>
      <w:r>
        <w:t xml:space="preserve">Dodavatel je povinen do 15-ti dnů po skončení každého kalendářního měsíce, poskytnout data o měsíčních odběrech a fakturaci na všech odběrných místech v elektronické podobě ve formátu XLS centrálnímu odběrateli České </w:t>
      </w:r>
      <w:proofErr w:type="spellStart"/>
      <w:r>
        <w:t>rebublice</w:t>
      </w:r>
      <w:proofErr w:type="spellEnd"/>
      <w:r>
        <w:t xml:space="preserve"> - Ministerstvu kultury na e-mailovou adresu </w:t>
      </w:r>
      <w:r w:rsidR="002E4E37">
        <w:t>XXXXXXXXXXXXXXXXXXX</w:t>
      </w:r>
      <w:r>
        <w:t>.</w:t>
      </w:r>
    </w:p>
    <w:p w14:paraId="1B91398B" w14:textId="77777777" w:rsidR="008B0DEB" w:rsidRDefault="00B65869">
      <w:pPr>
        <w:pStyle w:val="Style2"/>
        <w:shd w:val="clear" w:color="auto" w:fill="auto"/>
      </w:pPr>
      <w:r>
        <w:t xml:space="preserve">Dodavatel je povinen </w:t>
      </w:r>
      <w:r>
        <w:t>nejpozději ke dni zahájení dodávek zpřístupnit odběrateli a jím určeným osobám, a dále po celou dobu plnění burzovního obchodu (závěrkového listu) udržovat nepřetržitý zabezpečený přístup do elektronického zákaznického portálu dodavatele, který bude přístupný z webových stránek dodavatele. Tento zákaznický portál bude ošetřen hesly a musí umožňovat nepřetržité nahlížení do údajů o místech spotřeby, náhledy do historie spotřeby, historie plateb, přehledu záloh, faktur, apod. a elektronickou komunikaci s doda</w:t>
      </w:r>
      <w:r>
        <w:t>vatelem.</w:t>
      </w:r>
    </w:p>
    <w:p w14:paraId="2D593DB9" w14:textId="77777777" w:rsidR="008B0DEB" w:rsidRDefault="00B65869">
      <w:pPr>
        <w:pStyle w:val="Style2"/>
        <w:shd w:val="clear" w:color="auto" w:fill="auto"/>
      </w:pPr>
      <w:r>
        <w:t xml:space="preserve">V případě, že to technické prostředky dodavatele umožňují, je dodavatel povinen zasílat odběrateli faktury v elektronické podobě ve formátech ISDOC a ISDOCX verze 5.2 a vyšší, nebo UBL 2.1 ISO/IEC 19845:2015, nebo UN/CEFACT Cil </w:t>
      </w:r>
      <w:r>
        <w:rPr>
          <w:lang w:val="en-US" w:eastAsia="en-US" w:bidi="en-US"/>
        </w:rPr>
        <w:t>(Cross Industry Invoice).</w:t>
      </w:r>
    </w:p>
    <w:p w14:paraId="53A1ACD6" w14:textId="77777777" w:rsidR="008B0DEB" w:rsidRDefault="00B65869">
      <w:pPr>
        <w:pStyle w:val="Style21"/>
        <w:keepNext/>
        <w:keepLines/>
        <w:shd w:val="clear" w:color="auto" w:fill="auto"/>
        <w:ind w:firstLine="0"/>
      </w:pPr>
      <w:bookmarkStart w:id="6" w:name="bookmark10"/>
      <w:bookmarkStart w:id="7" w:name="bookmark11"/>
      <w:bookmarkStart w:id="8" w:name="bookmark9"/>
      <w:r>
        <w:lastRenderedPageBreak/>
        <w:t>Dodací podmínky</w:t>
      </w:r>
      <w:bookmarkEnd w:id="6"/>
      <w:bookmarkEnd w:id="7"/>
      <w:bookmarkEnd w:id="8"/>
    </w:p>
    <w:p w14:paraId="7C706448" w14:textId="77777777" w:rsidR="008B0DEB" w:rsidRDefault="00B65869">
      <w:pPr>
        <w:pStyle w:val="Style2"/>
        <w:numPr>
          <w:ilvl w:val="0"/>
          <w:numId w:val="2"/>
        </w:numPr>
        <w:shd w:val="clear" w:color="auto" w:fill="auto"/>
        <w:tabs>
          <w:tab w:val="left" w:pos="265"/>
        </w:tabs>
        <w:spacing w:after="0" w:line="257" w:lineRule="auto"/>
      </w:pPr>
      <w:r>
        <w:t>Dodavatel je povinen dodávat sjednané množství silové elektřiny do odběrného místa odběratele,</w:t>
      </w:r>
    </w:p>
    <w:p w14:paraId="7EC4167D" w14:textId="77777777" w:rsidR="008B0DEB" w:rsidRDefault="00B65869">
      <w:pPr>
        <w:pStyle w:val="Style2"/>
        <w:shd w:val="clear" w:color="auto" w:fill="auto"/>
        <w:spacing w:line="257" w:lineRule="auto"/>
        <w:ind w:left="300" w:firstLine="20"/>
      </w:pPr>
      <w:r>
        <w:t>v rozsahu a za podmínek uzavřeného burzovního obchodu (závěrkového listu) v kvalitě podle příslušných platných právních předpisů, pokud tomu nebrání okolnosti vyvolané provozovatelem distribuční soustavy nebo okolnosti stanovené právními předpisy.</w:t>
      </w:r>
    </w:p>
    <w:p w14:paraId="439FAED3" w14:textId="77777777" w:rsidR="008B0DEB" w:rsidRDefault="00B65869">
      <w:pPr>
        <w:pStyle w:val="Style2"/>
        <w:numPr>
          <w:ilvl w:val="0"/>
          <w:numId w:val="2"/>
        </w:numPr>
        <w:shd w:val="clear" w:color="auto" w:fill="auto"/>
        <w:tabs>
          <w:tab w:val="left" w:pos="274"/>
        </w:tabs>
        <w:ind w:left="300" w:hanging="300"/>
      </w:pPr>
      <w:r>
        <w:t>Za sjednané množství dodávky silové elektřiny se považuje skutečně dodané a odebrané množství elektřiny v odběrném místě odběratele. Celkové množství dodávky silové elektřiny uvedené na závěrkovém listu představuje předpokládané množství dodávky elektřiny.</w:t>
      </w:r>
    </w:p>
    <w:p w14:paraId="6002A067" w14:textId="77777777" w:rsidR="008B0DEB" w:rsidRDefault="00B65869">
      <w:pPr>
        <w:pStyle w:val="Style2"/>
        <w:numPr>
          <w:ilvl w:val="0"/>
          <w:numId w:val="2"/>
        </w:numPr>
        <w:shd w:val="clear" w:color="auto" w:fill="auto"/>
        <w:tabs>
          <w:tab w:val="left" w:pos="274"/>
        </w:tabs>
        <w:ind w:left="300" w:hanging="300"/>
      </w:pPr>
      <w:r>
        <w:t>Dodávka silové elektřiny se uskutečňuje v napěťové hladině vysokého napětí v souladu s hodnotou rezervované kapacity a rezervovaného příkonu.</w:t>
      </w:r>
    </w:p>
    <w:p w14:paraId="5FD081C2" w14:textId="77777777" w:rsidR="008B0DEB" w:rsidRDefault="00B65869">
      <w:pPr>
        <w:pStyle w:val="Style2"/>
        <w:numPr>
          <w:ilvl w:val="0"/>
          <w:numId w:val="2"/>
        </w:numPr>
        <w:shd w:val="clear" w:color="auto" w:fill="auto"/>
        <w:tabs>
          <w:tab w:val="left" w:pos="279"/>
        </w:tabs>
        <w:ind w:left="300" w:hanging="300"/>
      </w:pPr>
      <w:r>
        <w:t>Dodávka silové elektřiny je splněna přechodem elektřiny z příslušné distribuční soustavy přes měřící zařízení do odběrného místa odběratele. Měření dodávek, včetně vyhodnocování a předávání výsledků měření je zajišťováno provozovatelem distribuční soustavy podle příslušného platného právního předpisu. Pokud provozovatel distribuční soustavy eviduje jiný údaj o typu měření, než je údaj uvedený v závěrkovém listu, platí údaj evidovaný provozovatelem distribuční soustavy.</w:t>
      </w:r>
    </w:p>
    <w:p w14:paraId="5D0ED05B" w14:textId="77777777" w:rsidR="008B0DEB" w:rsidRDefault="00B65869">
      <w:pPr>
        <w:pStyle w:val="Style2"/>
        <w:numPr>
          <w:ilvl w:val="0"/>
          <w:numId w:val="2"/>
        </w:numPr>
        <w:shd w:val="clear" w:color="auto" w:fill="auto"/>
        <w:tabs>
          <w:tab w:val="left" w:pos="279"/>
        </w:tabs>
        <w:ind w:left="300" w:hanging="300"/>
      </w:pPr>
      <w:r>
        <w:t>Dodavatel je povinen zajistit na vlastní jméno a na vlastní účet pro odběrné místo odběratele dopravu elektřiny a ostatní související služby a dále je povinen uzavřít s provozovatelem distribuční soustavy jménem a na účet odběratele smlouvu o distribuci elektřiny do odběrného místa odběratele.</w:t>
      </w:r>
    </w:p>
    <w:p w14:paraId="1C5C2DF2" w14:textId="77777777" w:rsidR="008B0DEB" w:rsidRDefault="00B65869">
      <w:pPr>
        <w:pStyle w:val="Style2"/>
        <w:numPr>
          <w:ilvl w:val="0"/>
          <w:numId w:val="2"/>
        </w:numPr>
        <w:shd w:val="clear" w:color="auto" w:fill="auto"/>
        <w:tabs>
          <w:tab w:val="left" w:pos="279"/>
        </w:tabs>
        <w:spacing w:after="0"/>
        <w:ind w:left="300" w:hanging="300"/>
      </w:pPr>
      <w:r>
        <w:t>Odběratel uzavřením burzovního obchodu souhlasí, aby dodavatel uzavřel s provozovatelem distribuční soustavy smlouvu o distribuci elektřiny do odběrného místa a dále je povinen poskytnout dodavateli</w:t>
      </w:r>
    </w:p>
    <w:p w14:paraId="175B4C32" w14:textId="77777777" w:rsidR="008B0DEB" w:rsidRDefault="00B65869">
      <w:pPr>
        <w:pStyle w:val="Style2"/>
        <w:shd w:val="clear" w:color="auto" w:fill="auto"/>
        <w:ind w:left="300" w:firstLine="20"/>
      </w:pPr>
      <w:r>
        <w:t>k uzavření smlouvy o distribuci elektřiny nezbytnou součinnost. Dodavatel je oprávněn pověřit uzavřením smlouvy o distribuci elektřiny do odběrného místa třetí osobu, avšak odpovědnost vůči odběrateli za uzavření takové smlouvy nese sám.</w:t>
      </w:r>
    </w:p>
    <w:p w14:paraId="2486E53F" w14:textId="77777777" w:rsidR="008B0DEB" w:rsidRDefault="00B65869">
      <w:pPr>
        <w:pStyle w:val="Style2"/>
        <w:numPr>
          <w:ilvl w:val="0"/>
          <w:numId w:val="2"/>
        </w:numPr>
        <w:shd w:val="clear" w:color="auto" w:fill="auto"/>
        <w:tabs>
          <w:tab w:val="left" w:pos="279"/>
        </w:tabs>
        <w:ind w:left="300" w:hanging="300"/>
      </w:pPr>
      <w:r>
        <w:t>Dodavatel je povinen ve smyslu příslušného platného právního předpisu převzít závazek odběratele odebrat elektřinu z elektrizační soustavy a nést plnou zodpovědnost za odchylku odběratele vztahující se k odběrnému místu odběratele (dále „přenesení odpovědnosti za odchylku na dodavatele“). Z důvodu přenesení odpovědnosti za odchylku na dodavatele není odběratel oprávněn mít pro dodávku elektřiny do odběrného místa dle burzovního obchodu (závěrkového listu) jiného nebo více jiných dodavatelů.</w:t>
      </w:r>
    </w:p>
    <w:p w14:paraId="66155583" w14:textId="77777777" w:rsidR="008B0DEB" w:rsidRDefault="00B65869">
      <w:pPr>
        <w:pStyle w:val="Style2"/>
        <w:numPr>
          <w:ilvl w:val="0"/>
          <w:numId w:val="2"/>
        </w:numPr>
        <w:shd w:val="clear" w:color="auto" w:fill="auto"/>
        <w:tabs>
          <w:tab w:val="left" w:pos="279"/>
        </w:tabs>
        <w:spacing w:after="0" w:line="254" w:lineRule="auto"/>
        <w:ind w:left="300" w:hanging="300"/>
      </w:pPr>
      <w:r>
        <w:t xml:space="preserve">Sjednaná dodávka elektřiny může být omezena, pokud bude provozovatelem přenosové soustavy nebo provozovatelem distribuční soustavy vyhlášen stav nouze podle příslušných platných právních předpisů. Odběrná místa s odběrem elektřiny ze zařízení distribučních soustav s napětím vyšším než 1 </w:t>
      </w:r>
      <w:proofErr w:type="spellStart"/>
      <w:r>
        <w:t>kV</w:t>
      </w:r>
      <w:proofErr w:type="spellEnd"/>
      <w:r>
        <w:t xml:space="preserve"> s hodnotou rezervovaného příkonu do 100 </w:t>
      </w:r>
      <w:proofErr w:type="spellStart"/>
      <w:r>
        <w:t>kWjsou</w:t>
      </w:r>
      <w:proofErr w:type="spellEnd"/>
      <w:r>
        <w:t xml:space="preserve"> zařazena v souladu s platnými právními předpisy do regulačního stupně č. 2. Odběrná místa s odběrem elektřiny ze zařízení přenosové soustavy nebo ze zařízení distribučních soustav s napětím vyšším než 1 </w:t>
      </w:r>
      <w:proofErr w:type="spellStart"/>
      <w:r>
        <w:t>kV</w:t>
      </w:r>
      <w:proofErr w:type="spellEnd"/>
      <w:r>
        <w:t xml:space="preserve"> s hodnotou rezervovaného příkonu</w:t>
      </w:r>
    </w:p>
    <w:p w14:paraId="5B7E6232" w14:textId="77777777" w:rsidR="008B0DEB" w:rsidRDefault="00B65869">
      <w:pPr>
        <w:pStyle w:val="Style2"/>
        <w:shd w:val="clear" w:color="auto" w:fill="auto"/>
        <w:spacing w:line="254" w:lineRule="auto"/>
        <w:ind w:left="300" w:firstLine="20"/>
      </w:pPr>
      <w:r>
        <w:t xml:space="preserve">1 MW a vyšší jsou zařazena v regulačních stupních č. 3 a 5. Odběrná místa s odběrem elektřiny ze zařízení distribučních soustav s napětím od 1 </w:t>
      </w:r>
      <w:proofErr w:type="spellStart"/>
      <w:r>
        <w:t>kV</w:t>
      </w:r>
      <w:proofErr w:type="spellEnd"/>
      <w:r>
        <w:t xml:space="preserve"> s hodnotou rezervovaného příkonu od 100 kW do 1MW jsou zařazena v regulačních stupních č. 4 a 6. Odběratel je povinen sledovat informace o vyhlášení omezujících regulačních opatření v případě hrozícího nebo stávajícího stavu nouze v elektroenergetice. Dodavatel i odběratel jsou povinni v případě hrozícího nebo stávajícího stavu nouze v elektroenergetice postupovat podle příslušného platného právního předpisu.</w:t>
      </w:r>
    </w:p>
    <w:p w14:paraId="1A8A0FAD" w14:textId="77777777" w:rsidR="008B0DEB" w:rsidRDefault="00B65869">
      <w:pPr>
        <w:pStyle w:val="Style2"/>
        <w:numPr>
          <w:ilvl w:val="0"/>
          <w:numId w:val="2"/>
        </w:numPr>
        <w:shd w:val="clear" w:color="auto" w:fill="auto"/>
        <w:tabs>
          <w:tab w:val="left" w:pos="279"/>
        </w:tabs>
        <w:spacing w:line="254" w:lineRule="auto"/>
        <w:ind w:left="300" w:hanging="300"/>
      </w:pPr>
      <w:r>
        <w:t>Odběratel je povinen při odběru elektřiny dle uzavřeného burzovního obchodu (závěrkového listu) respektovat podmínky distribuce elektřiny příslušného provozovatele distribuční soustavy a dále je povinen udržovat odběrná zařízení ve stavu, který odpovídá příslušným technickým normám a platným právním předpisům.</w:t>
      </w:r>
    </w:p>
    <w:p w14:paraId="3D882ED3" w14:textId="77777777" w:rsidR="008B0DEB" w:rsidRDefault="00B65869">
      <w:pPr>
        <w:pStyle w:val="Style21"/>
        <w:keepNext/>
        <w:keepLines/>
        <w:shd w:val="clear" w:color="auto" w:fill="auto"/>
        <w:ind w:firstLine="220"/>
        <w:jc w:val="both"/>
      </w:pPr>
      <w:bookmarkStart w:id="9" w:name="bookmark12"/>
      <w:bookmarkStart w:id="10" w:name="bookmark13"/>
      <w:bookmarkStart w:id="11" w:name="bookmark14"/>
      <w:r>
        <w:t>Cena za dodávku silové elektřiny</w:t>
      </w:r>
      <w:bookmarkEnd w:id="9"/>
      <w:bookmarkEnd w:id="10"/>
      <w:bookmarkEnd w:id="11"/>
    </w:p>
    <w:p w14:paraId="2C79195D" w14:textId="77777777" w:rsidR="008B0DEB" w:rsidRDefault="00B65869">
      <w:pPr>
        <w:pStyle w:val="Style2"/>
        <w:numPr>
          <w:ilvl w:val="0"/>
          <w:numId w:val="3"/>
        </w:numPr>
        <w:shd w:val="clear" w:color="auto" w:fill="auto"/>
        <w:tabs>
          <w:tab w:val="left" w:pos="505"/>
        </w:tabs>
        <w:ind w:left="440" w:hanging="200"/>
      </w:pPr>
      <w:r>
        <w:t xml:space="preserve">Výsledná cena za dodávku silové elektřiny v příslušném roce dodávky je určena postupnou fixací ceny 1 </w:t>
      </w:r>
      <w:proofErr w:type="spellStart"/>
      <w:r>
        <w:t>MWh</w:t>
      </w:r>
      <w:proofErr w:type="spellEnd"/>
      <w:r>
        <w:t xml:space="preserve"> silové elektřiny v </w:t>
      </w:r>
      <w:r>
        <w:t>jednotlivých fixačních krocích. Základním parametrem při postupné fixaci ceny ve fixačním kroku je hodnota násobícího fixačního koeficientu, hodnota fixačního produktu a kurz CZK/ EUR</w:t>
      </w:r>
    </w:p>
    <w:p w14:paraId="3CCECDEA" w14:textId="77777777" w:rsidR="008B0DEB" w:rsidRDefault="00B65869">
      <w:pPr>
        <w:pStyle w:val="Style2"/>
        <w:numPr>
          <w:ilvl w:val="0"/>
          <w:numId w:val="3"/>
        </w:numPr>
        <w:shd w:val="clear" w:color="auto" w:fill="auto"/>
        <w:tabs>
          <w:tab w:val="left" w:pos="519"/>
        </w:tabs>
        <w:spacing w:line="240" w:lineRule="auto"/>
        <w:ind w:left="440" w:hanging="200"/>
      </w:pPr>
      <w:r>
        <w:t>Postupná fixace ceny probíhá prostřednictvím elektronického fixačního nástroje, ve kterém odběratel zadává dodavateli jednotlivé Pokyny k fixačním krokům v souladu s postupy pro jeho používání.</w:t>
      </w:r>
    </w:p>
    <w:p w14:paraId="64BE6EA2" w14:textId="77777777" w:rsidR="008B0DEB" w:rsidRDefault="00B65869">
      <w:pPr>
        <w:pStyle w:val="Style2"/>
        <w:shd w:val="clear" w:color="auto" w:fill="auto"/>
        <w:ind w:left="440" w:firstLine="20"/>
      </w:pPr>
      <w:r>
        <w:lastRenderedPageBreak/>
        <w:t>Nemá-li dodavatel k dispozici vlastní fixační nástroj, je elektronickým fixačním nástrojem Fixační modul systému CEBOIS Českomoravské komoditní burzy Kladno.</w:t>
      </w:r>
    </w:p>
    <w:p w14:paraId="78A73AE1" w14:textId="77777777" w:rsidR="008B0DEB" w:rsidRDefault="00B65869">
      <w:pPr>
        <w:pStyle w:val="Style2"/>
        <w:numPr>
          <w:ilvl w:val="0"/>
          <w:numId w:val="4"/>
        </w:numPr>
        <w:shd w:val="clear" w:color="auto" w:fill="auto"/>
        <w:tabs>
          <w:tab w:val="left" w:pos="681"/>
        </w:tabs>
        <w:ind w:left="660" w:hanging="200"/>
      </w:pPr>
      <w:r>
        <w:t xml:space="preserve">Pokyn k fixačnímu kroku zadávaný prostřednictvím Fixačního modulu obsahuje číslo závěrkového listu, den fixace ve tvaru </w:t>
      </w:r>
      <w:proofErr w:type="spellStart"/>
      <w:r>
        <w:t>dd.mm.rrrr</w:t>
      </w:r>
      <w:proofErr w:type="spellEnd"/>
      <w:r>
        <w:t xml:space="preserve">, označení kalendářního roku dodávky, pořadové číslo fixačního kroku 1 až n pro příslušný kalendářní rok dodávky, označení fixačního produktu, hodnotu prodejní ceny </w:t>
      </w:r>
      <w:r>
        <w:rPr>
          <w:lang w:val="en-US" w:eastAsia="en-US" w:bidi="en-US"/>
        </w:rPr>
        <w:t xml:space="preserve">(best ask) </w:t>
      </w:r>
      <w:r>
        <w:t xml:space="preserve">fixačního produktu a fixované množství silové elektřiny, pro které bude v příslušném fixačním kroku určena cena 1 </w:t>
      </w:r>
      <w:proofErr w:type="spellStart"/>
      <w:r>
        <w:t>MWh</w:t>
      </w:r>
      <w:proofErr w:type="spellEnd"/>
      <w:r>
        <w:t xml:space="preserve">. Odběratel při zadávání Pokynu k fixačnímu kroku vychází z aktuální velkoobchodní prodejní ceny </w:t>
      </w:r>
      <w:r>
        <w:rPr>
          <w:lang w:val="en-US" w:eastAsia="en-US" w:bidi="en-US"/>
        </w:rPr>
        <w:t xml:space="preserve">(best ask) </w:t>
      </w:r>
      <w:r>
        <w:t xml:space="preserve">fixačního produktu, kterým je roční produkt na </w:t>
      </w:r>
      <w:r>
        <w:rPr>
          <w:lang w:val="en-US" w:eastAsia="en-US" w:bidi="en-US"/>
        </w:rPr>
        <w:t xml:space="preserve">European </w:t>
      </w:r>
      <w:proofErr w:type="spellStart"/>
      <w:r>
        <w:t>Energy</w:t>
      </w:r>
      <w:proofErr w:type="spellEnd"/>
      <w:r>
        <w:t xml:space="preserve"> </w:t>
      </w:r>
      <w:r>
        <w:rPr>
          <w:lang w:val="en-US" w:eastAsia="en-US" w:bidi="en-US"/>
        </w:rPr>
        <w:t xml:space="preserve">Exchange </w:t>
      </w:r>
      <w:r>
        <w:t xml:space="preserve">AG pro </w:t>
      </w:r>
      <w:r>
        <w:rPr>
          <w:lang w:val="en-US" w:eastAsia="en-US" w:bidi="en-US"/>
        </w:rPr>
        <w:t>Czech Baseload Year Fu</w:t>
      </w:r>
      <w:r>
        <w:rPr>
          <w:lang w:val="en-US" w:eastAsia="en-US" w:bidi="en-US"/>
        </w:rPr>
        <w:t xml:space="preserve">tures CAL-xx, </w:t>
      </w:r>
      <w:r>
        <w:t xml:space="preserve">kde </w:t>
      </w:r>
      <w:r>
        <w:rPr>
          <w:lang w:val="en-US" w:eastAsia="en-US" w:bidi="en-US"/>
        </w:rPr>
        <w:t xml:space="preserve">xx </w:t>
      </w:r>
      <w:r>
        <w:t>je příslušný kalendářní rok dodávky elektřiny.</w:t>
      </w:r>
    </w:p>
    <w:p w14:paraId="428AB782" w14:textId="77777777" w:rsidR="008B0DEB" w:rsidRDefault="00B65869">
      <w:pPr>
        <w:pStyle w:val="Style2"/>
        <w:numPr>
          <w:ilvl w:val="0"/>
          <w:numId w:val="4"/>
        </w:numPr>
        <w:shd w:val="clear" w:color="auto" w:fill="auto"/>
        <w:tabs>
          <w:tab w:val="left" w:pos="681"/>
        </w:tabs>
        <w:spacing w:after="0"/>
        <w:ind w:firstLine="440"/>
      </w:pPr>
      <w:r>
        <w:t>Fixační krok je uskutečněn v případě, kdy dodavatel ve lhůtě do 60 minut od zadání Pokynu</w:t>
      </w:r>
    </w:p>
    <w:p w14:paraId="5EAED41C" w14:textId="77777777" w:rsidR="008B0DEB" w:rsidRDefault="00B65869">
      <w:pPr>
        <w:pStyle w:val="Style2"/>
        <w:shd w:val="clear" w:color="auto" w:fill="auto"/>
        <w:ind w:left="660" w:firstLine="20"/>
      </w:pPr>
      <w:r>
        <w:t xml:space="preserve">k fixačnímu kroku odešle odběrateli prostřednictvím Fixačního modulu akceptaci prodejní ceny Fixačního produktu, uvedené v Pokynu k fixačnímu kroku. Akceptace musí obsahovat dodavatelem vyplněnou prodejní cenu, která je nižší nebo rovna prodejní ceně, uvedené odběratelem v Pokynu k fixačnímu kroku. Dodavatel je povinen při akceptaci vycházet z aktuální hodnoty prodejní ceny </w:t>
      </w:r>
      <w:r>
        <w:rPr>
          <w:lang w:val="en-US" w:eastAsia="en-US" w:bidi="en-US"/>
        </w:rPr>
        <w:t xml:space="preserve">(best ask), </w:t>
      </w:r>
      <w:r>
        <w:t>za kterou je odpovídající produkt elektřiny na velkoobchodních platformách reálně dostupný. Fixační krok je uskutečněn s hodnotou prodejní ceny, vyplněné dodavatelem v akceptaci.</w:t>
      </w:r>
    </w:p>
    <w:p w14:paraId="740C26DC" w14:textId="77777777" w:rsidR="008B0DEB" w:rsidRDefault="00B65869">
      <w:pPr>
        <w:pStyle w:val="Style2"/>
        <w:numPr>
          <w:ilvl w:val="0"/>
          <w:numId w:val="4"/>
        </w:numPr>
        <w:shd w:val="clear" w:color="auto" w:fill="auto"/>
        <w:tabs>
          <w:tab w:val="left" w:pos="681"/>
        </w:tabs>
        <w:spacing w:after="0" w:line="254" w:lineRule="auto"/>
        <w:ind w:left="660" w:hanging="200"/>
      </w:pPr>
      <w:r>
        <w:t xml:space="preserve">V případě, že odpovídající fixační produkt není aktuálně na velkoobchodních platformách za odběratelem uvedenou cenu reálně dostupný, dodavatel má právo ve lhůtě do 60 minut od zadání Pokynu k fixačnímu kroku odeslat odběrateli prostřednictvím Fixačního modulu svůj návrh s vyšší hodnotou prodejní ceny. Dodavatel je povinen ve svém návrhu vycházet z aktuální hodnoty prodejní ceny </w:t>
      </w:r>
      <w:r>
        <w:rPr>
          <w:lang w:val="en-US" w:eastAsia="en-US" w:bidi="en-US"/>
        </w:rPr>
        <w:t xml:space="preserve">(best ask), </w:t>
      </w:r>
      <w:r>
        <w:t>za kterou je odpovídající produkt elektřiny na velkoobchodních platformách reálně dostupný. V případě, že odběratel prostřednictvím Fixačního modulu návrh prodejní ceny</w:t>
      </w:r>
    </w:p>
    <w:p w14:paraId="113BCD52" w14:textId="77777777" w:rsidR="008B0DEB" w:rsidRDefault="00B65869">
      <w:pPr>
        <w:pStyle w:val="Style2"/>
        <w:shd w:val="clear" w:color="auto" w:fill="auto"/>
        <w:spacing w:line="254" w:lineRule="auto"/>
        <w:ind w:left="660" w:firstLine="20"/>
      </w:pPr>
      <w:r>
        <w:t xml:space="preserve">v dodavatelem stanovené lhůtě, která nesmí být kratší než 15 minut, přijme, je fixační krok uskutečněn s hodnotou velkoobchodní prodejní ceny </w:t>
      </w:r>
      <w:r>
        <w:rPr>
          <w:lang w:val="en-US" w:eastAsia="en-US" w:bidi="en-US"/>
        </w:rPr>
        <w:t xml:space="preserve">(best ask) </w:t>
      </w:r>
      <w:r>
        <w:t>v odběratelem přijatém návrhu.</w:t>
      </w:r>
    </w:p>
    <w:p w14:paraId="3E407EF5" w14:textId="77777777" w:rsidR="008B0DEB" w:rsidRDefault="00B65869">
      <w:pPr>
        <w:pStyle w:val="Style2"/>
        <w:numPr>
          <w:ilvl w:val="0"/>
          <w:numId w:val="4"/>
        </w:numPr>
        <w:shd w:val="clear" w:color="auto" w:fill="auto"/>
        <w:tabs>
          <w:tab w:val="left" w:pos="681"/>
        </w:tabs>
        <w:ind w:left="660" w:hanging="200"/>
      </w:pPr>
      <w:r>
        <w:t>Pokyny k fixačnímu kroku, akceptace hodnoty prodejní ceny, návrhy prodejní ceny a přijetí návrhu prodejní ceny jsou odesílány prostřednictvím Fixačního modulu na adresy dodavatele a odběratele, uvedené v kontaktních údajích pro zasílání Pokynů k fixačnímu kroku.</w:t>
      </w:r>
    </w:p>
    <w:p w14:paraId="4B53515F" w14:textId="77777777" w:rsidR="008B0DEB" w:rsidRDefault="00B65869">
      <w:pPr>
        <w:pStyle w:val="Style2"/>
        <w:numPr>
          <w:ilvl w:val="0"/>
          <w:numId w:val="3"/>
        </w:numPr>
        <w:shd w:val="clear" w:color="auto" w:fill="auto"/>
        <w:tabs>
          <w:tab w:val="left" w:pos="519"/>
        </w:tabs>
        <w:ind w:left="440" w:hanging="200"/>
      </w:pPr>
      <w:r>
        <w:t>V případě omezeného nebo přerušeného provozu elektronického fixačního nástroje probíhá postupná fixace telefonicky, a to prostřednictvím telefonních čísel uvedených v kontaktních údajích pro zasílání Pokynu k fixačnímu kroku. V takovém případě je uskutečnění fixačního kroku dodavatel povinen písemně potvrdit na adresu odběratele, uvedenou v kontaktních údajích pro zasílání Pokynů k fixačnímu kroku.</w:t>
      </w:r>
    </w:p>
    <w:p w14:paraId="56659795" w14:textId="77777777" w:rsidR="008B0DEB" w:rsidRDefault="00B65869">
      <w:pPr>
        <w:pStyle w:val="Style2"/>
        <w:numPr>
          <w:ilvl w:val="0"/>
          <w:numId w:val="3"/>
        </w:numPr>
        <w:shd w:val="clear" w:color="auto" w:fill="auto"/>
        <w:tabs>
          <w:tab w:val="left" w:pos="499"/>
        </w:tabs>
        <w:ind w:firstLine="220"/>
      </w:pPr>
      <w:r>
        <w:t>Pokyn k fixačnímu kroku musí být odběratelem zadán v den fixace v době od 10:00 do 14:00 hodin.</w:t>
      </w:r>
    </w:p>
    <w:p w14:paraId="12750274" w14:textId="77777777" w:rsidR="008B0DEB" w:rsidRDefault="00B65869">
      <w:pPr>
        <w:pStyle w:val="Style2"/>
        <w:numPr>
          <w:ilvl w:val="0"/>
          <w:numId w:val="3"/>
        </w:numPr>
        <w:shd w:val="clear" w:color="auto" w:fill="auto"/>
        <w:tabs>
          <w:tab w:val="left" w:pos="519"/>
        </w:tabs>
        <w:spacing w:after="0"/>
        <w:ind w:left="440" w:hanging="200"/>
      </w:pPr>
      <w:r>
        <w:t>Den fixace je den pro určení hodnoty fixované jednotkové ceny (CZK/</w:t>
      </w:r>
      <w:proofErr w:type="spellStart"/>
      <w:r>
        <w:t>MWh</w:t>
      </w:r>
      <w:proofErr w:type="spellEnd"/>
      <w:r>
        <w:t xml:space="preserve">) silové elektřiny v příslušném fixačním kroku. Den fixace musí být obchodním dnem na </w:t>
      </w:r>
      <w:r>
        <w:rPr>
          <w:lang w:val="en-US" w:eastAsia="en-US" w:bidi="en-US"/>
        </w:rPr>
        <w:t xml:space="preserve">European </w:t>
      </w:r>
      <w:proofErr w:type="spellStart"/>
      <w:r>
        <w:t>Energy</w:t>
      </w:r>
      <w:proofErr w:type="spellEnd"/>
      <w:r>
        <w:t xml:space="preserve"> </w:t>
      </w:r>
      <w:r>
        <w:rPr>
          <w:lang w:val="en-US" w:eastAsia="en-US" w:bidi="en-US"/>
        </w:rPr>
        <w:t xml:space="preserve">Exchange </w:t>
      </w:r>
      <w:r>
        <w:t xml:space="preserve">AG a zároveň pracovním dnem v České republice. Součet fixovaného množství elektřiny v </w:t>
      </w:r>
      <w:proofErr w:type="spellStart"/>
      <w:r>
        <w:t>MWh</w:t>
      </w:r>
      <w:proofErr w:type="spellEnd"/>
      <w:r>
        <w:t xml:space="preserve"> uvedeného ve všech fixačních krocích pro příslušný </w:t>
      </w:r>
      <w:r>
        <w:t>kalendářní rok musí být roven sjednanému množství elektřiny pro příslušný kalendářní rok. V případě, že nejpozději do 10. 12. roku předcházejícímu příslušnému roku dodávky, nebudou uskutečněny fixační kroky pro celé sjednané množství elektřiny pro příslušný rok dodávky, dodavatel určí fixovanou jednotkovou cenu pro zbývající množství silové elektřiny, pro které dosud nebyla určena hodnota fixované jednotkové ceny, a to ke dni fixace, kterým je první pracovní den následující</w:t>
      </w:r>
    </w:p>
    <w:p w14:paraId="2DEBCF05" w14:textId="77777777" w:rsidR="008B0DEB" w:rsidRDefault="00B65869">
      <w:pPr>
        <w:pStyle w:val="Style2"/>
        <w:shd w:val="clear" w:color="auto" w:fill="auto"/>
        <w:ind w:left="440" w:firstLine="20"/>
      </w:pPr>
      <w:r>
        <w:t xml:space="preserve">po 10. 12., který je zároveň obchodním dnem </w:t>
      </w:r>
      <w:r>
        <w:rPr>
          <w:lang w:val="en-US" w:eastAsia="en-US" w:bidi="en-US"/>
        </w:rPr>
        <w:t xml:space="preserve">European </w:t>
      </w:r>
      <w:proofErr w:type="spellStart"/>
      <w:r>
        <w:t>Energy</w:t>
      </w:r>
      <w:proofErr w:type="spellEnd"/>
      <w:r>
        <w:t xml:space="preserve"> </w:t>
      </w:r>
      <w:r>
        <w:rPr>
          <w:lang w:val="en-US" w:eastAsia="en-US" w:bidi="en-US"/>
        </w:rPr>
        <w:t xml:space="preserve">Exchange </w:t>
      </w:r>
      <w:r>
        <w:t xml:space="preserve">AG s použitím ceny (hodnoty settlement </w:t>
      </w:r>
      <w:r>
        <w:rPr>
          <w:lang w:val="en-US" w:eastAsia="en-US" w:bidi="en-US"/>
        </w:rPr>
        <w:t xml:space="preserve">price) </w:t>
      </w:r>
      <w:r>
        <w:t>fixačního produktu pro příslušný kalendářní rok dodávky.</w:t>
      </w:r>
    </w:p>
    <w:p w14:paraId="4A71B31B" w14:textId="77777777" w:rsidR="008B0DEB" w:rsidRDefault="00B65869">
      <w:pPr>
        <w:pStyle w:val="Style2"/>
        <w:numPr>
          <w:ilvl w:val="0"/>
          <w:numId w:val="5"/>
        </w:numPr>
        <w:shd w:val="clear" w:color="auto" w:fill="auto"/>
        <w:tabs>
          <w:tab w:val="left" w:pos="430"/>
        </w:tabs>
        <w:ind w:left="360" w:hanging="200"/>
      </w:pPr>
      <w:r>
        <w:t xml:space="preserve">Ve fixačním kroku je odběratel povinen stanovit fixované množství silové elektřiny pro příslušný kalendářní rok v minimální hodnotě 500 </w:t>
      </w:r>
      <w:proofErr w:type="spellStart"/>
      <w:r>
        <w:t>MWh</w:t>
      </w:r>
      <w:proofErr w:type="spellEnd"/>
      <w:r>
        <w:t>.</w:t>
      </w:r>
    </w:p>
    <w:p w14:paraId="06F0E6CF" w14:textId="77777777" w:rsidR="008B0DEB" w:rsidRDefault="00B65869">
      <w:pPr>
        <w:pStyle w:val="Style2"/>
        <w:numPr>
          <w:ilvl w:val="0"/>
          <w:numId w:val="6"/>
        </w:numPr>
        <w:shd w:val="clear" w:color="auto" w:fill="auto"/>
        <w:tabs>
          <w:tab w:val="left" w:pos="439"/>
        </w:tabs>
        <w:spacing w:after="0" w:line="240" w:lineRule="auto"/>
        <w:ind w:left="360" w:hanging="200"/>
      </w:pPr>
      <w:r>
        <w:t xml:space="preserve">Dodavatel je po uskutečnění fixačního kroku povinen určit ve fixačním kroku fixovanou jednotkovou cenu silové elektřiny pro příslušné fixované množství elektřiny tak, že jednotková cena silové elektřiny ve fixačním kroku je </w:t>
      </w:r>
      <w:r>
        <w:t>rovna součinu ceny Fixačního produktu v EUR/</w:t>
      </w:r>
      <w:proofErr w:type="spellStart"/>
      <w:r>
        <w:t>MWh</w:t>
      </w:r>
      <w:proofErr w:type="spellEnd"/>
      <w:r>
        <w:t>, hodnoty kurzu CZK/EUR</w:t>
      </w:r>
    </w:p>
    <w:p w14:paraId="62D33810" w14:textId="77777777" w:rsidR="008B0DEB" w:rsidRDefault="00B65869">
      <w:pPr>
        <w:pStyle w:val="Style2"/>
        <w:shd w:val="clear" w:color="auto" w:fill="auto"/>
        <w:spacing w:line="240" w:lineRule="auto"/>
        <w:ind w:left="360" w:firstLine="20"/>
        <w:jc w:val="both"/>
      </w:pPr>
      <w:r>
        <w:t>a hodnoty násobícího fixačního koeficientu.</w:t>
      </w:r>
    </w:p>
    <w:p w14:paraId="5C1AA5BD" w14:textId="77777777" w:rsidR="008B0DEB" w:rsidRDefault="00B65869">
      <w:pPr>
        <w:pStyle w:val="Style2"/>
        <w:shd w:val="clear" w:color="auto" w:fill="auto"/>
        <w:spacing w:line="259" w:lineRule="auto"/>
        <w:ind w:left="360" w:firstLine="20"/>
        <w:jc w:val="both"/>
      </w:pPr>
      <w:r>
        <w:t>Fixovaná jednotková cena silové elektřiny pro fixované množství elektřiny ve fixačním kroku [CZK/</w:t>
      </w:r>
      <w:proofErr w:type="spellStart"/>
      <w:r>
        <w:t>MWh</w:t>
      </w:r>
      <w:proofErr w:type="spellEnd"/>
      <w:r>
        <w:t>] = cena Fixačního produktu [EUR/</w:t>
      </w:r>
      <w:proofErr w:type="spellStart"/>
      <w:r>
        <w:t>MWh</w:t>
      </w:r>
      <w:proofErr w:type="spellEnd"/>
      <w:r>
        <w:t>] * kurz CZK/EUR * násobící fixační koeficient [%]</w:t>
      </w:r>
    </w:p>
    <w:p w14:paraId="05551B08" w14:textId="77777777" w:rsidR="008B0DEB" w:rsidRDefault="00B65869">
      <w:pPr>
        <w:pStyle w:val="Style2"/>
        <w:numPr>
          <w:ilvl w:val="0"/>
          <w:numId w:val="4"/>
        </w:numPr>
        <w:shd w:val="clear" w:color="auto" w:fill="auto"/>
        <w:tabs>
          <w:tab w:val="left" w:pos="601"/>
        </w:tabs>
        <w:spacing w:after="80"/>
        <w:ind w:left="580" w:hanging="200"/>
      </w:pPr>
      <w:r>
        <w:lastRenderedPageBreak/>
        <w:t xml:space="preserve">Cenou Fixačního produktu je hodnota prodejní ceny </w:t>
      </w:r>
      <w:r>
        <w:rPr>
          <w:lang w:val="en-US" w:eastAsia="en-US" w:bidi="en-US"/>
        </w:rPr>
        <w:t xml:space="preserve">(best ask price) </w:t>
      </w:r>
      <w:r>
        <w:t xml:space="preserve">ročního produktu na </w:t>
      </w:r>
      <w:r>
        <w:rPr>
          <w:lang w:val="en-US" w:eastAsia="en-US" w:bidi="en-US"/>
        </w:rPr>
        <w:t xml:space="preserve">European </w:t>
      </w:r>
      <w:proofErr w:type="spellStart"/>
      <w:r>
        <w:t>Energy</w:t>
      </w:r>
      <w:proofErr w:type="spellEnd"/>
      <w:r>
        <w:t xml:space="preserve"> </w:t>
      </w:r>
      <w:r>
        <w:rPr>
          <w:lang w:val="en-US" w:eastAsia="en-US" w:bidi="en-US"/>
        </w:rPr>
        <w:t xml:space="preserve">Exchange </w:t>
      </w:r>
      <w:r>
        <w:t xml:space="preserve">AG pro </w:t>
      </w:r>
      <w:r>
        <w:rPr>
          <w:lang w:val="en-US" w:eastAsia="en-US" w:bidi="en-US"/>
        </w:rPr>
        <w:t xml:space="preserve">Czech Baseload Year Futures CAL-xx, </w:t>
      </w:r>
      <w:r>
        <w:t xml:space="preserve">kde </w:t>
      </w:r>
      <w:proofErr w:type="spellStart"/>
      <w:r>
        <w:rPr>
          <w:lang w:val="en-US" w:eastAsia="en-US" w:bidi="en-US"/>
        </w:rPr>
        <w:t>xxje</w:t>
      </w:r>
      <w:proofErr w:type="spellEnd"/>
      <w:r>
        <w:rPr>
          <w:lang w:val="en-US" w:eastAsia="en-US" w:bidi="en-US"/>
        </w:rPr>
        <w:t xml:space="preserve"> </w:t>
      </w:r>
      <w:r>
        <w:t xml:space="preserve">příslušný kalendářní rok dodávky nebo hodnota prodejní ceny </w:t>
      </w:r>
      <w:r>
        <w:rPr>
          <w:lang w:val="en-US" w:eastAsia="en-US" w:bidi="en-US"/>
        </w:rPr>
        <w:t xml:space="preserve">(best ask price) </w:t>
      </w:r>
      <w:r>
        <w:t>odpovídajícího produktu elektřiny reálně dostupného na velkoobchodních platformách, s nimiž byl Fixační krok uskutečněn.</w:t>
      </w:r>
    </w:p>
    <w:p w14:paraId="2CFAAD71" w14:textId="77777777" w:rsidR="008B0DEB" w:rsidRDefault="00B65869">
      <w:pPr>
        <w:pStyle w:val="Style2"/>
        <w:numPr>
          <w:ilvl w:val="0"/>
          <w:numId w:val="4"/>
        </w:numPr>
        <w:shd w:val="clear" w:color="auto" w:fill="auto"/>
        <w:tabs>
          <w:tab w:val="left" w:pos="601"/>
        </w:tabs>
        <w:spacing w:after="80"/>
        <w:ind w:left="580" w:hanging="200"/>
      </w:pPr>
      <w:r>
        <w:t>Kurzem CZK/EUR je hodnota směnného kurzu devizového trhu vyhlašovaná Českou národní bankou pro den fixace.</w:t>
      </w:r>
    </w:p>
    <w:p w14:paraId="27DC8FFC" w14:textId="77777777" w:rsidR="008B0DEB" w:rsidRDefault="00B65869">
      <w:pPr>
        <w:pStyle w:val="Style2"/>
        <w:numPr>
          <w:ilvl w:val="0"/>
          <w:numId w:val="4"/>
        </w:numPr>
        <w:shd w:val="clear" w:color="auto" w:fill="auto"/>
        <w:tabs>
          <w:tab w:val="left" w:pos="601"/>
        </w:tabs>
        <w:ind w:firstLine="360"/>
      </w:pPr>
      <w:r>
        <w:t>Hodnota násobícího fixačního koeficientu je stanovena burzovním obchodem (závěrkovým listem).</w:t>
      </w:r>
    </w:p>
    <w:p w14:paraId="538C7868" w14:textId="77777777" w:rsidR="008B0DEB" w:rsidRDefault="00B65869">
      <w:pPr>
        <w:pStyle w:val="Style2"/>
        <w:shd w:val="clear" w:color="auto" w:fill="auto"/>
        <w:ind w:left="360" w:firstLine="20"/>
        <w:jc w:val="both"/>
      </w:pPr>
      <w:r>
        <w:t>Fixovaná jednotková cena je ve fixačním kroku zaokrouhlena na celé koruny podle běžných matematických zvyklostí.</w:t>
      </w:r>
    </w:p>
    <w:p w14:paraId="4EF42105" w14:textId="77777777" w:rsidR="008B0DEB" w:rsidRDefault="00B65869">
      <w:pPr>
        <w:pStyle w:val="Style2"/>
        <w:numPr>
          <w:ilvl w:val="0"/>
          <w:numId w:val="6"/>
        </w:numPr>
        <w:shd w:val="clear" w:color="auto" w:fill="auto"/>
        <w:tabs>
          <w:tab w:val="left" w:pos="439"/>
        </w:tabs>
        <w:spacing w:after="0"/>
        <w:ind w:left="360" w:hanging="200"/>
      </w:pPr>
      <w:r>
        <w:t>Dodavatel je povinen určit pro dodávku silové elektřiny v příslušném roce výslednou jednotkovou cenu silové elektřiny nejpozději do 15. 12. roku předcházejícímu roku dodávky, a to tak, že výsledná jednotková cena silové elektřiny bude rovna váženému aritmetickému průměru fixovaných jednotkových cen silové elektřiny v jednotlivých fixačních krocích dle vzorce:</w:t>
      </w:r>
    </w:p>
    <w:p w14:paraId="06A3A499" w14:textId="77777777" w:rsidR="008B0DEB" w:rsidRDefault="00B65869">
      <w:pPr>
        <w:pStyle w:val="Style23"/>
        <w:shd w:val="clear" w:color="auto" w:fill="auto"/>
        <w:jc w:val="both"/>
      </w:pPr>
      <w:r>
        <w:t>n</w:t>
      </w:r>
    </w:p>
    <w:p w14:paraId="4DC2DB3A" w14:textId="77777777" w:rsidR="002B7FA6" w:rsidRDefault="002B7FA6">
      <w:pPr>
        <w:pStyle w:val="Style23"/>
        <w:shd w:val="clear" w:color="auto" w:fill="auto"/>
      </w:pPr>
      <w:r>
        <w:t>∑</w:t>
      </w:r>
      <w:r w:rsidR="00B65869">
        <w:t xml:space="preserve"> fixovaná cena 1 </w:t>
      </w:r>
      <w:proofErr w:type="spellStart"/>
      <w:r w:rsidR="00B65869">
        <w:t>MWh</w:t>
      </w:r>
      <w:proofErr w:type="spellEnd"/>
      <w:r w:rsidR="00B65869">
        <w:t xml:space="preserve"> komodity elektřina ve fixačním kroku | * fixované množství elektřiny ve fixačním kroku </w:t>
      </w:r>
      <w:r>
        <w:t>i</w:t>
      </w:r>
      <w:r w:rsidR="00B65869">
        <w:t xml:space="preserve"> </w:t>
      </w:r>
    </w:p>
    <w:p w14:paraId="4EEE24A6" w14:textId="1CA3AA24" w:rsidR="008B0DEB" w:rsidRDefault="00B65869">
      <w:pPr>
        <w:pStyle w:val="Style23"/>
        <w:shd w:val="clear" w:color="auto" w:fill="auto"/>
      </w:pPr>
      <w:r>
        <w:t>i=1</w:t>
      </w:r>
    </w:p>
    <w:p w14:paraId="2100CE72" w14:textId="77777777" w:rsidR="008B0DEB" w:rsidRDefault="00B65869">
      <w:pPr>
        <w:pStyle w:val="Style23"/>
        <w:shd w:val="clear" w:color="auto" w:fill="auto"/>
        <w:tabs>
          <w:tab w:val="left" w:leader="hyphen" w:pos="9514"/>
        </w:tabs>
        <w:ind w:left="0" w:firstLine="360"/>
      </w:pPr>
      <w:r>
        <w:t xml:space="preserve">Cena 1 </w:t>
      </w:r>
      <w:proofErr w:type="spellStart"/>
      <w:r>
        <w:t>MWh</w:t>
      </w:r>
      <w:proofErr w:type="spellEnd"/>
      <w:r>
        <w:t xml:space="preserve"> komodity elektřina = </w:t>
      </w:r>
      <w:r>
        <w:tab/>
      </w:r>
    </w:p>
    <w:p w14:paraId="36FCB299" w14:textId="77777777" w:rsidR="008B0DEB" w:rsidRDefault="00B65869">
      <w:pPr>
        <w:pStyle w:val="Style23"/>
        <w:shd w:val="clear" w:color="auto" w:fill="auto"/>
        <w:ind w:left="4160"/>
        <w:jc w:val="both"/>
      </w:pPr>
      <w:r>
        <w:t>n</w:t>
      </w:r>
    </w:p>
    <w:p w14:paraId="175C607D" w14:textId="26BF7106" w:rsidR="008B0DEB" w:rsidRDefault="002B7FA6">
      <w:pPr>
        <w:pStyle w:val="Style23"/>
        <w:shd w:val="clear" w:color="auto" w:fill="auto"/>
        <w:ind w:left="4160"/>
      </w:pPr>
      <w:r>
        <w:t>∑</w:t>
      </w:r>
      <w:r w:rsidR="00B65869">
        <w:t xml:space="preserve"> fixované množství elektřiny ve </w:t>
      </w:r>
      <w:r w:rsidR="00B65869">
        <w:t xml:space="preserve">fixačním kroku </w:t>
      </w:r>
      <w:r>
        <w:t>i</w:t>
      </w:r>
    </w:p>
    <w:p w14:paraId="4DEE6B22" w14:textId="77777777" w:rsidR="008B0DEB" w:rsidRDefault="00B65869">
      <w:pPr>
        <w:pStyle w:val="Style23"/>
        <w:shd w:val="clear" w:color="auto" w:fill="auto"/>
        <w:spacing w:after="80"/>
        <w:ind w:left="4160"/>
      </w:pPr>
      <w:r>
        <w:t>i=1</w:t>
      </w:r>
    </w:p>
    <w:p w14:paraId="4E90DB61" w14:textId="77777777" w:rsidR="008B0DEB" w:rsidRDefault="00B65869">
      <w:pPr>
        <w:pStyle w:val="Style2"/>
        <w:shd w:val="clear" w:color="auto" w:fill="auto"/>
        <w:ind w:firstLine="140"/>
        <w:jc w:val="both"/>
      </w:pPr>
      <w:r>
        <w:t>kde i = fixační krok 1 až n pro příslušný rok dodávky.</w:t>
      </w:r>
    </w:p>
    <w:p w14:paraId="263D04E3" w14:textId="77777777" w:rsidR="008B0DEB" w:rsidRDefault="00B65869">
      <w:pPr>
        <w:pStyle w:val="Style2"/>
        <w:numPr>
          <w:ilvl w:val="0"/>
          <w:numId w:val="6"/>
        </w:numPr>
        <w:shd w:val="clear" w:color="auto" w:fill="auto"/>
        <w:tabs>
          <w:tab w:val="left" w:pos="439"/>
        </w:tabs>
        <w:spacing w:after="0" w:line="254" w:lineRule="auto"/>
        <w:ind w:left="360" w:hanging="200"/>
      </w:pPr>
      <w:r>
        <w:t xml:space="preserve">Výslednou jednotkovou cenu silové elektřiny pro příslušný rok dodávky (cenu za 1 </w:t>
      </w:r>
      <w:proofErr w:type="spellStart"/>
      <w:r>
        <w:t>MWh</w:t>
      </w:r>
      <w:proofErr w:type="spellEnd"/>
      <w:r>
        <w:t xml:space="preserve"> silové elektřiny) je dodavatel povinen oznámit odběrateli nejpozději do 15. 12. roku předcházejícímu roku dodávky, a</w:t>
      </w:r>
    </w:p>
    <w:p w14:paraId="0DF13A7B" w14:textId="77777777" w:rsidR="008B0DEB" w:rsidRDefault="00B65869">
      <w:pPr>
        <w:pStyle w:val="Style2"/>
        <w:shd w:val="clear" w:color="auto" w:fill="auto"/>
        <w:spacing w:line="254" w:lineRule="auto"/>
        <w:ind w:left="360" w:firstLine="20"/>
        <w:jc w:val="both"/>
      </w:pPr>
      <w:r>
        <w:t>to formou odeslání emailu z adresy dodavatele, uvedené v kontaktních údajích pro zasílání Pokynů k fixačnímu kroku, na adresu odběratele, uvedenou v kontaktních údajích pro zasílání Pokynů k fixačnímu kroku.</w:t>
      </w:r>
    </w:p>
    <w:p w14:paraId="7A5D3521" w14:textId="77777777" w:rsidR="008B0DEB" w:rsidRDefault="00B65869">
      <w:pPr>
        <w:pStyle w:val="Style2"/>
        <w:numPr>
          <w:ilvl w:val="0"/>
          <w:numId w:val="6"/>
        </w:numPr>
        <w:shd w:val="clear" w:color="auto" w:fill="auto"/>
        <w:tabs>
          <w:tab w:val="left" w:pos="535"/>
        </w:tabs>
        <w:spacing w:after="0" w:line="240" w:lineRule="auto"/>
        <w:ind w:left="360" w:hanging="200"/>
        <w:jc w:val="both"/>
      </w:pPr>
      <w:r>
        <w:t xml:space="preserve">Výslednou </w:t>
      </w:r>
      <w:r>
        <w:t xml:space="preserve">jednotkovou cenu silové elektřiny je dodavatel povinen stejným způsobem odběrateli detailně specifikovat ve formě uvedení jednotkových cen silové elektřiny v příslušných cenových tarifech (výsledná cena 1 </w:t>
      </w:r>
      <w:proofErr w:type="spellStart"/>
      <w:r>
        <w:t>MWh</w:t>
      </w:r>
      <w:proofErr w:type="spellEnd"/>
      <w:r>
        <w:t xml:space="preserve"> silové elektřiny je váženým aritmetickým průměrem jednotkových cen silové elektřiny</w:t>
      </w:r>
    </w:p>
    <w:p w14:paraId="64CC38E2" w14:textId="77777777" w:rsidR="008B0DEB" w:rsidRDefault="00B65869">
      <w:pPr>
        <w:pStyle w:val="Style2"/>
        <w:shd w:val="clear" w:color="auto" w:fill="auto"/>
        <w:spacing w:line="240" w:lineRule="auto"/>
        <w:ind w:firstLine="360"/>
        <w:jc w:val="both"/>
      </w:pPr>
      <w:r>
        <w:t>v příslušných cenových tarifech, kdy váhou je vždy množství elektřiny v příslušném cenovém tarifu).</w:t>
      </w:r>
    </w:p>
    <w:p w14:paraId="09AF26B9" w14:textId="77777777" w:rsidR="008B0DEB" w:rsidRDefault="00B65869">
      <w:pPr>
        <w:pStyle w:val="Style2"/>
        <w:numPr>
          <w:ilvl w:val="0"/>
          <w:numId w:val="6"/>
        </w:numPr>
        <w:shd w:val="clear" w:color="auto" w:fill="auto"/>
        <w:tabs>
          <w:tab w:val="left" w:pos="535"/>
        </w:tabs>
        <w:spacing w:line="240" w:lineRule="auto"/>
        <w:ind w:left="360" w:hanging="200"/>
      </w:pPr>
      <w:r>
        <w:t>Při specifikaci je dodavatel povinen výslednou jednotkovou cenu silové elektřiny i jednotkové ceny silové elektřiny v příslušných cenových tarifech zaokrouhlit na celé koruny podle běžných matematických zvyklostí.</w:t>
      </w:r>
    </w:p>
    <w:p w14:paraId="1F6D3AE9" w14:textId="77777777" w:rsidR="008B0DEB" w:rsidRDefault="00B65869">
      <w:pPr>
        <w:pStyle w:val="Style2"/>
        <w:numPr>
          <w:ilvl w:val="0"/>
          <w:numId w:val="6"/>
        </w:numPr>
        <w:shd w:val="clear" w:color="auto" w:fill="auto"/>
        <w:tabs>
          <w:tab w:val="left" w:pos="535"/>
        </w:tabs>
        <w:ind w:left="360" w:hanging="200"/>
      </w:pPr>
      <w:r>
        <w:t xml:space="preserve">Výsledná jednotková cena dodávky silové elektřiny (cena za 1 </w:t>
      </w:r>
      <w:proofErr w:type="spellStart"/>
      <w:r>
        <w:t>MWh</w:t>
      </w:r>
      <w:proofErr w:type="spellEnd"/>
      <w:r>
        <w:t>), resp. jednotkové ceny silové elektřiny v příslušných cenových tarifech, určené v souladu s výše uvedeným postupem, budou dodavatelem účtovány odběrateli za dodávku silové elektřiny v příslušném roce dodávky a jsou pro příslušný rok dodávky elektřiny konečné, neměnné a závazné.</w:t>
      </w:r>
    </w:p>
    <w:p w14:paraId="3C79BCDC" w14:textId="77777777" w:rsidR="008B0DEB" w:rsidRDefault="00B65869">
      <w:pPr>
        <w:pStyle w:val="Style2"/>
        <w:numPr>
          <w:ilvl w:val="0"/>
          <w:numId w:val="6"/>
        </w:numPr>
        <w:shd w:val="clear" w:color="auto" w:fill="auto"/>
        <w:tabs>
          <w:tab w:val="left" w:pos="535"/>
        </w:tabs>
        <w:ind w:left="360" w:hanging="200"/>
        <w:sectPr w:rsidR="008B0DEB">
          <w:pgSz w:w="11933" w:h="16853"/>
          <w:pgMar w:top="1438" w:right="551" w:bottom="1380" w:left="1253" w:header="0" w:footer="3" w:gutter="0"/>
          <w:cols w:space="720"/>
          <w:noEndnote/>
          <w:docGrid w:linePitch="360"/>
        </w:sectPr>
      </w:pPr>
      <w:r>
        <w:t xml:space="preserve">Při fixačních krocích, uskutečňovaných na základě odběratelem zadávaných Pokynů k fixačním krokům, je dodavatel povinen postupovat s náležitou odbornou péčí a s ohledem na aktuální hodnoty prodejní ceny </w:t>
      </w:r>
      <w:r>
        <w:rPr>
          <w:lang w:val="en-US" w:eastAsia="en-US" w:bidi="en-US"/>
        </w:rPr>
        <w:t xml:space="preserve">(best ask) </w:t>
      </w:r>
      <w:r>
        <w:t>produktů elektřiny reálně dostupných na velkoobchodních platformách, resp. velkoobchodním trhu tak, aby odběrateli nevznikly škody.</w:t>
      </w:r>
    </w:p>
    <w:p w14:paraId="254F10F3" w14:textId="77777777" w:rsidR="008B0DEB" w:rsidRDefault="00B65869">
      <w:pPr>
        <w:pStyle w:val="Style21"/>
        <w:keepNext/>
        <w:keepLines/>
        <w:shd w:val="clear" w:color="auto" w:fill="auto"/>
      </w:pPr>
      <w:bookmarkStart w:id="12" w:name="bookmark15"/>
      <w:bookmarkStart w:id="13" w:name="bookmark16"/>
      <w:bookmarkStart w:id="14" w:name="bookmark17"/>
      <w:r>
        <w:lastRenderedPageBreak/>
        <w:t>Platební podmínky</w:t>
      </w:r>
      <w:bookmarkEnd w:id="12"/>
      <w:bookmarkEnd w:id="13"/>
      <w:bookmarkEnd w:id="14"/>
    </w:p>
    <w:p w14:paraId="654A09A0" w14:textId="77777777" w:rsidR="008B0DEB" w:rsidRDefault="00B65869">
      <w:pPr>
        <w:pStyle w:val="Style2"/>
        <w:numPr>
          <w:ilvl w:val="0"/>
          <w:numId w:val="7"/>
        </w:numPr>
        <w:shd w:val="clear" w:color="auto" w:fill="auto"/>
        <w:tabs>
          <w:tab w:val="left" w:pos="505"/>
        </w:tabs>
        <w:spacing w:after="0"/>
        <w:ind w:firstLine="240"/>
      </w:pPr>
      <w:r>
        <w:t>Odběratel je povinen zaplatit dodavateli za dodávku elektřiny cenu, která je tvořena:</w:t>
      </w:r>
    </w:p>
    <w:p w14:paraId="646026AD" w14:textId="77777777" w:rsidR="008B0DEB" w:rsidRDefault="00B65869">
      <w:pPr>
        <w:pStyle w:val="Style2"/>
        <w:numPr>
          <w:ilvl w:val="0"/>
          <w:numId w:val="8"/>
        </w:numPr>
        <w:shd w:val="clear" w:color="auto" w:fill="auto"/>
        <w:tabs>
          <w:tab w:val="left" w:pos="774"/>
        </w:tabs>
        <w:spacing w:after="0"/>
        <w:ind w:left="680" w:hanging="200"/>
      </w:pPr>
      <w:r>
        <w:t>cenou za silovou elektřinu prostřednictvím násobícího fixačního koeficientu, který je stanoven burzovním obchodem (závěrkovým listem),</w:t>
      </w:r>
    </w:p>
    <w:p w14:paraId="57B895BC" w14:textId="77777777" w:rsidR="008B0DEB" w:rsidRDefault="00B65869">
      <w:pPr>
        <w:pStyle w:val="Style2"/>
        <w:numPr>
          <w:ilvl w:val="0"/>
          <w:numId w:val="8"/>
        </w:numPr>
        <w:shd w:val="clear" w:color="auto" w:fill="auto"/>
        <w:tabs>
          <w:tab w:val="left" w:pos="774"/>
        </w:tabs>
        <w:ind w:left="680" w:hanging="200"/>
      </w:pPr>
      <w:r>
        <w:t>cenou za distribuci elektřiny, systémové služby a ostatní související služby, která bude stanovena v souladu s všeobecně závaznými právními předpisy, zejména cenovými rozhodnutími příslušných správních a regulačních orgánů.</w:t>
      </w:r>
    </w:p>
    <w:p w14:paraId="5F5533CC" w14:textId="77777777" w:rsidR="008B0DEB" w:rsidRDefault="00B65869">
      <w:pPr>
        <w:pStyle w:val="Style2"/>
        <w:numPr>
          <w:ilvl w:val="0"/>
          <w:numId w:val="7"/>
        </w:numPr>
        <w:shd w:val="clear" w:color="auto" w:fill="auto"/>
        <w:tabs>
          <w:tab w:val="left" w:pos="539"/>
        </w:tabs>
        <w:ind w:left="460" w:hanging="200"/>
      </w:pPr>
      <w:r>
        <w:t>Dodávky elektřiny se účtují v zúčtovacím období fakturami, které musí mít náležitosti daňových dokladů podle příslušných právních předpisů.</w:t>
      </w:r>
    </w:p>
    <w:p w14:paraId="62B10587" w14:textId="77777777" w:rsidR="008B0DEB" w:rsidRDefault="00B65869">
      <w:pPr>
        <w:pStyle w:val="Style2"/>
        <w:numPr>
          <w:ilvl w:val="0"/>
          <w:numId w:val="7"/>
        </w:numPr>
        <w:shd w:val="clear" w:color="auto" w:fill="auto"/>
        <w:tabs>
          <w:tab w:val="left" w:pos="539"/>
        </w:tabs>
        <w:spacing w:line="259" w:lineRule="auto"/>
        <w:ind w:left="460" w:hanging="200"/>
      </w:pPr>
      <w:r>
        <w:t>K účtované ceně dodávky elektřiny se připočítává daň z elektřiny, daň z přidané hodnoty, poplatky a jiné nepřímé daně stanovené v souladu s příslušnými právními předpisy.</w:t>
      </w:r>
    </w:p>
    <w:p w14:paraId="3C2E05E0" w14:textId="77777777" w:rsidR="008B0DEB" w:rsidRDefault="00B65869">
      <w:pPr>
        <w:pStyle w:val="Style2"/>
        <w:numPr>
          <w:ilvl w:val="0"/>
          <w:numId w:val="7"/>
        </w:numPr>
        <w:shd w:val="clear" w:color="auto" w:fill="auto"/>
        <w:tabs>
          <w:tab w:val="left" w:pos="539"/>
        </w:tabs>
        <w:ind w:left="460" w:hanging="200"/>
      </w:pPr>
      <w:r>
        <w:t>V průběhu zúčtovacího období hradí odběratel dodavateli za dodávky elektřiny pravidelné zálohy, pokud není burzovním obchodem sjednáno jinak. Jejich výše je určena podle celkové předpokládané platby odběratele za příslušné fakturační období včetně daně z přidané hodnoty. Dodavatel je povinen po uzavření burzovního obchodu (závěrkového listu) vystavit odběrateli v souladu s podmínkami uzavřeného burzovního obchodu (závěrkového listu) platební kalendář s uvedením počtu, výše a splatnosti záloh.</w:t>
      </w:r>
    </w:p>
    <w:p w14:paraId="4CA4498D" w14:textId="77777777" w:rsidR="008B0DEB" w:rsidRDefault="00B65869">
      <w:pPr>
        <w:pStyle w:val="Style2"/>
        <w:numPr>
          <w:ilvl w:val="0"/>
          <w:numId w:val="7"/>
        </w:numPr>
        <w:shd w:val="clear" w:color="auto" w:fill="auto"/>
        <w:tabs>
          <w:tab w:val="left" w:pos="539"/>
        </w:tabs>
        <w:spacing w:after="0"/>
        <w:ind w:left="460" w:hanging="200"/>
      </w:pPr>
      <w:r>
        <w:t>Zálohy zaplacené odběratelem na příslušné zúčtovací období budou dodavatelem vypořádány ve faktuře za zúčtovací období. Rozdíl ve faktuře mezi vyúčtovanou částkou a zaplacenými zálohami, který je nedoplatkem odběratele, je odběratel povinen zaplatit dodavateli v termínu splatnosti faktury. Rozdíl</w:t>
      </w:r>
    </w:p>
    <w:p w14:paraId="55A684A2" w14:textId="77777777" w:rsidR="008B0DEB" w:rsidRDefault="00B65869">
      <w:pPr>
        <w:pStyle w:val="Style2"/>
        <w:shd w:val="clear" w:color="auto" w:fill="auto"/>
        <w:ind w:left="460" w:firstLine="20"/>
      </w:pPr>
      <w:r>
        <w:t>ve faktuře mezi vyúčtovanou částkou a zaplacenými zálohami, který je přeplatkem odběratele, dodavatel vrátí odběrateli v termínu splatnosti faktury na bankovní účet odběratele uvedený v závěrkovém listu s použitím variabilního symbolu uvedeného na faktuře. Pokud není burzovním obchodem sjednáno jinak, je dodavatel oprávněn přeplatky a nedoplatky odběratele převádět do dalšího zúčtovacího období, dále je oprávněn započítat přeplatek odběratele na úhradu záloh v dalším zúčtovacím období, přičemž převod a zapo</w:t>
      </w:r>
      <w:r>
        <w:t>čtení těchto částek je povinen vždy oznámit odběrateli.</w:t>
      </w:r>
    </w:p>
    <w:p w14:paraId="703B0F98" w14:textId="77777777" w:rsidR="008B0DEB" w:rsidRDefault="00B65869">
      <w:pPr>
        <w:pStyle w:val="Style2"/>
        <w:numPr>
          <w:ilvl w:val="0"/>
          <w:numId w:val="7"/>
        </w:numPr>
        <w:shd w:val="clear" w:color="auto" w:fill="auto"/>
        <w:tabs>
          <w:tab w:val="left" w:pos="539"/>
        </w:tabs>
        <w:spacing w:after="0"/>
        <w:ind w:left="460" w:hanging="200"/>
      </w:pPr>
      <w:r>
        <w:t>Odběratel je povinen provádět všechny platby bezhotovostně v tuzemské měně, pokud není burzovním obchodem (závěrkovým listem) sjednána jiná měna, na bankovní účet dodavatele uvedený na příslušné faktuře s použitím variabilního symbolu uvedeného na faktuře. Pokud odběratel poukáže platbu</w:t>
      </w:r>
    </w:p>
    <w:p w14:paraId="24D224C5" w14:textId="77777777" w:rsidR="008B0DEB" w:rsidRDefault="00B65869">
      <w:pPr>
        <w:pStyle w:val="Style2"/>
        <w:shd w:val="clear" w:color="auto" w:fill="auto"/>
        <w:ind w:left="460" w:firstLine="20"/>
      </w:pPr>
      <w:r>
        <w:t>s nesprávným variabilním symbolem, nebojí poukáže na jiný bankovní účet dodavatele, než je uvedeno na faktuře, je dodavatel oprávněn platbu vrátit odběrateli jako neidentifikovatelnou a účtovat úrok z prodlení za opožděné placení od data splatnosti faktury až do obdržení správně poukázané platby.</w:t>
      </w:r>
    </w:p>
    <w:p w14:paraId="2CD9586F" w14:textId="77777777" w:rsidR="008B0DEB" w:rsidRDefault="00B65869">
      <w:pPr>
        <w:pStyle w:val="Style2"/>
        <w:numPr>
          <w:ilvl w:val="0"/>
          <w:numId w:val="7"/>
        </w:numPr>
        <w:shd w:val="clear" w:color="auto" w:fill="auto"/>
        <w:tabs>
          <w:tab w:val="left" w:pos="539"/>
        </w:tabs>
        <w:spacing w:line="257" w:lineRule="auto"/>
        <w:ind w:left="460" w:hanging="200"/>
      </w:pPr>
      <w:r>
        <w:t>Zaplacením plateb se rozumí připsání příslušné částky na bankovní účet dodavatele. Připadne-li den splatnosti faktury nebo zálohy na den pracovního volna nebo klidu, je dnem splatnosti nejbližší následující pracovní den.</w:t>
      </w:r>
    </w:p>
    <w:p w14:paraId="29225D03" w14:textId="77777777" w:rsidR="008B0DEB" w:rsidRDefault="00B65869">
      <w:pPr>
        <w:pStyle w:val="Style2"/>
        <w:numPr>
          <w:ilvl w:val="0"/>
          <w:numId w:val="7"/>
        </w:numPr>
        <w:shd w:val="clear" w:color="auto" w:fill="auto"/>
        <w:tabs>
          <w:tab w:val="left" w:pos="539"/>
        </w:tabs>
        <w:ind w:left="460" w:hanging="200"/>
      </w:pPr>
      <w:r>
        <w:t>V případě prodlení odběratele s úhradou jakékoliv částky vyplývající z uzavřeného burzovního obchodu (závěrkového listu), je odběratel povinen uhradit dodavateli úrok z prodlení ve výši 0,05 % z dlužné částky za každý den prodlení.</w:t>
      </w:r>
    </w:p>
    <w:p w14:paraId="265708E5" w14:textId="77777777" w:rsidR="008B0DEB" w:rsidRDefault="00B65869">
      <w:pPr>
        <w:pStyle w:val="Style2"/>
        <w:numPr>
          <w:ilvl w:val="0"/>
          <w:numId w:val="7"/>
        </w:numPr>
        <w:shd w:val="clear" w:color="auto" w:fill="auto"/>
        <w:tabs>
          <w:tab w:val="left" w:pos="539"/>
        </w:tabs>
        <w:spacing w:after="0" w:line="257" w:lineRule="auto"/>
        <w:ind w:left="460" w:hanging="200"/>
      </w:pPr>
      <w:r>
        <w:t xml:space="preserve">V případě, že je odběratel v prodlení s úhradou jakékoliv částky vyplývající z uzavřeného </w:t>
      </w:r>
      <w:r>
        <w:t>burzovního obchodu, má dodavatel právo zaslat odběrateli písemné výzvy či upomínky k placení. Odběratel je</w:t>
      </w:r>
    </w:p>
    <w:p w14:paraId="73FCF3A2" w14:textId="77777777" w:rsidR="008B0DEB" w:rsidRDefault="00B65869">
      <w:pPr>
        <w:pStyle w:val="Style2"/>
        <w:shd w:val="clear" w:color="auto" w:fill="auto"/>
        <w:spacing w:line="257" w:lineRule="auto"/>
        <w:ind w:left="460" w:firstLine="20"/>
      </w:pPr>
      <w:r>
        <w:t>v takovém případě povinen uhradit dodavateli náklady spojené se zasláním písemné výzvy či upomínky k placení.</w:t>
      </w:r>
    </w:p>
    <w:p w14:paraId="4A1B81C4" w14:textId="77777777" w:rsidR="008B0DEB" w:rsidRDefault="00B65869">
      <w:pPr>
        <w:pStyle w:val="Style2"/>
        <w:numPr>
          <w:ilvl w:val="0"/>
          <w:numId w:val="7"/>
        </w:numPr>
        <w:shd w:val="clear" w:color="auto" w:fill="auto"/>
        <w:tabs>
          <w:tab w:val="left" w:pos="630"/>
        </w:tabs>
        <w:spacing w:line="257" w:lineRule="auto"/>
        <w:ind w:left="460" w:hanging="200"/>
      </w:pPr>
      <w:r>
        <w:t>V případě prodlení dodavatele s úhradou jakékoliv částky vyplývající z uzavřeného burzovního obchodu (závěrkového listu), je dodavatel povinen uhradit odběrateli úrok z prodlení ve výši 0,05 % z dlužné částky za každý den prodlení.</w:t>
      </w:r>
    </w:p>
    <w:p w14:paraId="1C4E160B" w14:textId="77777777" w:rsidR="008B0DEB" w:rsidRDefault="00B65869">
      <w:pPr>
        <w:pStyle w:val="Style21"/>
        <w:keepNext/>
        <w:keepLines/>
        <w:shd w:val="clear" w:color="auto" w:fill="auto"/>
      </w:pPr>
      <w:bookmarkStart w:id="15" w:name="bookmark18"/>
      <w:bookmarkStart w:id="16" w:name="bookmark19"/>
      <w:bookmarkStart w:id="17" w:name="bookmark20"/>
      <w:r>
        <w:t>Reklamace</w:t>
      </w:r>
      <w:bookmarkEnd w:id="15"/>
      <w:bookmarkEnd w:id="16"/>
      <w:bookmarkEnd w:id="17"/>
    </w:p>
    <w:p w14:paraId="7AB075AA" w14:textId="77777777" w:rsidR="008B0DEB" w:rsidRDefault="00B65869">
      <w:pPr>
        <w:pStyle w:val="Style2"/>
        <w:numPr>
          <w:ilvl w:val="0"/>
          <w:numId w:val="9"/>
        </w:numPr>
        <w:shd w:val="clear" w:color="auto" w:fill="auto"/>
        <w:tabs>
          <w:tab w:val="left" w:pos="525"/>
        </w:tabs>
        <w:spacing w:line="254" w:lineRule="auto"/>
        <w:ind w:left="460" w:hanging="200"/>
      </w:pPr>
      <w:r>
        <w:t>Zjistí-li odběratel chyby nebo omyly při vyúčtování dodávky elektřiny dle uzavřeného burzovního obchodu (závěrkového listu), má právo příslušné vyúčtování (fakturu) u dodavatele reklamovat. Reklamace musí mít písemnou formu a její uplatnění nemá odkladný účinek na splatnost faktury, vyjma zcela zjevné chyby, nedohodne-li se odběratel a dodavatel jinak.</w:t>
      </w:r>
    </w:p>
    <w:p w14:paraId="5E9EFA82" w14:textId="2AD39E20" w:rsidR="008B0DEB" w:rsidRDefault="00B65869">
      <w:pPr>
        <w:pStyle w:val="Style2"/>
        <w:numPr>
          <w:ilvl w:val="0"/>
          <w:numId w:val="9"/>
        </w:numPr>
        <w:shd w:val="clear" w:color="auto" w:fill="auto"/>
        <w:tabs>
          <w:tab w:val="left" w:pos="296"/>
        </w:tabs>
        <w:spacing w:line="259" w:lineRule="auto"/>
        <w:ind w:left="300" w:hanging="300"/>
      </w:pPr>
      <w:r>
        <w:t xml:space="preserve">Dodavatel je povinen reklamaci přezkoumat a výsledek přezkoumání je povinen oznámit odběrateli ve lhůtách </w:t>
      </w:r>
      <w:r>
        <w:lastRenderedPageBreak/>
        <w:t>stanovených příslušnými právními předpis</w:t>
      </w:r>
      <w:r w:rsidR="00482AA6">
        <w:t>y</w:t>
      </w:r>
      <w:r>
        <w:t>.</w:t>
      </w:r>
    </w:p>
    <w:p w14:paraId="13FD41E5" w14:textId="77777777" w:rsidR="008B0DEB" w:rsidRDefault="00B65869">
      <w:pPr>
        <w:pStyle w:val="Style21"/>
        <w:keepNext/>
        <w:keepLines/>
        <w:shd w:val="clear" w:color="auto" w:fill="auto"/>
        <w:spacing w:line="254" w:lineRule="auto"/>
        <w:ind w:firstLine="0"/>
        <w:jc w:val="both"/>
      </w:pPr>
      <w:bookmarkStart w:id="18" w:name="bookmark21"/>
      <w:bookmarkStart w:id="19" w:name="bookmark22"/>
      <w:bookmarkStart w:id="20" w:name="bookmark23"/>
      <w:r>
        <w:t>Omezení a přerušení dodávky</w:t>
      </w:r>
      <w:bookmarkEnd w:id="18"/>
      <w:bookmarkEnd w:id="19"/>
      <w:bookmarkEnd w:id="20"/>
    </w:p>
    <w:p w14:paraId="75D59A8C" w14:textId="77777777" w:rsidR="008B0DEB" w:rsidRDefault="00B65869">
      <w:pPr>
        <w:pStyle w:val="Style2"/>
        <w:numPr>
          <w:ilvl w:val="0"/>
          <w:numId w:val="10"/>
        </w:numPr>
        <w:shd w:val="clear" w:color="auto" w:fill="auto"/>
        <w:tabs>
          <w:tab w:val="left" w:pos="277"/>
        </w:tabs>
        <w:ind w:left="300" w:hanging="300"/>
      </w:pPr>
      <w:r>
        <w:t xml:space="preserve">Dodavatel je oprávněn </w:t>
      </w:r>
      <w:r>
        <w:t>přerušit nebo omezit v nezbytném rozsahu dodávku elektřiny dle burzovního obchodu (závěrkového listu) v odběrném místě v případech neoprávněného odběru, který je definován příslušnými platnými právními předpisy.</w:t>
      </w:r>
    </w:p>
    <w:p w14:paraId="1E96DB15" w14:textId="77777777" w:rsidR="008B0DEB" w:rsidRDefault="00B65869">
      <w:pPr>
        <w:pStyle w:val="Style2"/>
        <w:numPr>
          <w:ilvl w:val="0"/>
          <w:numId w:val="10"/>
        </w:numPr>
        <w:shd w:val="clear" w:color="auto" w:fill="auto"/>
        <w:tabs>
          <w:tab w:val="left" w:pos="296"/>
        </w:tabs>
        <w:spacing w:line="257" w:lineRule="auto"/>
        <w:ind w:left="300" w:hanging="300"/>
      </w:pPr>
      <w:r>
        <w:t>Přerušení nebo omezení dodávky elektřiny z důvodu neoprávněného odběru bude provedeno provozovatelem distribuční soustavy na žádost dodavatele bezprostředně po zjištění neoprávněného odběru a bude provedeno na náklady odběratele.</w:t>
      </w:r>
    </w:p>
    <w:p w14:paraId="1C5F6F9A" w14:textId="77777777" w:rsidR="008B0DEB" w:rsidRDefault="00B65869">
      <w:pPr>
        <w:pStyle w:val="Style2"/>
        <w:numPr>
          <w:ilvl w:val="0"/>
          <w:numId w:val="10"/>
        </w:numPr>
        <w:shd w:val="clear" w:color="auto" w:fill="auto"/>
        <w:tabs>
          <w:tab w:val="left" w:pos="296"/>
        </w:tabs>
        <w:ind w:left="300" w:hanging="300"/>
      </w:pPr>
      <w:r>
        <w:t>Přerušením nebo omezením dodávky elektřiny v případech neoprávněného odběru nevzniká odběrateli právo na náhradu škody a ušlého zisku na dodavateli a na provozovateli distribuční soustavy.</w:t>
      </w:r>
    </w:p>
    <w:p w14:paraId="1449188D" w14:textId="77777777" w:rsidR="008B0DEB" w:rsidRDefault="00B65869">
      <w:pPr>
        <w:pStyle w:val="Style2"/>
        <w:numPr>
          <w:ilvl w:val="0"/>
          <w:numId w:val="10"/>
        </w:numPr>
        <w:shd w:val="clear" w:color="auto" w:fill="auto"/>
        <w:tabs>
          <w:tab w:val="left" w:pos="296"/>
        </w:tabs>
        <w:ind w:left="300" w:hanging="300"/>
      </w:pPr>
      <w:r>
        <w:t>Odběratel je povinen uhradit dodavateli náklady spojené s přerušením, obnovením nebo ukončením dodávky elektřiny z důvodu neoprávněného odběru.</w:t>
      </w:r>
    </w:p>
    <w:p w14:paraId="533F9623" w14:textId="77777777" w:rsidR="008B0DEB" w:rsidRDefault="00B65869">
      <w:pPr>
        <w:pStyle w:val="Style21"/>
        <w:keepNext/>
        <w:keepLines/>
        <w:shd w:val="clear" w:color="auto" w:fill="auto"/>
        <w:spacing w:line="254" w:lineRule="auto"/>
        <w:ind w:firstLine="0"/>
        <w:jc w:val="both"/>
      </w:pPr>
      <w:bookmarkStart w:id="21" w:name="bookmark24"/>
      <w:bookmarkStart w:id="22" w:name="bookmark25"/>
      <w:bookmarkStart w:id="23" w:name="bookmark26"/>
      <w:r>
        <w:t>Odstoupení od burzovního obchodu (závěrkového listu)</w:t>
      </w:r>
      <w:bookmarkEnd w:id="21"/>
      <w:bookmarkEnd w:id="22"/>
      <w:bookmarkEnd w:id="23"/>
    </w:p>
    <w:p w14:paraId="496FB067" w14:textId="77777777" w:rsidR="008B0DEB" w:rsidRDefault="00B65869">
      <w:pPr>
        <w:pStyle w:val="Style2"/>
        <w:numPr>
          <w:ilvl w:val="0"/>
          <w:numId w:val="11"/>
        </w:numPr>
        <w:shd w:val="clear" w:color="auto" w:fill="auto"/>
        <w:tabs>
          <w:tab w:val="left" w:pos="281"/>
        </w:tabs>
        <w:spacing w:after="0" w:line="257" w:lineRule="auto"/>
        <w:jc w:val="both"/>
      </w:pPr>
      <w:r>
        <w:t>Dodavatel je oprávněn odstoupit od burzovního obchodu (závěrkového listu) v případě:</w:t>
      </w:r>
    </w:p>
    <w:p w14:paraId="5CCF4AA4" w14:textId="77777777" w:rsidR="008B0DEB" w:rsidRDefault="00B65869">
      <w:pPr>
        <w:pStyle w:val="Style2"/>
        <w:numPr>
          <w:ilvl w:val="0"/>
          <w:numId w:val="12"/>
        </w:numPr>
        <w:shd w:val="clear" w:color="auto" w:fill="auto"/>
        <w:tabs>
          <w:tab w:val="left" w:pos="610"/>
        </w:tabs>
        <w:spacing w:after="0" w:line="257" w:lineRule="auto"/>
        <w:ind w:firstLine="300"/>
      </w:pPr>
      <w:r>
        <w:t>podstatného porušení povinností - podmínek burzovního obchodu (závěrkového listu) odběratelem,</w:t>
      </w:r>
    </w:p>
    <w:p w14:paraId="176F4CA6" w14:textId="77777777" w:rsidR="008B0DEB" w:rsidRDefault="00B65869">
      <w:pPr>
        <w:pStyle w:val="Style2"/>
        <w:numPr>
          <w:ilvl w:val="0"/>
          <w:numId w:val="12"/>
        </w:numPr>
        <w:shd w:val="clear" w:color="auto" w:fill="auto"/>
        <w:tabs>
          <w:tab w:val="left" w:pos="630"/>
        </w:tabs>
        <w:spacing w:after="0" w:line="257" w:lineRule="auto"/>
        <w:ind w:left="540" w:hanging="220"/>
        <w:jc w:val="both"/>
      </w:pPr>
      <w:r>
        <w:t xml:space="preserve">je-li déle </w:t>
      </w:r>
      <w:r>
        <w:t>než 30 kalendářních dní z důvodu nečinnosti nebo neplnění povinností odběratele přerušena dodávka elektřiny ze strany dodavatele nebo provozovatele distribuční soustavy z důvodu neoprávněného odběru elektřiny,</w:t>
      </w:r>
    </w:p>
    <w:p w14:paraId="23DC3254" w14:textId="77777777" w:rsidR="008B0DEB" w:rsidRDefault="00B65869">
      <w:pPr>
        <w:pStyle w:val="Style2"/>
        <w:numPr>
          <w:ilvl w:val="0"/>
          <w:numId w:val="12"/>
        </w:numPr>
        <w:shd w:val="clear" w:color="auto" w:fill="auto"/>
        <w:tabs>
          <w:tab w:val="left" w:pos="610"/>
        </w:tabs>
        <w:spacing w:line="257" w:lineRule="auto"/>
        <w:ind w:firstLine="300"/>
        <w:jc w:val="both"/>
      </w:pPr>
      <w:r>
        <w:t>je-li odběratel v úpadku neboje mu povoleno vyrovnání.</w:t>
      </w:r>
    </w:p>
    <w:p w14:paraId="518398EE" w14:textId="77777777" w:rsidR="008B0DEB" w:rsidRDefault="00B65869">
      <w:pPr>
        <w:pStyle w:val="Style2"/>
        <w:numPr>
          <w:ilvl w:val="0"/>
          <w:numId w:val="11"/>
        </w:numPr>
        <w:shd w:val="clear" w:color="auto" w:fill="auto"/>
        <w:tabs>
          <w:tab w:val="left" w:pos="296"/>
        </w:tabs>
        <w:spacing w:after="0"/>
        <w:ind w:left="300" w:hanging="300"/>
        <w:jc w:val="both"/>
      </w:pPr>
      <w:r>
        <w:t>Za podstatné porušení povinností - podmínek burzovního obchodu (závěrkového listu) odběratelem se považuje zejména:</w:t>
      </w:r>
    </w:p>
    <w:p w14:paraId="408EC930" w14:textId="77777777" w:rsidR="008B0DEB" w:rsidRDefault="00B65869">
      <w:pPr>
        <w:pStyle w:val="Style2"/>
        <w:numPr>
          <w:ilvl w:val="0"/>
          <w:numId w:val="13"/>
        </w:numPr>
        <w:shd w:val="clear" w:color="auto" w:fill="auto"/>
        <w:tabs>
          <w:tab w:val="left" w:pos="630"/>
        </w:tabs>
        <w:spacing w:after="0"/>
        <w:ind w:left="540" w:hanging="220"/>
      </w:pPr>
      <w:r>
        <w:t>je-li odběratel i přes doručení výzvy nebo upomínky k placení v prodlení se zaplacením peněžitého závazku vyplývajícího ze závěrkového listu trvajícího déle než 14 kalendářních dní, zejména v prodlení s placením záloh nebo faktur za dodávku elektřiny, smluvních pokut, vyúčtováním úroku z prodlení nebo škody, nákladů spojených s upomínáním, zahájením přerušení, přerušením, zajištěním obnovení nebo s ukončením dodávky elektřiny,</w:t>
      </w:r>
    </w:p>
    <w:p w14:paraId="40C91167" w14:textId="77777777" w:rsidR="008B0DEB" w:rsidRDefault="00B65869">
      <w:pPr>
        <w:pStyle w:val="Style2"/>
        <w:numPr>
          <w:ilvl w:val="0"/>
          <w:numId w:val="13"/>
        </w:numPr>
        <w:shd w:val="clear" w:color="auto" w:fill="auto"/>
        <w:tabs>
          <w:tab w:val="left" w:pos="630"/>
        </w:tabs>
        <w:ind w:left="540" w:hanging="220"/>
        <w:jc w:val="both"/>
      </w:pPr>
      <w:r>
        <w:t>poruší-li odběratel podstatně povinnosti - podmínky zvlášť specifikované burzovním obchodem (závěrkovým listem).</w:t>
      </w:r>
    </w:p>
    <w:p w14:paraId="7CAD6386" w14:textId="77777777" w:rsidR="008B0DEB" w:rsidRDefault="00B65869">
      <w:pPr>
        <w:pStyle w:val="Style2"/>
        <w:numPr>
          <w:ilvl w:val="0"/>
          <w:numId w:val="11"/>
        </w:numPr>
        <w:shd w:val="clear" w:color="auto" w:fill="auto"/>
        <w:tabs>
          <w:tab w:val="left" w:pos="296"/>
        </w:tabs>
        <w:spacing w:after="0" w:line="254" w:lineRule="auto"/>
        <w:jc w:val="both"/>
      </w:pPr>
      <w:r>
        <w:t>Odběratel je oprávněn odstoupit od burzovního obchodu (závěrkového listu) v případě:</w:t>
      </w:r>
    </w:p>
    <w:p w14:paraId="22CFF3FB" w14:textId="77777777" w:rsidR="008B0DEB" w:rsidRDefault="00B65869">
      <w:pPr>
        <w:pStyle w:val="Style2"/>
        <w:numPr>
          <w:ilvl w:val="0"/>
          <w:numId w:val="14"/>
        </w:numPr>
        <w:shd w:val="clear" w:color="auto" w:fill="auto"/>
        <w:tabs>
          <w:tab w:val="left" w:pos="605"/>
        </w:tabs>
        <w:spacing w:after="0" w:line="254" w:lineRule="auto"/>
        <w:ind w:firstLine="300"/>
        <w:jc w:val="both"/>
      </w:pPr>
      <w:r>
        <w:t>podstatného porušení povinností - podmínek burzovního obchodu (závěrkového listu) dodavatelem,</w:t>
      </w:r>
    </w:p>
    <w:p w14:paraId="1ECFB808" w14:textId="77777777" w:rsidR="008B0DEB" w:rsidRDefault="00B65869">
      <w:pPr>
        <w:pStyle w:val="Style2"/>
        <w:numPr>
          <w:ilvl w:val="0"/>
          <w:numId w:val="14"/>
        </w:numPr>
        <w:shd w:val="clear" w:color="auto" w:fill="auto"/>
        <w:tabs>
          <w:tab w:val="left" w:pos="605"/>
        </w:tabs>
        <w:spacing w:line="254" w:lineRule="auto"/>
        <w:ind w:firstLine="300"/>
        <w:jc w:val="both"/>
      </w:pPr>
      <w:r>
        <w:t>je-li dodavatel v úpadku nebo je mu povoleno vyrovnání.</w:t>
      </w:r>
    </w:p>
    <w:p w14:paraId="21D3C833" w14:textId="77777777" w:rsidR="008B0DEB" w:rsidRDefault="00B65869">
      <w:pPr>
        <w:pStyle w:val="Style2"/>
        <w:numPr>
          <w:ilvl w:val="0"/>
          <w:numId w:val="11"/>
        </w:numPr>
        <w:shd w:val="clear" w:color="auto" w:fill="auto"/>
        <w:tabs>
          <w:tab w:val="left" w:pos="296"/>
        </w:tabs>
        <w:spacing w:after="0" w:line="259" w:lineRule="auto"/>
        <w:ind w:left="300" w:hanging="300"/>
        <w:jc w:val="both"/>
      </w:pPr>
      <w:r>
        <w:t>Za podstatné porušení povinností - podmínek burzovního obchodu (závěrkového listu) dodavatelem se považuje zejména:</w:t>
      </w:r>
    </w:p>
    <w:p w14:paraId="54B41655" w14:textId="77777777" w:rsidR="008B0DEB" w:rsidRDefault="00B65869">
      <w:pPr>
        <w:pStyle w:val="Style2"/>
        <w:numPr>
          <w:ilvl w:val="0"/>
          <w:numId w:val="15"/>
        </w:numPr>
        <w:shd w:val="clear" w:color="auto" w:fill="auto"/>
        <w:tabs>
          <w:tab w:val="left" w:pos="610"/>
        </w:tabs>
        <w:spacing w:after="0" w:line="259" w:lineRule="auto"/>
        <w:ind w:firstLine="300"/>
        <w:jc w:val="both"/>
      </w:pPr>
      <w:r>
        <w:t>bezdůvodné přerušení, omezení nebo ukončení dodávky elektřiny dodavatelem,</w:t>
      </w:r>
    </w:p>
    <w:p w14:paraId="1BC99180" w14:textId="77777777" w:rsidR="008B0DEB" w:rsidRDefault="00B65869">
      <w:pPr>
        <w:pStyle w:val="Style2"/>
        <w:numPr>
          <w:ilvl w:val="0"/>
          <w:numId w:val="15"/>
        </w:numPr>
        <w:shd w:val="clear" w:color="auto" w:fill="auto"/>
        <w:tabs>
          <w:tab w:val="left" w:pos="610"/>
        </w:tabs>
        <w:spacing w:after="0" w:line="259" w:lineRule="auto"/>
        <w:ind w:firstLine="300"/>
        <w:jc w:val="both"/>
      </w:pPr>
      <w:r>
        <w:t>bezdůvodné nezajištění dopravy elektřiny a souvisejících služeb ze strany dodavatele,</w:t>
      </w:r>
    </w:p>
    <w:p w14:paraId="1EDF8E14" w14:textId="77777777" w:rsidR="008B0DEB" w:rsidRDefault="00B65869">
      <w:pPr>
        <w:pStyle w:val="Style2"/>
        <w:numPr>
          <w:ilvl w:val="0"/>
          <w:numId w:val="15"/>
        </w:numPr>
        <w:shd w:val="clear" w:color="auto" w:fill="auto"/>
        <w:tabs>
          <w:tab w:val="left" w:pos="630"/>
        </w:tabs>
        <w:spacing w:after="0" w:line="259" w:lineRule="auto"/>
        <w:ind w:left="540" w:hanging="220"/>
      </w:pPr>
      <w:r>
        <w:t>je-li dodavatel i přes doručení výzvy nebo upomínky k placení v prodlení se zaplacením peněžitého závazku vyplývajícího ze závěrkového listu trvajícího déle než 14 kalendářních dnů,</w:t>
      </w:r>
    </w:p>
    <w:p w14:paraId="015A600C" w14:textId="77777777" w:rsidR="008B0DEB" w:rsidRDefault="00B65869">
      <w:pPr>
        <w:pStyle w:val="Style2"/>
        <w:numPr>
          <w:ilvl w:val="0"/>
          <w:numId w:val="15"/>
        </w:numPr>
        <w:shd w:val="clear" w:color="auto" w:fill="auto"/>
        <w:tabs>
          <w:tab w:val="left" w:pos="630"/>
        </w:tabs>
        <w:spacing w:line="259" w:lineRule="auto"/>
        <w:ind w:left="540" w:hanging="220"/>
      </w:pPr>
      <w:r>
        <w:t>poruší-li dodavatel podstatně povinnosti - podmínky zvlášť specifikované burzovním obchodem (závěrkovým listem).</w:t>
      </w:r>
    </w:p>
    <w:p w14:paraId="03236A7B" w14:textId="77777777" w:rsidR="008B0DEB" w:rsidRDefault="00B65869">
      <w:pPr>
        <w:pStyle w:val="Style2"/>
        <w:numPr>
          <w:ilvl w:val="0"/>
          <w:numId w:val="11"/>
        </w:numPr>
        <w:shd w:val="clear" w:color="auto" w:fill="auto"/>
        <w:tabs>
          <w:tab w:val="left" w:pos="296"/>
        </w:tabs>
        <w:spacing w:after="0" w:line="254" w:lineRule="auto"/>
        <w:ind w:left="300" w:hanging="300"/>
      </w:pPr>
      <w:r>
        <w:t xml:space="preserve">Odstoupení od burzovního obchodu </w:t>
      </w:r>
      <w:r>
        <w:t>(závěrkového listu) musí být provedeno písemně a je účinné dnem doručení písemného oznámení o odstoupení druhé smluvní straně, nebo pozdějším dnem, který je</w:t>
      </w:r>
    </w:p>
    <w:p w14:paraId="00B8940E" w14:textId="77777777" w:rsidR="008B0DEB" w:rsidRDefault="00B65869">
      <w:pPr>
        <w:pStyle w:val="Style2"/>
        <w:shd w:val="clear" w:color="auto" w:fill="auto"/>
        <w:spacing w:line="254" w:lineRule="auto"/>
        <w:ind w:left="300" w:firstLine="20"/>
      </w:pPr>
      <w:r>
        <w:t>v oznámení o odstoupení odstupující smluvní stranou stanoven. Odstupující smluvní strana je povinna oznámit odstoupení od burzovního obchodu (závěrkového listu) příslušnému provozovateli distribuční soustavy.</w:t>
      </w:r>
    </w:p>
    <w:p w14:paraId="441491DF" w14:textId="77777777" w:rsidR="008B0DEB" w:rsidRDefault="00B65869">
      <w:pPr>
        <w:pStyle w:val="Style21"/>
        <w:keepNext/>
        <w:keepLines/>
        <w:shd w:val="clear" w:color="auto" w:fill="auto"/>
        <w:ind w:firstLine="300"/>
        <w:jc w:val="both"/>
      </w:pPr>
      <w:bookmarkStart w:id="24" w:name="bookmark27"/>
      <w:bookmarkStart w:id="25" w:name="bookmark28"/>
      <w:bookmarkStart w:id="26" w:name="bookmark29"/>
      <w:r>
        <w:t>Komunikace a doručování</w:t>
      </w:r>
      <w:bookmarkEnd w:id="24"/>
      <w:bookmarkEnd w:id="25"/>
      <w:bookmarkEnd w:id="26"/>
    </w:p>
    <w:p w14:paraId="642CECB9" w14:textId="77777777" w:rsidR="008B0DEB" w:rsidRDefault="00B65869">
      <w:pPr>
        <w:pStyle w:val="Style2"/>
        <w:numPr>
          <w:ilvl w:val="0"/>
          <w:numId w:val="16"/>
        </w:numPr>
        <w:shd w:val="clear" w:color="auto" w:fill="auto"/>
        <w:tabs>
          <w:tab w:val="left" w:pos="600"/>
        </w:tabs>
        <w:spacing w:line="240" w:lineRule="auto"/>
        <w:ind w:left="520" w:hanging="200"/>
      </w:pPr>
      <w:r>
        <w:t>Korespondence, oznámení či jiné sdělení učiněné mezi smluvními stranami na základě uzavřeného burzovního obchodu (závěrkového listu) musí mít písemnou podobu a musí být v českém jazyce (dále „písemnost“).</w:t>
      </w:r>
    </w:p>
    <w:p w14:paraId="2A82733D" w14:textId="77777777" w:rsidR="008B0DEB" w:rsidRDefault="00B65869">
      <w:pPr>
        <w:pStyle w:val="Style2"/>
        <w:numPr>
          <w:ilvl w:val="0"/>
          <w:numId w:val="16"/>
        </w:numPr>
        <w:shd w:val="clear" w:color="auto" w:fill="auto"/>
        <w:tabs>
          <w:tab w:val="left" w:pos="595"/>
        </w:tabs>
        <w:spacing w:after="0" w:line="259" w:lineRule="auto"/>
        <w:ind w:firstLine="300"/>
        <w:jc w:val="both"/>
      </w:pPr>
      <w:r>
        <w:t>Písemnosti se považují za doručené:</w:t>
      </w:r>
    </w:p>
    <w:p w14:paraId="698BB291" w14:textId="77777777" w:rsidR="008B0DEB" w:rsidRDefault="00B65869">
      <w:pPr>
        <w:pStyle w:val="Style2"/>
        <w:numPr>
          <w:ilvl w:val="0"/>
          <w:numId w:val="17"/>
        </w:numPr>
        <w:shd w:val="clear" w:color="auto" w:fill="auto"/>
        <w:tabs>
          <w:tab w:val="left" w:pos="829"/>
        </w:tabs>
        <w:spacing w:after="0" w:line="259" w:lineRule="auto"/>
        <w:ind w:firstLine="520"/>
      </w:pPr>
      <w:r>
        <w:t>osobním doručením a předáním kontaktní osobě smluvní strany, která je adresátem,</w:t>
      </w:r>
    </w:p>
    <w:p w14:paraId="2F4E427D" w14:textId="77777777" w:rsidR="008B0DEB" w:rsidRDefault="00B65869">
      <w:pPr>
        <w:pStyle w:val="Style2"/>
        <w:numPr>
          <w:ilvl w:val="0"/>
          <w:numId w:val="17"/>
        </w:numPr>
        <w:shd w:val="clear" w:color="auto" w:fill="auto"/>
        <w:tabs>
          <w:tab w:val="left" w:pos="849"/>
        </w:tabs>
        <w:spacing w:after="0" w:line="259" w:lineRule="auto"/>
        <w:ind w:left="740" w:hanging="200"/>
      </w:pPr>
      <w:r>
        <w:t xml:space="preserve">pátým kalendářním dnem ode dne odeslání doporučeného dopisu na kontaktní adresu smluvní strany, která je </w:t>
      </w:r>
      <w:r>
        <w:lastRenderedPageBreak/>
        <w:t>adresátem, nebo dřívějším dnem doručení,</w:t>
      </w:r>
    </w:p>
    <w:p w14:paraId="685978C5" w14:textId="77777777" w:rsidR="008B0DEB" w:rsidRDefault="00B65869">
      <w:pPr>
        <w:pStyle w:val="Style2"/>
        <w:numPr>
          <w:ilvl w:val="0"/>
          <w:numId w:val="17"/>
        </w:numPr>
        <w:shd w:val="clear" w:color="auto" w:fill="auto"/>
        <w:tabs>
          <w:tab w:val="left" w:pos="849"/>
        </w:tabs>
        <w:spacing w:line="259" w:lineRule="auto"/>
        <w:ind w:left="740" w:hanging="200"/>
      </w:pPr>
      <w:r>
        <w:t>zpětným potvrzením faxové nebo elektronické zprávy, která byla odeslána na kontaktní faxové číslo nebo e-mailovou adresu smluvní strany, která je adresátem.</w:t>
      </w:r>
    </w:p>
    <w:p w14:paraId="4B7B02B8" w14:textId="77777777" w:rsidR="008B0DEB" w:rsidRDefault="00B65869">
      <w:pPr>
        <w:pStyle w:val="Style2"/>
        <w:numPr>
          <w:ilvl w:val="0"/>
          <w:numId w:val="16"/>
        </w:numPr>
        <w:shd w:val="clear" w:color="auto" w:fill="auto"/>
        <w:tabs>
          <w:tab w:val="left" w:pos="615"/>
        </w:tabs>
        <w:ind w:left="520" w:hanging="200"/>
      </w:pPr>
      <w:r>
        <w:t>Smluvní strany jsou povinny oznámit druhé smluvní straně jakékoliv změny v kontaktních údajích pro doručování písemností. Za doručené budou považovány i písemnosti, které se vrátí odesílající smluvní straně jako nedoručené v důsledku neoznámení nových kontaktních údajů stranou, která je adresátem.</w:t>
      </w:r>
    </w:p>
    <w:p w14:paraId="49242EED" w14:textId="77777777" w:rsidR="008B0DEB" w:rsidRDefault="00B65869">
      <w:pPr>
        <w:pStyle w:val="Style21"/>
        <w:keepNext/>
        <w:keepLines/>
        <w:shd w:val="clear" w:color="auto" w:fill="auto"/>
        <w:ind w:firstLine="300"/>
      </w:pPr>
      <w:bookmarkStart w:id="27" w:name="bookmark30"/>
      <w:bookmarkStart w:id="28" w:name="bookmark31"/>
      <w:bookmarkStart w:id="29" w:name="bookmark32"/>
      <w:r>
        <w:rPr>
          <w:u w:val="none"/>
        </w:rPr>
        <w:t>Kontaktní údaje:</w:t>
      </w:r>
      <w:bookmarkEnd w:id="27"/>
      <w:bookmarkEnd w:id="28"/>
      <w:bookmarkEnd w:id="29"/>
    </w:p>
    <w:p w14:paraId="0C290B06" w14:textId="62E9A0C6" w:rsidR="008B0DEB" w:rsidRDefault="00B65869">
      <w:pPr>
        <w:pStyle w:val="Style2"/>
        <w:shd w:val="clear" w:color="auto" w:fill="auto"/>
        <w:ind w:firstLine="300"/>
        <w:jc w:val="both"/>
      </w:pPr>
      <w:r>
        <w:t xml:space="preserve">Dodavatel: </w:t>
      </w:r>
      <w:r w:rsidR="00482AA6">
        <w:t>XXXXXXXXXXXXXXXXXXXXXXXXXXXXXXXXXXXXX</w:t>
      </w:r>
    </w:p>
    <w:p w14:paraId="1D989F40" w14:textId="1D22E51C" w:rsidR="008B0DEB" w:rsidRDefault="00B65869">
      <w:pPr>
        <w:pStyle w:val="Style2"/>
        <w:shd w:val="clear" w:color="auto" w:fill="auto"/>
        <w:ind w:firstLine="300"/>
        <w:jc w:val="both"/>
      </w:pPr>
      <w:r>
        <w:t xml:space="preserve">Odběratel: </w:t>
      </w:r>
      <w:r w:rsidR="00482AA6">
        <w:t>XXXXXXXXXXXXXXXXXXXXXXXXXXXXXXXX</w:t>
      </w:r>
    </w:p>
    <w:p w14:paraId="03222B54" w14:textId="77777777" w:rsidR="008B0DEB" w:rsidRDefault="00B65869">
      <w:pPr>
        <w:pStyle w:val="Style21"/>
        <w:keepNext/>
        <w:keepLines/>
        <w:shd w:val="clear" w:color="auto" w:fill="auto"/>
        <w:ind w:firstLine="300"/>
        <w:jc w:val="both"/>
      </w:pPr>
      <w:bookmarkStart w:id="30" w:name="bookmark33"/>
      <w:bookmarkStart w:id="31" w:name="bookmark34"/>
      <w:bookmarkStart w:id="32" w:name="bookmark35"/>
      <w:r>
        <w:rPr>
          <w:u w:val="none"/>
        </w:rPr>
        <w:t>Kontaktní údaje pro zasílání pokynů k fixačnímu kroku:</w:t>
      </w:r>
      <w:bookmarkEnd w:id="30"/>
      <w:bookmarkEnd w:id="31"/>
      <w:bookmarkEnd w:id="32"/>
    </w:p>
    <w:p w14:paraId="50E4D728" w14:textId="6E274F72" w:rsidR="008B0DEB" w:rsidRDefault="00B65869">
      <w:pPr>
        <w:pStyle w:val="Style2"/>
        <w:shd w:val="clear" w:color="auto" w:fill="auto"/>
        <w:spacing w:after="0" w:line="240" w:lineRule="auto"/>
        <w:ind w:firstLine="300"/>
        <w:jc w:val="both"/>
      </w:pPr>
      <w:r>
        <w:t xml:space="preserve">Dodavatel: </w:t>
      </w:r>
      <w:r w:rsidR="00482AA6">
        <w:t>XXXXXXXXXXXXXXXXX</w:t>
      </w:r>
    </w:p>
    <w:p w14:paraId="761F08B9" w14:textId="137455E7" w:rsidR="008B0DEB" w:rsidRDefault="00482AA6">
      <w:pPr>
        <w:pStyle w:val="Style2"/>
        <w:shd w:val="clear" w:color="auto" w:fill="auto"/>
        <w:spacing w:line="240" w:lineRule="auto"/>
        <w:ind w:left="1300"/>
      </w:pPr>
      <w:r>
        <w:t>XXXXXXXXXXXXXXXXXXXXXXXXXXXXXXXXXXXXXXXXXXXXXXXXXXXXXXXXXXXXXXXXXXXXXXXXXXXXXXXXXX</w:t>
      </w:r>
    </w:p>
    <w:p w14:paraId="1F9EA755" w14:textId="6C7748F3" w:rsidR="008B0DEB" w:rsidRDefault="00B65869">
      <w:pPr>
        <w:pStyle w:val="Style2"/>
        <w:shd w:val="clear" w:color="auto" w:fill="auto"/>
        <w:spacing w:line="259" w:lineRule="auto"/>
        <w:ind w:left="1300" w:hanging="980"/>
      </w:pPr>
      <w:r>
        <w:t xml:space="preserve">Odběratel: </w:t>
      </w:r>
      <w:r w:rsidR="00482AA6">
        <w:t>XXXXXXXXXXXXXXXXXXXXXXXXXXXXXXXXXXXXXXXXXXXXXXXXXXXXXXXXXXXXXXXXXXXXXXXXXXXXXXXXXXX</w:t>
      </w:r>
    </w:p>
    <w:p w14:paraId="248620C0" w14:textId="77777777" w:rsidR="008B0DEB" w:rsidRDefault="00B65869">
      <w:pPr>
        <w:pStyle w:val="Style21"/>
        <w:keepNext/>
        <w:keepLines/>
        <w:shd w:val="clear" w:color="auto" w:fill="auto"/>
        <w:ind w:firstLine="300"/>
        <w:jc w:val="both"/>
      </w:pPr>
      <w:bookmarkStart w:id="33" w:name="bookmark36"/>
      <w:bookmarkStart w:id="34" w:name="bookmark37"/>
      <w:bookmarkStart w:id="35" w:name="bookmark38"/>
      <w:r>
        <w:t>Mlčenlivost</w:t>
      </w:r>
      <w:bookmarkEnd w:id="33"/>
      <w:bookmarkEnd w:id="34"/>
      <w:bookmarkEnd w:id="35"/>
    </w:p>
    <w:p w14:paraId="48A33A6B" w14:textId="77777777" w:rsidR="008B0DEB" w:rsidRDefault="00B65869">
      <w:pPr>
        <w:pStyle w:val="Style2"/>
        <w:numPr>
          <w:ilvl w:val="0"/>
          <w:numId w:val="18"/>
        </w:numPr>
        <w:shd w:val="clear" w:color="auto" w:fill="auto"/>
        <w:tabs>
          <w:tab w:val="left" w:pos="605"/>
        </w:tabs>
        <w:spacing w:line="254" w:lineRule="auto"/>
        <w:ind w:left="520" w:hanging="200"/>
      </w:pPr>
      <w:r>
        <w:t xml:space="preserve">Dodavatel a odběratel se zavazují, že neposkytnou závěrkový list jako celek ani jeho část (která není veřejně známa) a </w:t>
      </w:r>
      <w:r>
        <w:t>neveřejné informace z něho plynoucí třetí osobě bez předchozího písemného souhlasu druhé smluvní strany, kromě případů, kdy jim zveřejnění nebo poskytnutí třetí osobě určuje příslušný právní předpis.</w:t>
      </w:r>
    </w:p>
    <w:p w14:paraId="3904FE74" w14:textId="77777777" w:rsidR="008B0DEB" w:rsidRDefault="00B65869">
      <w:pPr>
        <w:pStyle w:val="Style2"/>
        <w:numPr>
          <w:ilvl w:val="0"/>
          <w:numId w:val="18"/>
        </w:numPr>
        <w:shd w:val="clear" w:color="auto" w:fill="auto"/>
        <w:tabs>
          <w:tab w:val="left" w:pos="615"/>
        </w:tabs>
        <w:ind w:left="520" w:hanging="200"/>
      </w:pPr>
      <w:r>
        <w:t>Dodavatel a odběratel se zavazují přijmout technická a organizační vnitřní opatření k ochraně neveřejných informací, zejména důvěrných informací a osobních údajů.</w:t>
      </w:r>
    </w:p>
    <w:p w14:paraId="0FA26AFB" w14:textId="77777777" w:rsidR="008B0DEB" w:rsidRDefault="00B65869">
      <w:pPr>
        <w:pStyle w:val="Style21"/>
        <w:keepNext/>
        <w:keepLines/>
        <w:shd w:val="clear" w:color="auto" w:fill="auto"/>
        <w:ind w:firstLine="300"/>
        <w:jc w:val="both"/>
      </w:pPr>
      <w:bookmarkStart w:id="36" w:name="bookmark39"/>
      <w:bookmarkStart w:id="37" w:name="bookmark40"/>
      <w:bookmarkStart w:id="38" w:name="bookmark41"/>
      <w:r>
        <w:t>Předcházení škodám</w:t>
      </w:r>
      <w:bookmarkEnd w:id="36"/>
      <w:bookmarkEnd w:id="37"/>
      <w:bookmarkEnd w:id="38"/>
    </w:p>
    <w:p w14:paraId="64EED38E" w14:textId="77777777" w:rsidR="008B0DEB" w:rsidRDefault="00B65869">
      <w:pPr>
        <w:pStyle w:val="Style2"/>
        <w:numPr>
          <w:ilvl w:val="0"/>
          <w:numId w:val="19"/>
        </w:numPr>
        <w:shd w:val="clear" w:color="auto" w:fill="auto"/>
        <w:tabs>
          <w:tab w:val="left" w:pos="600"/>
        </w:tabs>
        <w:spacing w:line="259" w:lineRule="auto"/>
        <w:ind w:left="520" w:hanging="200"/>
      </w:pPr>
      <w:r>
        <w:t xml:space="preserve">Dodavatel a odběratel jsou povinni navzájem se informovat o všech skutečnostech, kterých jsou si vědomi, a které by mohly vést </w:t>
      </w:r>
      <w:r>
        <w:t>ke škodám, a jsou povinni usilovat o odvrácení hrozících škod.</w:t>
      </w:r>
    </w:p>
    <w:p w14:paraId="3936ED84" w14:textId="77777777" w:rsidR="008B0DEB" w:rsidRDefault="00B65869">
      <w:pPr>
        <w:pStyle w:val="Style2"/>
        <w:numPr>
          <w:ilvl w:val="0"/>
          <w:numId w:val="19"/>
        </w:numPr>
        <w:shd w:val="clear" w:color="auto" w:fill="auto"/>
        <w:tabs>
          <w:tab w:val="left" w:pos="615"/>
        </w:tabs>
        <w:spacing w:after="0"/>
        <w:ind w:left="520" w:hanging="200"/>
      </w:pPr>
      <w:r>
        <w:t xml:space="preserve">Dodavatel a odběratel se zprostí povinnosti k náhradě škody za podmínek dle </w:t>
      </w:r>
      <w:proofErr w:type="spellStart"/>
      <w:r>
        <w:t>ust</w:t>
      </w:r>
      <w:proofErr w:type="spellEnd"/>
      <w:r>
        <w:t>. § 2913 zákona č. 89/2012 Sb., občanský zákoník v platném znění, nebo za podmínek vyplývajících ze zákona</w:t>
      </w:r>
    </w:p>
    <w:p w14:paraId="0B42AF42" w14:textId="77777777" w:rsidR="008B0DEB" w:rsidRDefault="00B65869">
      <w:pPr>
        <w:pStyle w:val="Style2"/>
        <w:shd w:val="clear" w:color="auto" w:fill="auto"/>
        <w:ind w:left="520" w:firstLine="20"/>
      </w:pPr>
      <w:r>
        <w:t>č. 458/2000 Sb., o podmínkách podnikání a o výkonu státní správy v energetických odvětvích v platném znění.</w:t>
      </w:r>
    </w:p>
    <w:p w14:paraId="184A2356" w14:textId="77777777" w:rsidR="008B0DEB" w:rsidRDefault="00B65869">
      <w:pPr>
        <w:pStyle w:val="Style21"/>
        <w:keepNext/>
        <w:keepLines/>
        <w:shd w:val="clear" w:color="auto" w:fill="auto"/>
        <w:ind w:firstLine="300"/>
      </w:pPr>
      <w:bookmarkStart w:id="39" w:name="bookmark42"/>
      <w:bookmarkStart w:id="40" w:name="bookmark43"/>
      <w:bookmarkStart w:id="41" w:name="bookmark44"/>
      <w:r>
        <w:t>Ostatní ujednání</w:t>
      </w:r>
      <w:bookmarkEnd w:id="39"/>
      <w:bookmarkEnd w:id="40"/>
      <w:bookmarkEnd w:id="41"/>
    </w:p>
    <w:p w14:paraId="6F3A6219" w14:textId="77777777" w:rsidR="008B0DEB" w:rsidRDefault="00B65869">
      <w:pPr>
        <w:pStyle w:val="Style2"/>
        <w:numPr>
          <w:ilvl w:val="0"/>
          <w:numId w:val="20"/>
        </w:numPr>
        <w:shd w:val="clear" w:color="auto" w:fill="auto"/>
        <w:tabs>
          <w:tab w:val="left" w:pos="605"/>
        </w:tabs>
        <w:ind w:left="520" w:hanging="200"/>
        <w:sectPr w:rsidR="008B0DEB">
          <w:headerReference w:type="default" r:id="rId11"/>
          <w:footerReference w:type="default" r:id="rId12"/>
          <w:headerReference w:type="first" r:id="rId13"/>
          <w:footerReference w:type="first" r:id="rId14"/>
          <w:pgSz w:w="11933" w:h="16853"/>
          <w:pgMar w:top="1438" w:right="551" w:bottom="1380" w:left="1253" w:header="0" w:footer="3" w:gutter="0"/>
          <w:cols w:space="720"/>
          <w:noEndnote/>
          <w:titlePg/>
          <w:docGrid w:linePitch="360"/>
        </w:sectPr>
      </w:pPr>
      <w:r>
        <w:t>Závěrkový list je Smlouvou o sdružených službách dodávky elektřiny mezi držitelem licence na obchod s elektřinou (dodavatelem) a zákazníkem (odběratelem), uzavřenou podle zákona č. 89/2012 Sb., občanský zákoník v platném znění, zákona č. 458/2000 Sb., o podmínkách podnikání a o výkonu státní správy v energetických odvětvích v platném znění (Energetický zákon) a příslušných souvisejících právních předpisů.</w:t>
      </w:r>
    </w:p>
    <w:p w14:paraId="2DD23A57" w14:textId="77777777" w:rsidR="008B0DEB" w:rsidRDefault="00B65869">
      <w:pPr>
        <w:pStyle w:val="Style23"/>
        <w:shd w:val="clear" w:color="auto" w:fill="auto"/>
        <w:spacing w:after="220" w:line="254" w:lineRule="auto"/>
        <w:ind w:left="0"/>
        <w:jc w:val="center"/>
      </w:pPr>
      <w:r>
        <w:rPr>
          <w:b/>
          <w:bCs/>
          <w:sz w:val="10"/>
          <w:szCs w:val="10"/>
        </w:rPr>
        <w:lastRenderedPageBreak/>
        <w:t>ČESKOMORAVSKÁ</w:t>
      </w:r>
      <w:r>
        <w:rPr>
          <w:b/>
          <w:bCs/>
          <w:sz w:val="10"/>
          <w:szCs w:val="10"/>
        </w:rPr>
        <w:br/>
      </w:r>
      <w:r>
        <w:rPr>
          <w:smallCaps/>
        </w:rPr>
        <w:t>komoditní</w:t>
      </w:r>
      <w:r>
        <w:rPr>
          <w:smallCaps/>
        </w:rPr>
        <w:t xml:space="preserve"> burza </w:t>
      </w:r>
      <w:proofErr w:type="spellStart"/>
      <w:r>
        <w:rPr>
          <w:smallCaps/>
        </w:rPr>
        <w:t>kladno</w:t>
      </w:r>
      <w:proofErr w:type="spellEnd"/>
    </w:p>
    <w:p w14:paraId="7514ECC0" w14:textId="519671D0" w:rsidR="008B0DEB" w:rsidRDefault="00B65869">
      <w:pPr>
        <w:pStyle w:val="Style2"/>
        <w:numPr>
          <w:ilvl w:val="0"/>
          <w:numId w:val="20"/>
        </w:numPr>
        <w:shd w:val="clear" w:color="auto" w:fill="auto"/>
        <w:tabs>
          <w:tab w:val="left" w:pos="274"/>
        </w:tabs>
        <w:ind w:left="340" w:hanging="340"/>
      </w:pPr>
      <w:r>
        <w:t>Dodavatel a odběratel jsou povinni postupovat při plnění podmínek burzovního obchodu (závěrkov</w:t>
      </w:r>
      <w:r w:rsidR="00AF1CD0">
        <w:t>é</w:t>
      </w:r>
      <w:r>
        <w:t>ho listu) v souladu s podmínkami příslušného burzovního obchodu (závěrkového listu), platnými pravidly provozování distribuční soustavy místně příslušného provozovatele distribuční soustavy, příslušnými právními předpisy a technickými normami.</w:t>
      </w:r>
    </w:p>
    <w:p w14:paraId="3ECB7717" w14:textId="77777777" w:rsidR="008B0DEB" w:rsidRDefault="00B65869">
      <w:pPr>
        <w:pStyle w:val="Style2"/>
        <w:numPr>
          <w:ilvl w:val="0"/>
          <w:numId w:val="20"/>
        </w:numPr>
        <w:shd w:val="clear" w:color="auto" w:fill="auto"/>
        <w:tabs>
          <w:tab w:val="left" w:pos="274"/>
        </w:tabs>
        <w:ind w:left="340" w:hanging="340"/>
      </w:pPr>
      <w:r>
        <w:t>Odběratel je oprávněn ukončit odběr elektřiny v odběrném místě v případě, kdy dodavateli doloží, že ukončuje odběr elektřiny z důvodu změny převodu vlastnických práv k odběrnému místu nebo z důvodu fyzické likvidace odběrného místa (živelní pohroma, demolice). V takovém případě je dodavatel povinen ukončit dodávku elektřiny do odběrného místa nejpozději do 30 kalendářních dnů ode dne oznámení odběratele o ukončení odběru elektřiny z výše uvedených důvodů.</w:t>
      </w:r>
    </w:p>
    <w:p w14:paraId="1EA47238" w14:textId="77777777" w:rsidR="008B0DEB" w:rsidRDefault="00B65869">
      <w:pPr>
        <w:pStyle w:val="Style2"/>
        <w:numPr>
          <w:ilvl w:val="0"/>
          <w:numId w:val="20"/>
        </w:numPr>
        <w:shd w:val="clear" w:color="auto" w:fill="auto"/>
        <w:tabs>
          <w:tab w:val="left" w:pos="284"/>
        </w:tabs>
        <w:ind w:left="340" w:hanging="340"/>
      </w:pPr>
      <w:r>
        <w:t>Dodavatel a odběratel jsou se souhlasem burzy oprávněni ukončit plnění burzovního obchodu (závěrkového listu) rovněž vzájemnou písemnou dohodou.</w:t>
      </w:r>
    </w:p>
    <w:p w14:paraId="25BE7F0D" w14:textId="77777777" w:rsidR="008B0DEB" w:rsidRDefault="00B65869">
      <w:pPr>
        <w:pStyle w:val="Style2"/>
        <w:numPr>
          <w:ilvl w:val="0"/>
          <w:numId w:val="20"/>
        </w:numPr>
        <w:shd w:val="clear" w:color="auto" w:fill="auto"/>
        <w:tabs>
          <w:tab w:val="left" w:pos="284"/>
        </w:tabs>
        <w:ind w:left="340" w:hanging="340"/>
      </w:pPr>
      <w:r>
        <w:t>Uzavřením burzovního obchodu (závěrkového listu) se ke dni zahájení sjednané dodávky elektřiny do odběrného místa ruší všechny smluvní vztahy související s dodávkou elektřiny do tohoto odběrného místa, které byly uzavřeny mezi dodavatelem a odběratelem nebo jejich právními předchůdci před uzavřením burzovního obchodu.</w:t>
      </w:r>
    </w:p>
    <w:p w14:paraId="181CCBC0" w14:textId="77777777" w:rsidR="008B0DEB" w:rsidRDefault="00B65869">
      <w:pPr>
        <w:pStyle w:val="Style2"/>
        <w:numPr>
          <w:ilvl w:val="0"/>
          <w:numId w:val="20"/>
        </w:numPr>
        <w:shd w:val="clear" w:color="auto" w:fill="auto"/>
        <w:tabs>
          <w:tab w:val="left" w:pos="284"/>
        </w:tabs>
        <w:spacing w:line="254" w:lineRule="auto"/>
        <w:ind w:left="340" w:hanging="340"/>
      </w:pPr>
      <w:r>
        <w:t>Pokud by se jakékoliv ustanovení závěrkového listu dostalo do rozporu s platným právním řádem České republiky či mezinárodní smlouvou, kterou je Česká republika vázána, bude takovéto ustanovení automaticky považováno za neplatné a bude postupováno dle aktuální právní úpravy. Tato skutečnost nemá vliv na platnost a účinnost ostatních ustanovení závěrkového listu.</w:t>
      </w:r>
    </w:p>
    <w:p w14:paraId="23C136CE" w14:textId="77777777" w:rsidR="008B0DEB" w:rsidRDefault="00B65869">
      <w:pPr>
        <w:pStyle w:val="Style2"/>
        <w:numPr>
          <w:ilvl w:val="0"/>
          <w:numId w:val="20"/>
        </w:numPr>
        <w:shd w:val="clear" w:color="auto" w:fill="auto"/>
        <w:tabs>
          <w:tab w:val="left" w:pos="284"/>
        </w:tabs>
        <w:spacing w:line="240" w:lineRule="auto"/>
        <w:ind w:left="340" w:hanging="340"/>
      </w:pPr>
      <w:r>
        <w:t xml:space="preserve">Dodavatel a odběratel jsou povinni vynaložit veškeré úsilí k tomu, aby byly případné spory vyplývající z burzovního obchodu (závěrkového listu) </w:t>
      </w:r>
      <w:r>
        <w:t>urovnány smírnou cestou, k tomuto vyvinou vzájemnou součinnost.</w:t>
      </w:r>
    </w:p>
    <w:p w14:paraId="46603D33" w14:textId="77777777" w:rsidR="008B0DEB" w:rsidRDefault="00B65869">
      <w:pPr>
        <w:pStyle w:val="Style21"/>
        <w:keepNext/>
        <w:keepLines/>
        <w:shd w:val="clear" w:color="auto" w:fill="auto"/>
        <w:spacing w:after="0"/>
        <w:ind w:firstLine="0"/>
      </w:pPr>
      <w:bookmarkStart w:id="42" w:name="bookmark45"/>
      <w:bookmarkStart w:id="43" w:name="bookmark46"/>
      <w:bookmarkStart w:id="44" w:name="bookmark47"/>
      <w:r>
        <w:rPr>
          <w:u w:val="none"/>
        </w:rPr>
        <w:t>Rozhodčí doložka:</w:t>
      </w:r>
      <w:bookmarkEnd w:id="42"/>
      <w:bookmarkEnd w:id="43"/>
      <w:bookmarkEnd w:id="44"/>
    </w:p>
    <w:p w14:paraId="7518A87D" w14:textId="77777777" w:rsidR="008B0DEB" w:rsidRDefault="00B65869">
      <w:pPr>
        <w:pStyle w:val="Style2"/>
        <w:shd w:val="clear" w:color="auto" w:fill="auto"/>
      </w:pPr>
      <w:r>
        <w:t>Veškeré spory vznikající z burzovního obchodu (závěrkového listu) a v souvislosti s ním, které se nepodaří odstranit jednáním mezi stranami, budou s konečnou platností rozhodnuty Mezinárodním rozhodčím soudem při Českomoravské komoditní burze, který je stálým rozhodčím soudem podle ustanovení § 13 zákona č. 216/1994 Sb. o rozhodčím řízení a o výkonu rozhodčích nálezů, podle jeho Řádu, a to jedním nebo třemi rozhodci ustanovenými v souladu s uvedeným Řádem.</w:t>
      </w:r>
    </w:p>
    <w:p w14:paraId="4E04B0E1" w14:textId="592BD869" w:rsidR="008B0DEB" w:rsidRDefault="00B65869">
      <w:pPr>
        <w:pStyle w:val="Style2"/>
        <w:shd w:val="clear" w:color="auto" w:fill="auto"/>
        <w:spacing w:after="0"/>
      </w:pPr>
      <w:r>
        <w:t xml:space="preserve">V Kladně dne </w:t>
      </w:r>
    </w:p>
    <w:p w14:paraId="2502901E" w14:textId="021A1FE5" w:rsidR="008B0DEB" w:rsidRDefault="008B0DEB">
      <w:pPr>
        <w:spacing w:line="1" w:lineRule="exact"/>
      </w:pPr>
    </w:p>
    <w:p w14:paraId="6E5F8359" w14:textId="77777777" w:rsidR="008B0DEB" w:rsidRDefault="00B65869">
      <w:pPr>
        <w:spacing w:line="1" w:lineRule="exact"/>
      </w:pPr>
      <w:r>
        <w:rPr>
          <w:noProof/>
        </w:rPr>
        <mc:AlternateContent>
          <mc:Choice Requires="wps">
            <w:drawing>
              <wp:anchor distT="177800" distB="6350" distL="0" distR="0" simplePos="0" relativeHeight="125829394" behindDoc="0" locked="0" layoutInCell="1" allowOverlap="1" wp14:anchorId="39F4C7D6" wp14:editId="7EA33395">
                <wp:simplePos x="0" y="0"/>
                <wp:positionH relativeFrom="page">
                  <wp:posOffset>1265555</wp:posOffset>
                </wp:positionH>
                <wp:positionV relativeFrom="paragraph">
                  <wp:posOffset>177800</wp:posOffset>
                </wp:positionV>
                <wp:extent cx="789305" cy="149225"/>
                <wp:effectExtent l="0" t="0" r="0" b="0"/>
                <wp:wrapTopAndBottom/>
                <wp:docPr id="38" name="Shape 38"/>
                <wp:cNvGraphicFramePr/>
                <a:graphic xmlns:a="http://schemas.openxmlformats.org/drawingml/2006/main">
                  <a:graphicData uri="http://schemas.microsoft.com/office/word/2010/wordprocessingShape">
                    <wps:wsp>
                      <wps:cNvSpPr txBox="1"/>
                      <wps:spPr>
                        <a:xfrm>
                          <a:off x="0" y="0"/>
                          <a:ext cx="789305" cy="149225"/>
                        </a:xfrm>
                        <a:prstGeom prst="rect">
                          <a:avLst/>
                        </a:prstGeom>
                        <a:noFill/>
                      </wps:spPr>
                      <wps:txbx>
                        <w:txbxContent>
                          <w:p w14:paraId="4CC774DB" w14:textId="77777777" w:rsidR="008B0DEB" w:rsidRDefault="00B65869">
                            <w:pPr>
                              <w:pStyle w:val="Style2"/>
                              <w:shd w:val="clear" w:color="auto" w:fill="auto"/>
                              <w:spacing w:after="0" w:line="240" w:lineRule="auto"/>
                            </w:pPr>
                            <w:r>
                              <w:t>za dodavatele</w:t>
                            </w:r>
                          </w:p>
                        </w:txbxContent>
                      </wps:txbx>
                      <wps:bodyPr wrap="none" lIns="0" tIns="0" rIns="0" bIns="0"/>
                    </wps:wsp>
                  </a:graphicData>
                </a:graphic>
              </wp:anchor>
            </w:drawing>
          </mc:Choice>
          <mc:Fallback>
            <w:pict>
              <v:shape w14:anchorId="39F4C7D6" id="Shape 38" o:spid="_x0000_s1033" type="#_x0000_t202" style="position:absolute;margin-left:99.65pt;margin-top:14pt;width:62.15pt;height:11.75pt;z-index:125829394;visibility:visible;mso-wrap-style:none;mso-wrap-distance-left:0;mso-wrap-distance-top:14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" filled="f" stroked="f">
                <v:textbox inset="0,0,0,0">
                  <w:txbxContent>
                    <w:p w14:paraId="4CC774DB" w14:textId="77777777" w:rsidR="008B0DEB" w:rsidRDefault="00B65869">
                      <w:pPr>
                        <w:pStyle w:val="Style2"/>
                        <w:shd w:val="clear" w:color="auto" w:fill="auto"/>
                        <w:spacing w:after="0" w:line="240" w:lineRule="auto"/>
                      </w:pPr>
                      <w:r>
                        <w:t>za dodavatele</w:t>
                      </w:r>
                    </w:p>
                  </w:txbxContent>
                </v:textbox>
                <w10:wrap type="topAndBottom" anchorx="page"/>
              </v:shape>
            </w:pict>
          </mc:Fallback>
        </mc:AlternateContent>
      </w:r>
      <w:r>
        <w:rPr>
          <w:noProof/>
        </w:rPr>
        <mc:AlternateContent>
          <mc:Choice Requires="wps">
            <w:drawing>
              <wp:anchor distT="184150" distB="0" distL="0" distR="0" simplePos="0" relativeHeight="125829396" behindDoc="0" locked="0" layoutInCell="1" allowOverlap="1" wp14:anchorId="55FEC8F9" wp14:editId="2A70DD63">
                <wp:simplePos x="0" y="0"/>
                <wp:positionH relativeFrom="page">
                  <wp:posOffset>5569585</wp:posOffset>
                </wp:positionH>
                <wp:positionV relativeFrom="paragraph">
                  <wp:posOffset>184150</wp:posOffset>
                </wp:positionV>
                <wp:extent cx="768350" cy="149225"/>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768350" cy="149225"/>
                        </a:xfrm>
                        <a:prstGeom prst="rect">
                          <a:avLst/>
                        </a:prstGeom>
                        <a:noFill/>
                      </wps:spPr>
                      <wps:txbx>
                        <w:txbxContent>
                          <w:p w14:paraId="59F9AF34" w14:textId="77777777" w:rsidR="008B0DEB" w:rsidRDefault="00B65869">
                            <w:pPr>
                              <w:pStyle w:val="Style2"/>
                              <w:shd w:val="clear" w:color="auto" w:fill="auto"/>
                              <w:spacing w:after="0" w:line="240" w:lineRule="auto"/>
                            </w:pPr>
                            <w:r>
                              <w:t>za odběratele</w:t>
                            </w:r>
                          </w:p>
                        </w:txbxContent>
                      </wps:txbx>
                      <wps:bodyPr wrap="none" lIns="0" tIns="0" rIns="0" bIns="0"/>
                    </wps:wsp>
                  </a:graphicData>
                </a:graphic>
              </wp:anchor>
            </w:drawing>
          </mc:Choice>
          <mc:Fallback>
            <w:pict>
              <v:shape w14:anchorId="55FEC8F9" id="Shape 40" o:spid="_x0000_s1034" type="#_x0000_t202" style="position:absolute;margin-left:438.55pt;margin-top:14.5pt;width:60.5pt;height:11.75pt;z-index:125829396;visibility:visible;mso-wrap-style:none;mso-wrap-distance-left:0;mso-wrap-distance-top:1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" filled="f" stroked="f">
                <v:textbox inset="0,0,0,0">
                  <w:txbxContent>
                    <w:p w14:paraId="59F9AF34" w14:textId="77777777" w:rsidR="008B0DEB" w:rsidRDefault="00B65869">
                      <w:pPr>
                        <w:pStyle w:val="Style2"/>
                        <w:shd w:val="clear" w:color="auto" w:fill="auto"/>
                        <w:spacing w:after="0" w:line="240" w:lineRule="auto"/>
                      </w:pPr>
                      <w:r>
                        <w:t>za odběratele</w:t>
                      </w:r>
                    </w:p>
                  </w:txbxContent>
                </v:textbox>
                <w10:wrap type="topAndBottom" anchorx="page"/>
              </v:shape>
            </w:pict>
          </mc:Fallback>
        </mc:AlternateContent>
      </w:r>
    </w:p>
    <w:p w14:paraId="613ECCDD" w14:textId="3F464F4F" w:rsidR="008B0DEB" w:rsidRDefault="008B0DEB">
      <w:pPr>
        <w:spacing w:line="1" w:lineRule="exact"/>
        <w:sectPr w:rsidR="008B0DEB">
          <w:headerReference w:type="default" r:id="rId15"/>
          <w:footerReference w:type="default" r:id="rId16"/>
          <w:pgSz w:w="11909" w:h="16834"/>
          <w:pgMar w:top="864" w:right="535" w:bottom="798" w:left="1244" w:header="436" w:footer="3" w:gutter="0"/>
          <w:cols w:space="720"/>
          <w:noEndnote/>
          <w:docGrid w:linePitch="360"/>
        </w:sectPr>
      </w:pPr>
    </w:p>
    <w:p w14:paraId="41462AE7" w14:textId="77777777" w:rsidR="008B0DEB" w:rsidRDefault="008B0DEB">
      <w:pPr>
        <w:spacing w:line="153" w:lineRule="exact"/>
        <w:rPr>
          <w:sz w:val="12"/>
          <w:szCs w:val="12"/>
        </w:rPr>
      </w:pPr>
    </w:p>
    <w:p w14:paraId="3BE8B9FB" w14:textId="77777777" w:rsidR="008B0DEB" w:rsidRDefault="008B0DEB">
      <w:pPr>
        <w:spacing w:line="1" w:lineRule="exact"/>
        <w:sectPr w:rsidR="008B0DEB">
          <w:type w:val="continuous"/>
          <w:pgSz w:w="11909" w:h="16834"/>
          <w:pgMar w:top="864" w:right="0" w:bottom="798" w:left="0" w:header="0" w:footer="3" w:gutter="0"/>
          <w:cols w:space="720"/>
          <w:noEndnote/>
          <w:docGrid w:linePitch="360"/>
        </w:sectPr>
      </w:pPr>
    </w:p>
    <w:p w14:paraId="6A33B8C2" w14:textId="2DA8CE82" w:rsidR="008B0DEB" w:rsidRDefault="00B65869">
      <w:pPr>
        <w:pStyle w:val="Style2"/>
        <w:shd w:val="clear" w:color="auto" w:fill="auto"/>
        <w:spacing w:after="40"/>
        <w:jc w:val="center"/>
      </w:pPr>
      <w:r>
        <w:t xml:space="preserve">Mgr. Petra </w:t>
      </w:r>
      <w:proofErr w:type="spellStart"/>
      <w:r>
        <w:t>Mošovská</w:t>
      </w:r>
      <w:proofErr w:type="spellEnd"/>
      <w:r>
        <w:br/>
        <w:t>za ČMKB</w:t>
      </w:r>
    </w:p>
    <w:p w14:paraId="0FA35D00" w14:textId="77777777" w:rsidR="008B0DEB" w:rsidRDefault="008B0DEB">
      <w:pPr>
        <w:spacing w:line="240" w:lineRule="exact"/>
        <w:rPr>
          <w:sz w:val="19"/>
          <w:szCs w:val="19"/>
        </w:rPr>
      </w:pPr>
    </w:p>
    <w:p w14:paraId="09338A31" w14:textId="77777777" w:rsidR="008B0DEB" w:rsidRDefault="008B0DEB">
      <w:pPr>
        <w:spacing w:line="240" w:lineRule="exact"/>
        <w:rPr>
          <w:sz w:val="19"/>
          <w:szCs w:val="19"/>
        </w:rPr>
      </w:pPr>
    </w:p>
    <w:p w14:paraId="19492E54" w14:textId="77777777" w:rsidR="008B0DEB" w:rsidRDefault="008B0DEB">
      <w:pPr>
        <w:spacing w:line="240" w:lineRule="exact"/>
        <w:rPr>
          <w:sz w:val="19"/>
          <w:szCs w:val="19"/>
        </w:rPr>
      </w:pPr>
    </w:p>
    <w:p w14:paraId="27830CA8" w14:textId="77777777" w:rsidR="008B0DEB" w:rsidRDefault="008B0DEB">
      <w:pPr>
        <w:spacing w:line="240" w:lineRule="exact"/>
        <w:rPr>
          <w:sz w:val="19"/>
          <w:szCs w:val="19"/>
        </w:rPr>
      </w:pPr>
    </w:p>
    <w:p w14:paraId="69894F16" w14:textId="77777777" w:rsidR="008B0DEB" w:rsidRDefault="008B0DEB">
      <w:pPr>
        <w:spacing w:line="240" w:lineRule="exact"/>
        <w:rPr>
          <w:sz w:val="19"/>
          <w:szCs w:val="19"/>
        </w:rPr>
      </w:pPr>
    </w:p>
    <w:p w14:paraId="53ABF8D3" w14:textId="77777777" w:rsidR="008B0DEB" w:rsidRDefault="008B0DEB">
      <w:pPr>
        <w:spacing w:line="240" w:lineRule="exact"/>
        <w:rPr>
          <w:sz w:val="19"/>
          <w:szCs w:val="19"/>
        </w:rPr>
      </w:pPr>
    </w:p>
    <w:p w14:paraId="07759DD5" w14:textId="77777777" w:rsidR="008B0DEB" w:rsidRDefault="008B0DEB">
      <w:pPr>
        <w:spacing w:line="240" w:lineRule="exact"/>
        <w:rPr>
          <w:sz w:val="19"/>
          <w:szCs w:val="19"/>
        </w:rPr>
      </w:pPr>
    </w:p>
    <w:p w14:paraId="4634AC6D" w14:textId="77777777" w:rsidR="008B0DEB" w:rsidRDefault="008B0DEB">
      <w:pPr>
        <w:spacing w:before="109" w:after="109" w:line="240" w:lineRule="exact"/>
        <w:rPr>
          <w:sz w:val="19"/>
          <w:szCs w:val="19"/>
        </w:rPr>
      </w:pPr>
    </w:p>
    <w:p w14:paraId="6DC7A657" w14:textId="77777777" w:rsidR="008B0DEB" w:rsidRDefault="008B0DEB">
      <w:pPr>
        <w:spacing w:line="1" w:lineRule="exact"/>
        <w:sectPr w:rsidR="008B0DEB">
          <w:type w:val="continuous"/>
          <w:pgSz w:w="11909" w:h="16834"/>
          <w:pgMar w:top="864" w:right="0" w:bottom="898" w:left="0" w:header="0" w:footer="3" w:gutter="0"/>
          <w:cols w:space="720"/>
          <w:noEndnote/>
          <w:docGrid w:linePitch="360"/>
        </w:sectPr>
      </w:pPr>
    </w:p>
    <w:p w14:paraId="1F454228" w14:textId="1DE35C41" w:rsidR="008B0DEB" w:rsidRDefault="008B0DEB">
      <w:pPr>
        <w:pStyle w:val="Style33"/>
        <w:keepNext/>
        <w:keepLines/>
        <w:framePr w:w="322" w:h="432" w:wrap="none" w:vAnchor="text" w:hAnchor="page" w:x="10927" w:y="21"/>
        <w:shd w:val="clear" w:color="auto" w:fill="auto"/>
      </w:pPr>
    </w:p>
    <w:p w14:paraId="3F07B765" w14:textId="77777777" w:rsidR="008B0DEB" w:rsidRDefault="008B0DEB">
      <w:pPr>
        <w:spacing w:line="1" w:lineRule="exact"/>
      </w:pPr>
    </w:p>
    <w:p w14:paraId="261386BE" w14:textId="77777777" w:rsidR="008B0DEB" w:rsidRDefault="008B0DEB">
      <w:pPr>
        <w:spacing w:line="1" w:lineRule="exact"/>
        <w:sectPr w:rsidR="008B0DEB">
          <w:type w:val="continuous"/>
          <w:pgSz w:w="11909" w:h="16834"/>
          <w:pgMar w:top="864" w:right="535" w:bottom="898" w:left="1244" w:header="0" w:footer="3" w:gutter="0"/>
          <w:cols w:space="720"/>
          <w:noEndnote/>
          <w:docGrid w:linePitch="360"/>
        </w:sectPr>
      </w:pPr>
    </w:p>
    <w:p w14:paraId="5624F3D3" w14:textId="77777777" w:rsidR="008B0DEB" w:rsidRDefault="00B65869">
      <w:pPr>
        <w:pStyle w:val="Style37"/>
        <w:shd w:val="clear" w:color="auto" w:fill="auto"/>
        <w:spacing w:after="0"/>
        <w:ind w:left="1040" w:firstLine="0"/>
      </w:pPr>
      <w:r>
        <w:lastRenderedPageBreak/>
        <w:t>ČESKOMORAVSKÁ</w:t>
      </w:r>
    </w:p>
    <w:p w14:paraId="62AAC675" w14:textId="77777777" w:rsidR="008B0DEB" w:rsidRDefault="00B65869">
      <w:pPr>
        <w:pStyle w:val="Style37"/>
        <w:shd w:val="clear" w:color="auto" w:fill="auto"/>
        <w:tabs>
          <w:tab w:val="left" w:pos="807"/>
        </w:tabs>
        <w:spacing w:after="160"/>
        <w:ind w:left="0" w:firstLine="140"/>
      </w:pPr>
      <w:r>
        <w:rPr>
          <w:noProof/>
        </w:rPr>
        <mc:AlternateContent>
          <mc:Choice Requires="wps">
            <w:drawing>
              <wp:anchor distT="0" distB="0" distL="114300" distR="114300" simplePos="0" relativeHeight="125829401" behindDoc="0" locked="0" layoutInCell="1" allowOverlap="1" wp14:anchorId="19052385" wp14:editId="75306886">
                <wp:simplePos x="0" y="0"/>
                <wp:positionH relativeFrom="page">
                  <wp:posOffset>7057390</wp:posOffset>
                </wp:positionH>
                <wp:positionV relativeFrom="paragraph">
                  <wp:posOffset>4673600</wp:posOffset>
                </wp:positionV>
                <wp:extent cx="286385" cy="91440"/>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286385" cy="91440"/>
                        </a:xfrm>
                        <a:prstGeom prst="rect">
                          <a:avLst/>
                        </a:prstGeom>
                        <a:noFill/>
                      </wps:spPr>
                      <wps:txbx>
                        <w:txbxContent>
                          <w:p w14:paraId="05D68C5C" w14:textId="77777777" w:rsidR="008B0DEB" w:rsidRDefault="00B65869">
                            <w:pPr>
                              <w:pStyle w:val="Style35"/>
                              <w:shd w:val="clear" w:color="auto" w:fill="auto"/>
                            </w:pPr>
                            <w:r>
                              <w:t>Strana 1</w:t>
                            </w:r>
                          </w:p>
                        </w:txbxContent>
                      </wps:txbx>
                      <wps:bodyPr wrap="none" lIns="0" tIns="0" rIns="0" bIns="0"/>
                    </wps:wsp>
                  </a:graphicData>
                </a:graphic>
              </wp:anchor>
            </w:drawing>
          </mc:Choice>
          <mc:Fallback>
            <w:pict>
              <v:shape w14:anchorId="19052385" id="Shape 51" o:spid="_x0000_s1035" type="#_x0000_t202" style="position:absolute;left:0;text-align:left;margin-left:555.7pt;margin-top:368pt;width:22.55pt;height:7.2pt;z-index:12582940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" filled="f" stroked="f">
                <v:textbox inset="0,0,0,0">
                  <w:txbxContent>
                    <w:p w14:paraId="05D68C5C" w14:textId="77777777" w:rsidR="008B0DEB" w:rsidRDefault="00B65869">
                      <w:pPr>
                        <w:pStyle w:val="Style35"/>
                        <w:shd w:val="clear" w:color="auto" w:fill="auto"/>
                      </w:pPr>
                      <w:r>
                        <w:t>Strana 1</w:t>
                      </w:r>
                    </w:p>
                  </w:txbxContent>
                </v:textbox>
                <w10:wrap type="square" anchorx="page"/>
              </v:shape>
            </w:pict>
          </mc:Fallback>
        </mc:AlternateContent>
      </w:r>
      <w:r>
        <w:rPr>
          <w:lang w:val="en-US" w:eastAsia="en-US" w:bidi="en-US"/>
        </w:rPr>
        <w:t>"I</w:t>
      </w:r>
      <w:r>
        <w:rPr>
          <w:lang w:val="en-US" w:eastAsia="en-US" w:bidi="en-US"/>
        </w:rPr>
        <w:tab/>
      </w:r>
      <w:r>
        <w:t xml:space="preserve">KOMODITNÍ </w:t>
      </w:r>
      <w:r>
        <w:rPr>
          <w:lang w:val="en-US" w:eastAsia="en-US" w:bidi="en-US"/>
        </w:rPr>
        <w:t xml:space="preserve">BUK2A </w:t>
      </w:r>
      <w:r>
        <w:t>KLADNO</w:t>
      </w:r>
    </w:p>
    <w:p w14:paraId="4C8C6A6B" w14:textId="77777777" w:rsidR="008B0DEB" w:rsidRDefault="00B65869">
      <w:pPr>
        <w:pStyle w:val="Style16"/>
        <w:shd w:val="clear" w:color="auto" w:fill="auto"/>
        <w:spacing w:line="257" w:lineRule="auto"/>
        <w:rPr>
          <w:sz w:val="9"/>
          <w:szCs w:val="9"/>
        </w:rPr>
      </w:pPr>
      <w:r>
        <w:rPr>
          <w:b w:val="0"/>
          <w:bCs w:val="0"/>
          <w:sz w:val="9"/>
          <w:szCs w:val="9"/>
        </w:rPr>
        <w:t>Příloha č. 1 závěrkového listu Soupis odběrných míst</w:t>
      </w:r>
    </w:p>
    <w:tbl>
      <w:tblPr>
        <w:tblOverlap w:val="never"/>
        <w:tblW w:w="11005" w:type="dxa"/>
        <w:jc w:val="center"/>
        <w:tblLayout w:type="fixed"/>
        <w:tblCellMar>
          <w:left w:w="10" w:type="dxa"/>
          <w:right w:w="10" w:type="dxa"/>
        </w:tblCellMar>
        <w:tblLook w:val="04A0" w:firstRow="1" w:lastRow="0" w:firstColumn="1" w:lastColumn="0" w:noHBand="0" w:noVBand="1"/>
      </w:tblPr>
      <w:tblGrid>
        <w:gridCol w:w="202"/>
        <w:gridCol w:w="1075"/>
        <w:gridCol w:w="955"/>
        <w:gridCol w:w="269"/>
        <w:gridCol w:w="346"/>
        <w:gridCol w:w="648"/>
        <w:gridCol w:w="346"/>
        <w:gridCol w:w="1070"/>
        <w:gridCol w:w="422"/>
        <w:gridCol w:w="1070"/>
        <w:gridCol w:w="379"/>
        <w:gridCol w:w="384"/>
        <w:gridCol w:w="384"/>
        <w:gridCol w:w="384"/>
        <w:gridCol w:w="379"/>
        <w:gridCol w:w="384"/>
        <w:gridCol w:w="379"/>
        <w:gridCol w:w="384"/>
        <w:gridCol w:w="379"/>
        <w:gridCol w:w="384"/>
        <w:gridCol w:w="384"/>
        <w:gridCol w:w="398"/>
      </w:tblGrid>
      <w:tr w:rsidR="008B0DEB" w14:paraId="33C1BA3E" w14:textId="77777777" w:rsidTr="00B65869">
        <w:tblPrEx>
          <w:tblCellMar>
            <w:top w:w="0" w:type="dxa"/>
            <w:bottom w:w="0" w:type="dxa"/>
          </w:tblCellMar>
        </w:tblPrEx>
        <w:trPr>
          <w:trHeight w:hRule="exact" w:val="509"/>
          <w:jc w:val="center"/>
        </w:trPr>
        <w:tc>
          <w:tcPr>
            <w:tcW w:w="202" w:type="dxa"/>
            <w:tcBorders>
              <w:top w:val="single" w:sz="4" w:space="0" w:color="auto"/>
              <w:left w:val="single" w:sz="4" w:space="0" w:color="auto"/>
            </w:tcBorders>
            <w:shd w:val="clear" w:color="auto" w:fill="FFFFFF"/>
          </w:tcPr>
          <w:p w14:paraId="41DB64A3" w14:textId="74491DF4" w:rsidR="008B0DEB" w:rsidRDefault="00B65869">
            <w:pPr>
              <w:pStyle w:val="Style13"/>
              <w:shd w:val="clear" w:color="auto" w:fill="auto"/>
              <w:spacing w:after="0" w:line="240" w:lineRule="auto"/>
              <w:rPr>
                <w:sz w:val="10"/>
                <w:szCs w:val="10"/>
              </w:rPr>
            </w:pPr>
            <w:proofErr w:type="spellStart"/>
            <w:r>
              <w:rPr>
                <w:i/>
                <w:iCs/>
                <w:sz w:val="10"/>
                <w:szCs w:val="10"/>
              </w:rPr>
              <w:t>Poř</w:t>
            </w:r>
            <w:proofErr w:type="spellEnd"/>
            <w:r>
              <w:rPr>
                <w:i/>
                <w:iCs/>
                <w:sz w:val="10"/>
                <w:szCs w:val="10"/>
              </w:rPr>
              <w:t>.</w:t>
            </w:r>
          </w:p>
        </w:tc>
        <w:tc>
          <w:tcPr>
            <w:tcW w:w="1075" w:type="dxa"/>
            <w:tcBorders>
              <w:top w:val="single" w:sz="4" w:space="0" w:color="auto"/>
              <w:left w:val="single" w:sz="4" w:space="0" w:color="auto"/>
            </w:tcBorders>
            <w:shd w:val="clear" w:color="auto" w:fill="FFFFFF"/>
          </w:tcPr>
          <w:p w14:paraId="18B08BEC" w14:textId="77777777" w:rsidR="008B0DEB" w:rsidRDefault="00B65869">
            <w:pPr>
              <w:pStyle w:val="Style13"/>
              <w:shd w:val="clear" w:color="auto" w:fill="auto"/>
              <w:spacing w:after="0" w:line="240" w:lineRule="auto"/>
              <w:jc w:val="both"/>
              <w:rPr>
                <w:sz w:val="9"/>
                <w:szCs w:val="9"/>
              </w:rPr>
            </w:pPr>
            <w:r>
              <w:rPr>
                <w:sz w:val="9"/>
                <w:szCs w:val="9"/>
              </w:rPr>
              <w:t>Adresa odběrného místa</w:t>
            </w:r>
          </w:p>
        </w:tc>
        <w:tc>
          <w:tcPr>
            <w:tcW w:w="955" w:type="dxa"/>
            <w:tcBorders>
              <w:top w:val="single" w:sz="4" w:space="0" w:color="auto"/>
              <w:left w:val="single" w:sz="4" w:space="0" w:color="auto"/>
            </w:tcBorders>
            <w:shd w:val="clear" w:color="auto" w:fill="FFFFFF"/>
          </w:tcPr>
          <w:p w14:paraId="47F493E2" w14:textId="77777777" w:rsidR="008B0DEB" w:rsidRDefault="00B65869">
            <w:pPr>
              <w:pStyle w:val="Style13"/>
              <w:shd w:val="clear" w:color="auto" w:fill="auto"/>
              <w:spacing w:after="0" w:line="240" w:lineRule="auto"/>
              <w:jc w:val="center"/>
              <w:rPr>
                <w:sz w:val="9"/>
                <w:szCs w:val="9"/>
              </w:rPr>
            </w:pPr>
            <w:r>
              <w:rPr>
                <w:sz w:val="9"/>
                <w:szCs w:val="9"/>
              </w:rPr>
              <w:t>EAN</w:t>
            </w:r>
          </w:p>
        </w:tc>
        <w:tc>
          <w:tcPr>
            <w:tcW w:w="269" w:type="dxa"/>
            <w:tcBorders>
              <w:top w:val="single" w:sz="4" w:space="0" w:color="auto"/>
              <w:left w:val="single" w:sz="4" w:space="0" w:color="auto"/>
            </w:tcBorders>
            <w:shd w:val="clear" w:color="auto" w:fill="FFFFFF"/>
          </w:tcPr>
          <w:p w14:paraId="0CDA12F5" w14:textId="6EB03F9B" w:rsidR="008B0DEB" w:rsidRDefault="00B65869">
            <w:pPr>
              <w:pStyle w:val="Style13"/>
              <w:shd w:val="clear" w:color="auto" w:fill="auto"/>
              <w:spacing w:after="0" w:line="262" w:lineRule="auto"/>
              <w:jc w:val="both"/>
              <w:rPr>
                <w:sz w:val="9"/>
                <w:szCs w:val="9"/>
              </w:rPr>
            </w:pPr>
            <w:r>
              <w:rPr>
                <w:sz w:val="9"/>
                <w:szCs w:val="9"/>
              </w:rPr>
              <w:t>Rez. pří</w:t>
            </w:r>
            <w:r>
              <w:rPr>
                <w:sz w:val="9"/>
                <w:szCs w:val="9"/>
              </w:rPr>
              <w:t>kon [kW]</w:t>
            </w:r>
          </w:p>
        </w:tc>
        <w:tc>
          <w:tcPr>
            <w:tcW w:w="346" w:type="dxa"/>
            <w:tcBorders>
              <w:top w:val="single" w:sz="4" w:space="0" w:color="auto"/>
              <w:left w:val="single" w:sz="4" w:space="0" w:color="auto"/>
            </w:tcBorders>
            <w:shd w:val="clear" w:color="auto" w:fill="FFFFFF"/>
            <w:vAlign w:val="bottom"/>
          </w:tcPr>
          <w:p w14:paraId="2515E9EB" w14:textId="77777777" w:rsidR="008B0DEB" w:rsidRDefault="00B65869">
            <w:pPr>
              <w:pStyle w:val="Style13"/>
              <w:shd w:val="clear" w:color="auto" w:fill="auto"/>
              <w:spacing w:after="0" w:line="262" w:lineRule="auto"/>
              <w:jc w:val="center"/>
              <w:rPr>
                <w:sz w:val="9"/>
                <w:szCs w:val="9"/>
              </w:rPr>
            </w:pPr>
            <w:r>
              <w:rPr>
                <w:sz w:val="9"/>
                <w:szCs w:val="9"/>
              </w:rPr>
              <w:t>Roční</w:t>
            </w:r>
          </w:p>
          <w:p w14:paraId="54BB9697" w14:textId="5F34830F" w:rsidR="008B0DEB" w:rsidRDefault="00B65869">
            <w:pPr>
              <w:pStyle w:val="Style13"/>
              <w:shd w:val="clear" w:color="auto" w:fill="auto"/>
              <w:spacing w:after="0" w:line="262" w:lineRule="auto"/>
              <w:jc w:val="center"/>
              <w:rPr>
                <w:sz w:val="9"/>
                <w:szCs w:val="9"/>
              </w:rPr>
            </w:pPr>
            <w:r>
              <w:rPr>
                <w:sz w:val="9"/>
                <w:szCs w:val="9"/>
              </w:rPr>
              <w:t>rez. k</w:t>
            </w:r>
            <w:r>
              <w:rPr>
                <w:sz w:val="9"/>
                <w:szCs w:val="9"/>
              </w:rPr>
              <w:t>apacita [</w:t>
            </w:r>
            <w:proofErr w:type="spellStart"/>
            <w:r>
              <w:rPr>
                <w:sz w:val="9"/>
                <w:szCs w:val="9"/>
              </w:rPr>
              <w:t>kWJ</w:t>
            </w:r>
            <w:proofErr w:type="spellEnd"/>
          </w:p>
        </w:tc>
        <w:tc>
          <w:tcPr>
            <w:tcW w:w="648" w:type="dxa"/>
            <w:tcBorders>
              <w:top w:val="single" w:sz="4" w:space="0" w:color="auto"/>
              <w:left w:val="single" w:sz="4" w:space="0" w:color="auto"/>
            </w:tcBorders>
            <w:shd w:val="clear" w:color="auto" w:fill="FFFFFF"/>
          </w:tcPr>
          <w:p w14:paraId="3B8CFDDD" w14:textId="77777777" w:rsidR="008B0DEB" w:rsidRDefault="00B65869">
            <w:pPr>
              <w:pStyle w:val="Style13"/>
              <w:shd w:val="clear" w:color="auto" w:fill="auto"/>
              <w:spacing w:after="0" w:line="262" w:lineRule="auto"/>
              <w:jc w:val="center"/>
              <w:rPr>
                <w:sz w:val="9"/>
                <w:szCs w:val="9"/>
              </w:rPr>
            </w:pPr>
            <w:r>
              <w:rPr>
                <w:sz w:val="9"/>
                <w:szCs w:val="9"/>
              </w:rPr>
              <w:t>Sjednáváni měsíční rez. kapacity</w:t>
            </w:r>
          </w:p>
        </w:tc>
        <w:tc>
          <w:tcPr>
            <w:tcW w:w="346" w:type="dxa"/>
            <w:tcBorders>
              <w:top w:val="single" w:sz="4" w:space="0" w:color="auto"/>
              <w:left w:val="single" w:sz="4" w:space="0" w:color="auto"/>
            </w:tcBorders>
            <w:shd w:val="clear" w:color="auto" w:fill="FFFFFF"/>
          </w:tcPr>
          <w:p w14:paraId="2AF3ED6A" w14:textId="77777777" w:rsidR="008B0DEB" w:rsidRDefault="00B65869">
            <w:pPr>
              <w:pStyle w:val="Style13"/>
              <w:shd w:val="clear" w:color="auto" w:fill="auto"/>
              <w:spacing w:after="0" w:line="266" w:lineRule="auto"/>
              <w:jc w:val="center"/>
              <w:rPr>
                <w:sz w:val="9"/>
                <w:szCs w:val="9"/>
              </w:rPr>
            </w:pPr>
            <w:r>
              <w:rPr>
                <w:sz w:val="9"/>
                <w:szCs w:val="9"/>
              </w:rPr>
              <w:t>Typ měř.</w:t>
            </w:r>
          </w:p>
        </w:tc>
        <w:tc>
          <w:tcPr>
            <w:tcW w:w="1070" w:type="dxa"/>
            <w:tcBorders>
              <w:top w:val="single" w:sz="4" w:space="0" w:color="auto"/>
              <w:left w:val="single" w:sz="4" w:space="0" w:color="auto"/>
            </w:tcBorders>
            <w:shd w:val="clear" w:color="auto" w:fill="FFFFFF"/>
          </w:tcPr>
          <w:p w14:paraId="6AE7C516" w14:textId="77777777" w:rsidR="008B0DEB" w:rsidRDefault="00B65869">
            <w:pPr>
              <w:pStyle w:val="Style13"/>
              <w:shd w:val="clear" w:color="auto" w:fill="auto"/>
              <w:spacing w:after="0" w:line="240" w:lineRule="auto"/>
              <w:rPr>
                <w:sz w:val="9"/>
                <w:szCs w:val="9"/>
              </w:rPr>
            </w:pPr>
            <w:r>
              <w:rPr>
                <w:sz w:val="9"/>
                <w:szCs w:val="9"/>
              </w:rPr>
              <w:t>Adresa pro fakturaci</w:t>
            </w:r>
          </w:p>
        </w:tc>
        <w:tc>
          <w:tcPr>
            <w:tcW w:w="422" w:type="dxa"/>
            <w:tcBorders>
              <w:top w:val="single" w:sz="4" w:space="0" w:color="auto"/>
              <w:left w:val="single" w:sz="4" w:space="0" w:color="auto"/>
            </w:tcBorders>
            <w:shd w:val="clear" w:color="auto" w:fill="FFFFFF"/>
          </w:tcPr>
          <w:p w14:paraId="5880C511" w14:textId="73972660" w:rsidR="008B0DEB" w:rsidRDefault="00B65869">
            <w:pPr>
              <w:pStyle w:val="Style13"/>
              <w:shd w:val="clear" w:color="auto" w:fill="auto"/>
              <w:spacing w:after="0" w:line="262" w:lineRule="auto"/>
              <w:jc w:val="center"/>
              <w:rPr>
                <w:sz w:val="9"/>
                <w:szCs w:val="9"/>
              </w:rPr>
            </w:pPr>
            <w:r>
              <w:rPr>
                <w:sz w:val="9"/>
                <w:szCs w:val="9"/>
              </w:rPr>
              <w:t>Způsob zasíláni fa</w:t>
            </w:r>
            <w:r>
              <w:rPr>
                <w:sz w:val="9"/>
                <w:szCs w:val="9"/>
              </w:rPr>
              <w:t>ktur</w:t>
            </w:r>
          </w:p>
        </w:tc>
        <w:tc>
          <w:tcPr>
            <w:tcW w:w="1070" w:type="dxa"/>
            <w:tcBorders>
              <w:top w:val="single" w:sz="4" w:space="0" w:color="auto"/>
              <w:left w:val="single" w:sz="4" w:space="0" w:color="auto"/>
            </w:tcBorders>
            <w:shd w:val="clear" w:color="auto" w:fill="FFFFFF"/>
          </w:tcPr>
          <w:p w14:paraId="5F15028D" w14:textId="77777777" w:rsidR="008B0DEB" w:rsidRDefault="00B65869">
            <w:pPr>
              <w:pStyle w:val="Style13"/>
              <w:shd w:val="clear" w:color="auto" w:fill="auto"/>
              <w:spacing w:after="0" w:line="240" w:lineRule="auto"/>
              <w:rPr>
                <w:sz w:val="9"/>
                <w:szCs w:val="9"/>
              </w:rPr>
            </w:pPr>
            <w:r>
              <w:rPr>
                <w:sz w:val="9"/>
                <w:szCs w:val="9"/>
              </w:rPr>
              <w:t>E-mail pro fakturaci</w:t>
            </w:r>
          </w:p>
        </w:tc>
        <w:tc>
          <w:tcPr>
            <w:tcW w:w="379" w:type="dxa"/>
            <w:tcBorders>
              <w:top w:val="single" w:sz="4" w:space="0" w:color="auto"/>
              <w:left w:val="single" w:sz="4" w:space="0" w:color="auto"/>
            </w:tcBorders>
            <w:shd w:val="clear" w:color="auto" w:fill="FFFFFF"/>
          </w:tcPr>
          <w:p w14:paraId="440FD235" w14:textId="77777777" w:rsidR="008B0DEB" w:rsidRDefault="00B65869">
            <w:pPr>
              <w:pStyle w:val="Style13"/>
              <w:shd w:val="clear" w:color="auto" w:fill="auto"/>
              <w:spacing w:after="0" w:line="262" w:lineRule="auto"/>
              <w:jc w:val="center"/>
              <w:rPr>
                <w:sz w:val="9"/>
                <w:szCs w:val="9"/>
              </w:rPr>
            </w:pPr>
            <w:r>
              <w:rPr>
                <w:sz w:val="9"/>
                <w:szCs w:val="9"/>
              </w:rPr>
              <w:t>Odběr leden [</w:t>
            </w:r>
            <w:proofErr w:type="spellStart"/>
            <w:r>
              <w:rPr>
                <w:sz w:val="9"/>
                <w:szCs w:val="9"/>
              </w:rPr>
              <w:t>MWh</w:t>
            </w:r>
            <w:proofErr w:type="spellEnd"/>
            <w:r>
              <w:rPr>
                <w:sz w:val="9"/>
                <w:szCs w:val="9"/>
              </w:rPr>
              <w:t>]</w:t>
            </w:r>
          </w:p>
        </w:tc>
        <w:tc>
          <w:tcPr>
            <w:tcW w:w="384" w:type="dxa"/>
            <w:tcBorders>
              <w:top w:val="single" w:sz="4" w:space="0" w:color="auto"/>
              <w:left w:val="single" w:sz="4" w:space="0" w:color="auto"/>
            </w:tcBorders>
            <w:shd w:val="clear" w:color="auto" w:fill="FFFFFF"/>
          </w:tcPr>
          <w:p w14:paraId="2E00262E" w14:textId="77777777" w:rsidR="008B0DEB" w:rsidRDefault="00B65869">
            <w:pPr>
              <w:pStyle w:val="Style13"/>
              <w:shd w:val="clear" w:color="auto" w:fill="auto"/>
              <w:spacing w:after="0" w:line="262" w:lineRule="auto"/>
              <w:jc w:val="center"/>
              <w:rPr>
                <w:sz w:val="9"/>
                <w:szCs w:val="9"/>
              </w:rPr>
            </w:pPr>
            <w:r>
              <w:rPr>
                <w:sz w:val="9"/>
                <w:szCs w:val="9"/>
              </w:rPr>
              <w:t>Odběr únor [</w:t>
            </w:r>
            <w:proofErr w:type="spellStart"/>
            <w:r>
              <w:rPr>
                <w:sz w:val="9"/>
                <w:szCs w:val="9"/>
              </w:rPr>
              <w:t>MWh</w:t>
            </w:r>
            <w:proofErr w:type="spellEnd"/>
            <w:r>
              <w:rPr>
                <w:sz w:val="9"/>
                <w:szCs w:val="9"/>
              </w:rPr>
              <w:t>]</w:t>
            </w:r>
          </w:p>
        </w:tc>
        <w:tc>
          <w:tcPr>
            <w:tcW w:w="384" w:type="dxa"/>
            <w:tcBorders>
              <w:top w:val="single" w:sz="4" w:space="0" w:color="auto"/>
              <w:left w:val="single" w:sz="4" w:space="0" w:color="auto"/>
            </w:tcBorders>
            <w:shd w:val="clear" w:color="auto" w:fill="FFFFFF"/>
          </w:tcPr>
          <w:p w14:paraId="56C56DE7" w14:textId="77777777" w:rsidR="008B0DEB" w:rsidRDefault="00B65869">
            <w:pPr>
              <w:pStyle w:val="Style13"/>
              <w:shd w:val="clear" w:color="auto" w:fill="auto"/>
              <w:spacing w:after="0" w:line="266" w:lineRule="auto"/>
              <w:jc w:val="center"/>
              <w:rPr>
                <w:sz w:val="9"/>
                <w:szCs w:val="9"/>
              </w:rPr>
            </w:pPr>
            <w:r>
              <w:rPr>
                <w:sz w:val="9"/>
                <w:szCs w:val="9"/>
              </w:rPr>
              <w:t>Odběr březen [</w:t>
            </w:r>
            <w:proofErr w:type="spellStart"/>
            <w:r>
              <w:rPr>
                <w:sz w:val="9"/>
                <w:szCs w:val="9"/>
              </w:rPr>
              <w:t>MWh</w:t>
            </w:r>
            <w:proofErr w:type="spellEnd"/>
            <w:r>
              <w:rPr>
                <w:sz w:val="9"/>
                <w:szCs w:val="9"/>
              </w:rPr>
              <w:t>]</w:t>
            </w:r>
          </w:p>
        </w:tc>
        <w:tc>
          <w:tcPr>
            <w:tcW w:w="384" w:type="dxa"/>
            <w:tcBorders>
              <w:top w:val="single" w:sz="4" w:space="0" w:color="auto"/>
              <w:left w:val="single" w:sz="4" w:space="0" w:color="auto"/>
            </w:tcBorders>
            <w:shd w:val="clear" w:color="auto" w:fill="FFFFFF"/>
          </w:tcPr>
          <w:p w14:paraId="6F1623C9" w14:textId="77777777" w:rsidR="008B0DEB" w:rsidRDefault="00B65869">
            <w:pPr>
              <w:pStyle w:val="Style13"/>
              <w:shd w:val="clear" w:color="auto" w:fill="auto"/>
              <w:spacing w:after="0" w:line="262" w:lineRule="auto"/>
              <w:jc w:val="center"/>
              <w:rPr>
                <w:sz w:val="9"/>
                <w:szCs w:val="9"/>
              </w:rPr>
            </w:pPr>
            <w:r>
              <w:rPr>
                <w:sz w:val="9"/>
                <w:szCs w:val="9"/>
              </w:rPr>
              <w:t>Odběr duben [</w:t>
            </w:r>
            <w:proofErr w:type="spellStart"/>
            <w:r>
              <w:rPr>
                <w:sz w:val="9"/>
                <w:szCs w:val="9"/>
              </w:rPr>
              <w:t>MWh</w:t>
            </w:r>
            <w:proofErr w:type="spellEnd"/>
            <w:r>
              <w:rPr>
                <w:sz w:val="9"/>
                <w:szCs w:val="9"/>
              </w:rPr>
              <w:t>]</w:t>
            </w:r>
          </w:p>
        </w:tc>
        <w:tc>
          <w:tcPr>
            <w:tcW w:w="379" w:type="dxa"/>
            <w:tcBorders>
              <w:top w:val="single" w:sz="4" w:space="0" w:color="auto"/>
              <w:left w:val="single" w:sz="4" w:space="0" w:color="auto"/>
            </w:tcBorders>
            <w:shd w:val="clear" w:color="auto" w:fill="FFFFFF"/>
          </w:tcPr>
          <w:p w14:paraId="3F67D34D" w14:textId="77777777" w:rsidR="008B0DEB" w:rsidRDefault="00B65869">
            <w:pPr>
              <w:pStyle w:val="Style13"/>
              <w:shd w:val="clear" w:color="auto" w:fill="auto"/>
              <w:spacing w:after="0" w:line="262" w:lineRule="auto"/>
              <w:jc w:val="center"/>
              <w:rPr>
                <w:sz w:val="9"/>
                <w:szCs w:val="9"/>
              </w:rPr>
            </w:pPr>
            <w:r>
              <w:rPr>
                <w:sz w:val="9"/>
                <w:szCs w:val="9"/>
              </w:rPr>
              <w:t>Odběr květen [</w:t>
            </w:r>
            <w:proofErr w:type="spellStart"/>
            <w:r>
              <w:rPr>
                <w:sz w:val="9"/>
                <w:szCs w:val="9"/>
              </w:rPr>
              <w:t>MWh</w:t>
            </w:r>
            <w:proofErr w:type="spellEnd"/>
            <w:r>
              <w:rPr>
                <w:sz w:val="9"/>
                <w:szCs w:val="9"/>
              </w:rPr>
              <w:t>]</w:t>
            </w:r>
          </w:p>
        </w:tc>
        <w:tc>
          <w:tcPr>
            <w:tcW w:w="384" w:type="dxa"/>
            <w:tcBorders>
              <w:top w:val="single" w:sz="4" w:space="0" w:color="auto"/>
              <w:left w:val="single" w:sz="4" w:space="0" w:color="auto"/>
            </w:tcBorders>
            <w:shd w:val="clear" w:color="auto" w:fill="FFFFFF"/>
          </w:tcPr>
          <w:p w14:paraId="0D21FF6D" w14:textId="77777777" w:rsidR="008B0DEB" w:rsidRDefault="00B65869">
            <w:pPr>
              <w:pStyle w:val="Style13"/>
              <w:shd w:val="clear" w:color="auto" w:fill="auto"/>
              <w:spacing w:after="0" w:line="262" w:lineRule="auto"/>
              <w:jc w:val="center"/>
              <w:rPr>
                <w:sz w:val="9"/>
                <w:szCs w:val="9"/>
              </w:rPr>
            </w:pPr>
            <w:r>
              <w:rPr>
                <w:sz w:val="9"/>
                <w:szCs w:val="9"/>
              </w:rPr>
              <w:t>Odběr červen [</w:t>
            </w:r>
            <w:proofErr w:type="spellStart"/>
            <w:r>
              <w:rPr>
                <w:sz w:val="9"/>
                <w:szCs w:val="9"/>
              </w:rPr>
              <w:t>MWh</w:t>
            </w:r>
            <w:proofErr w:type="spellEnd"/>
            <w:r>
              <w:rPr>
                <w:sz w:val="9"/>
                <w:szCs w:val="9"/>
              </w:rPr>
              <w:t>]</w:t>
            </w:r>
          </w:p>
        </w:tc>
        <w:tc>
          <w:tcPr>
            <w:tcW w:w="379" w:type="dxa"/>
            <w:tcBorders>
              <w:top w:val="single" w:sz="4" w:space="0" w:color="auto"/>
              <w:left w:val="single" w:sz="4" w:space="0" w:color="auto"/>
            </w:tcBorders>
            <w:shd w:val="clear" w:color="auto" w:fill="FFFFFF"/>
          </w:tcPr>
          <w:p w14:paraId="6C50B2E4" w14:textId="77777777" w:rsidR="008B0DEB" w:rsidRDefault="00B65869">
            <w:pPr>
              <w:pStyle w:val="Style13"/>
              <w:shd w:val="clear" w:color="auto" w:fill="auto"/>
              <w:spacing w:after="0" w:line="266" w:lineRule="auto"/>
              <w:jc w:val="center"/>
              <w:rPr>
                <w:sz w:val="9"/>
                <w:szCs w:val="9"/>
              </w:rPr>
            </w:pPr>
            <w:r>
              <w:rPr>
                <w:sz w:val="9"/>
                <w:szCs w:val="9"/>
              </w:rPr>
              <w:t>Odběr červenec</w:t>
            </w:r>
          </w:p>
          <w:p w14:paraId="6EEBBACE" w14:textId="77777777" w:rsidR="008B0DEB" w:rsidRDefault="00B65869">
            <w:pPr>
              <w:pStyle w:val="Style13"/>
              <w:shd w:val="clear" w:color="auto" w:fill="auto"/>
              <w:spacing w:after="0" w:line="266" w:lineRule="auto"/>
              <w:rPr>
                <w:sz w:val="9"/>
                <w:szCs w:val="9"/>
              </w:rPr>
            </w:pPr>
            <w:r>
              <w:rPr>
                <w:sz w:val="9"/>
                <w:szCs w:val="9"/>
              </w:rPr>
              <w:t>[</w:t>
            </w:r>
            <w:proofErr w:type="spellStart"/>
            <w:r>
              <w:rPr>
                <w:sz w:val="9"/>
                <w:szCs w:val="9"/>
              </w:rPr>
              <w:t>MWh</w:t>
            </w:r>
            <w:proofErr w:type="spellEnd"/>
            <w:r>
              <w:rPr>
                <w:sz w:val="9"/>
                <w:szCs w:val="9"/>
              </w:rPr>
              <w:t>]</w:t>
            </w:r>
          </w:p>
        </w:tc>
        <w:tc>
          <w:tcPr>
            <w:tcW w:w="384" w:type="dxa"/>
            <w:tcBorders>
              <w:top w:val="single" w:sz="4" w:space="0" w:color="auto"/>
              <w:left w:val="single" w:sz="4" w:space="0" w:color="auto"/>
            </w:tcBorders>
            <w:shd w:val="clear" w:color="auto" w:fill="FFFFFF"/>
          </w:tcPr>
          <w:p w14:paraId="646A52EA" w14:textId="77777777" w:rsidR="008B0DEB" w:rsidRDefault="00B65869">
            <w:pPr>
              <w:pStyle w:val="Style13"/>
              <w:shd w:val="clear" w:color="auto" w:fill="auto"/>
              <w:spacing w:after="0" w:line="262" w:lineRule="auto"/>
              <w:jc w:val="center"/>
              <w:rPr>
                <w:sz w:val="9"/>
                <w:szCs w:val="9"/>
              </w:rPr>
            </w:pPr>
            <w:r>
              <w:rPr>
                <w:sz w:val="9"/>
                <w:szCs w:val="9"/>
              </w:rPr>
              <w:t>Odběr srpen [</w:t>
            </w:r>
            <w:proofErr w:type="spellStart"/>
            <w:r>
              <w:rPr>
                <w:sz w:val="9"/>
                <w:szCs w:val="9"/>
              </w:rPr>
              <w:t>MWh</w:t>
            </w:r>
            <w:proofErr w:type="spellEnd"/>
            <w:r>
              <w:rPr>
                <w:sz w:val="9"/>
                <w:szCs w:val="9"/>
              </w:rPr>
              <w:t>]</w:t>
            </w:r>
          </w:p>
        </w:tc>
        <w:tc>
          <w:tcPr>
            <w:tcW w:w="379" w:type="dxa"/>
            <w:tcBorders>
              <w:top w:val="single" w:sz="4" w:space="0" w:color="auto"/>
              <w:left w:val="single" w:sz="4" w:space="0" w:color="auto"/>
            </w:tcBorders>
            <w:shd w:val="clear" w:color="auto" w:fill="FFFFFF"/>
          </w:tcPr>
          <w:p w14:paraId="5DFBD25E" w14:textId="77777777" w:rsidR="008B0DEB" w:rsidRDefault="00B65869">
            <w:pPr>
              <w:pStyle w:val="Style13"/>
              <w:shd w:val="clear" w:color="auto" w:fill="auto"/>
              <w:spacing w:after="0" w:line="262" w:lineRule="auto"/>
              <w:jc w:val="center"/>
              <w:rPr>
                <w:sz w:val="9"/>
                <w:szCs w:val="9"/>
              </w:rPr>
            </w:pPr>
            <w:r>
              <w:rPr>
                <w:sz w:val="9"/>
                <w:szCs w:val="9"/>
              </w:rPr>
              <w:t>Odběr září [</w:t>
            </w:r>
            <w:proofErr w:type="spellStart"/>
            <w:r>
              <w:rPr>
                <w:sz w:val="9"/>
                <w:szCs w:val="9"/>
              </w:rPr>
              <w:t>MWh</w:t>
            </w:r>
            <w:proofErr w:type="spellEnd"/>
            <w:r>
              <w:rPr>
                <w:sz w:val="9"/>
                <w:szCs w:val="9"/>
              </w:rPr>
              <w:t>]</w:t>
            </w:r>
          </w:p>
        </w:tc>
        <w:tc>
          <w:tcPr>
            <w:tcW w:w="384" w:type="dxa"/>
            <w:tcBorders>
              <w:top w:val="single" w:sz="4" w:space="0" w:color="auto"/>
              <w:left w:val="single" w:sz="4" w:space="0" w:color="auto"/>
            </w:tcBorders>
            <w:shd w:val="clear" w:color="auto" w:fill="FFFFFF"/>
          </w:tcPr>
          <w:p w14:paraId="20C2478D" w14:textId="77777777" w:rsidR="008B0DEB" w:rsidRDefault="00B65869">
            <w:pPr>
              <w:pStyle w:val="Style13"/>
              <w:shd w:val="clear" w:color="auto" w:fill="auto"/>
              <w:spacing w:after="0" w:line="266" w:lineRule="auto"/>
              <w:jc w:val="center"/>
              <w:rPr>
                <w:sz w:val="9"/>
                <w:szCs w:val="9"/>
              </w:rPr>
            </w:pPr>
            <w:r>
              <w:rPr>
                <w:sz w:val="9"/>
                <w:szCs w:val="9"/>
              </w:rPr>
              <w:t>Odběr říjen [</w:t>
            </w:r>
            <w:proofErr w:type="spellStart"/>
            <w:r>
              <w:rPr>
                <w:sz w:val="9"/>
                <w:szCs w:val="9"/>
              </w:rPr>
              <w:t>MWh</w:t>
            </w:r>
            <w:proofErr w:type="spellEnd"/>
            <w:r>
              <w:rPr>
                <w:sz w:val="9"/>
                <w:szCs w:val="9"/>
              </w:rPr>
              <w:t>]</w:t>
            </w:r>
          </w:p>
        </w:tc>
        <w:tc>
          <w:tcPr>
            <w:tcW w:w="384" w:type="dxa"/>
            <w:tcBorders>
              <w:top w:val="single" w:sz="4" w:space="0" w:color="auto"/>
              <w:left w:val="single" w:sz="4" w:space="0" w:color="auto"/>
            </w:tcBorders>
            <w:shd w:val="clear" w:color="auto" w:fill="FFFFFF"/>
          </w:tcPr>
          <w:p w14:paraId="583FB92C" w14:textId="77777777" w:rsidR="008B0DEB" w:rsidRDefault="00B65869">
            <w:pPr>
              <w:pStyle w:val="Style13"/>
              <w:shd w:val="clear" w:color="auto" w:fill="auto"/>
              <w:spacing w:after="0" w:line="262" w:lineRule="auto"/>
              <w:jc w:val="center"/>
              <w:rPr>
                <w:sz w:val="9"/>
                <w:szCs w:val="9"/>
              </w:rPr>
            </w:pPr>
            <w:r>
              <w:rPr>
                <w:sz w:val="9"/>
                <w:szCs w:val="9"/>
              </w:rPr>
              <w:t>Odběr listopad [</w:t>
            </w:r>
            <w:proofErr w:type="spellStart"/>
            <w:r>
              <w:rPr>
                <w:sz w:val="9"/>
                <w:szCs w:val="9"/>
              </w:rPr>
              <w:t>MWh</w:t>
            </w:r>
            <w:proofErr w:type="spellEnd"/>
            <w:r>
              <w:rPr>
                <w:sz w:val="9"/>
                <w:szCs w:val="9"/>
              </w:rPr>
              <w:t>]</w:t>
            </w:r>
          </w:p>
        </w:tc>
        <w:tc>
          <w:tcPr>
            <w:tcW w:w="398" w:type="dxa"/>
            <w:tcBorders>
              <w:top w:val="single" w:sz="4" w:space="0" w:color="auto"/>
              <w:left w:val="single" w:sz="4" w:space="0" w:color="auto"/>
              <w:right w:val="single" w:sz="4" w:space="0" w:color="auto"/>
            </w:tcBorders>
            <w:shd w:val="clear" w:color="auto" w:fill="FFFFFF"/>
          </w:tcPr>
          <w:p w14:paraId="1FAFBBBB" w14:textId="337BCB89" w:rsidR="008B0DEB" w:rsidRDefault="00B65869">
            <w:pPr>
              <w:pStyle w:val="Style13"/>
              <w:shd w:val="clear" w:color="auto" w:fill="auto"/>
              <w:spacing w:after="0" w:line="262" w:lineRule="auto"/>
              <w:jc w:val="center"/>
              <w:rPr>
                <w:sz w:val="9"/>
                <w:szCs w:val="9"/>
              </w:rPr>
            </w:pPr>
            <w:r>
              <w:rPr>
                <w:sz w:val="9"/>
                <w:szCs w:val="9"/>
              </w:rPr>
              <w:t>Odběr p</w:t>
            </w:r>
            <w:r>
              <w:rPr>
                <w:sz w:val="9"/>
                <w:szCs w:val="9"/>
              </w:rPr>
              <w:t>rosinec [</w:t>
            </w:r>
            <w:proofErr w:type="spellStart"/>
            <w:r>
              <w:rPr>
                <w:sz w:val="9"/>
                <w:szCs w:val="9"/>
              </w:rPr>
              <w:t>MWh</w:t>
            </w:r>
            <w:proofErr w:type="spellEnd"/>
            <w:r>
              <w:rPr>
                <w:sz w:val="9"/>
                <w:szCs w:val="9"/>
              </w:rPr>
              <w:t>]</w:t>
            </w:r>
          </w:p>
        </w:tc>
      </w:tr>
      <w:tr w:rsidR="008B0DEB" w14:paraId="4F71CBE1" w14:textId="77777777" w:rsidTr="00B65869">
        <w:tblPrEx>
          <w:tblCellMar>
            <w:top w:w="0" w:type="dxa"/>
            <w:bottom w:w="0" w:type="dxa"/>
          </w:tblCellMar>
        </w:tblPrEx>
        <w:trPr>
          <w:trHeight w:hRule="exact" w:val="374"/>
          <w:jc w:val="center"/>
        </w:trPr>
        <w:tc>
          <w:tcPr>
            <w:tcW w:w="202" w:type="dxa"/>
            <w:tcBorders>
              <w:top w:val="single" w:sz="4" w:space="0" w:color="auto"/>
              <w:left w:val="single" w:sz="4" w:space="0" w:color="auto"/>
            </w:tcBorders>
            <w:shd w:val="clear" w:color="auto" w:fill="FFFFFF"/>
          </w:tcPr>
          <w:p w14:paraId="2A12B70A" w14:textId="77777777" w:rsidR="008B0DEB" w:rsidRDefault="00B65869">
            <w:pPr>
              <w:pStyle w:val="Style13"/>
              <w:shd w:val="clear" w:color="auto" w:fill="auto"/>
              <w:spacing w:after="0" w:line="240" w:lineRule="auto"/>
              <w:jc w:val="center"/>
              <w:rPr>
                <w:sz w:val="9"/>
                <w:szCs w:val="9"/>
              </w:rPr>
            </w:pPr>
            <w:r>
              <w:rPr>
                <w:sz w:val="9"/>
                <w:szCs w:val="9"/>
              </w:rPr>
              <w:t>1</w:t>
            </w:r>
          </w:p>
        </w:tc>
        <w:tc>
          <w:tcPr>
            <w:tcW w:w="1075" w:type="dxa"/>
            <w:tcBorders>
              <w:top w:val="single" w:sz="4" w:space="0" w:color="auto"/>
              <w:left w:val="single" w:sz="4" w:space="0" w:color="auto"/>
            </w:tcBorders>
            <w:shd w:val="clear" w:color="auto" w:fill="FFFFFF"/>
          </w:tcPr>
          <w:p w14:paraId="2B04BE4B" w14:textId="77777777" w:rsidR="008B0DEB" w:rsidRDefault="00B65869">
            <w:pPr>
              <w:pStyle w:val="Style13"/>
              <w:shd w:val="clear" w:color="auto" w:fill="auto"/>
              <w:spacing w:after="0" w:line="266" w:lineRule="auto"/>
              <w:rPr>
                <w:sz w:val="9"/>
                <w:szCs w:val="9"/>
              </w:rPr>
            </w:pPr>
            <w:r>
              <w:rPr>
                <w:sz w:val="9"/>
                <w:szCs w:val="9"/>
              </w:rPr>
              <w:t>Cirkusová 1740, Depozitář Počernice, 190 00 Praha 9</w:t>
            </w:r>
          </w:p>
        </w:tc>
        <w:tc>
          <w:tcPr>
            <w:tcW w:w="955" w:type="dxa"/>
            <w:tcBorders>
              <w:top w:val="single" w:sz="4" w:space="0" w:color="auto"/>
              <w:left w:val="single" w:sz="4" w:space="0" w:color="auto"/>
            </w:tcBorders>
            <w:shd w:val="clear" w:color="auto" w:fill="FFFFFF"/>
          </w:tcPr>
          <w:p w14:paraId="70051DE8" w14:textId="77777777" w:rsidR="008B0DEB" w:rsidRDefault="00B65869">
            <w:pPr>
              <w:pStyle w:val="Style13"/>
              <w:shd w:val="clear" w:color="auto" w:fill="auto"/>
              <w:spacing w:after="0" w:line="240" w:lineRule="auto"/>
              <w:rPr>
                <w:sz w:val="9"/>
                <w:szCs w:val="9"/>
              </w:rPr>
            </w:pPr>
            <w:r>
              <w:rPr>
                <w:sz w:val="9"/>
                <w:szCs w:val="9"/>
              </w:rPr>
              <w:t>859182400300011022</w:t>
            </w:r>
          </w:p>
        </w:tc>
        <w:tc>
          <w:tcPr>
            <w:tcW w:w="269" w:type="dxa"/>
            <w:tcBorders>
              <w:top w:val="single" w:sz="4" w:space="0" w:color="auto"/>
              <w:left w:val="single" w:sz="4" w:space="0" w:color="auto"/>
            </w:tcBorders>
            <w:shd w:val="clear" w:color="auto" w:fill="FFFFFF"/>
          </w:tcPr>
          <w:p w14:paraId="0F59453F" w14:textId="77777777" w:rsidR="008B0DEB" w:rsidRDefault="00B65869">
            <w:pPr>
              <w:pStyle w:val="Style13"/>
              <w:shd w:val="clear" w:color="auto" w:fill="auto"/>
              <w:spacing w:after="0" w:line="240" w:lineRule="auto"/>
              <w:rPr>
                <w:sz w:val="9"/>
                <w:szCs w:val="9"/>
              </w:rPr>
            </w:pPr>
            <w:r>
              <w:rPr>
                <w:sz w:val="9"/>
                <w:szCs w:val="9"/>
              </w:rPr>
              <w:t>510</w:t>
            </w:r>
          </w:p>
        </w:tc>
        <w:tc>
          <w:tcPr>
            <w:tcW w:w="346" w:type="dxa"/>
            <w:tcBorders>
              <w:top w:val="single" w:sz="4" w:space="0" w:color="auto"/>
              <w:left w:val="single" w:sz="4" w:space="0" w:color="auto"/>
            </w:tcBorders>
            <w:shd w:val="clear" w:color="auto" w:fill="FFFFFF"/>
          </w:tcPr>
          <w:p w14:paraId="6EC22E04" w14:textId="77777777" w:rsidR="008B0DEB" w:rsidRDefault="00B65869">
            <w:pPr>
              <w:pStyle w:val="Style13"/>
              <w:shd w:val="clear" w:color="auto" w:fill="auto"/>
              <w:spacing w:after="0" w:line="240" w:lineRule="auto"/>
              <w:jc w:val="center"/>
              <w:rPr>
                <w:sz w:val="9"/>
                <w:szCs w:val="9"/>
              </w:rPr>
            </w:pPr>
            <w:r>
              <w:rPr>
                <w:sz w:val="9"/>
                <w:szCs w:val="9"/>
              </w:rPr>
              <w:t>440</w:t>
            </w:r>
          </w:p>
        </w:tc>
        <w:tc>
          <w:tcPr>
            <w:tcW w:w="648" w:type="dxa"/>
            <w:tcBorders>
              <w:top w:val="single" w:sz="4" w:space="0" w:color="auto"/>
              <w:left w:val="single" w:sz="4" w:space="0" w:color="auto"/>
            </w:tcBorders>
            <w:shd w:val="clear" w:color="auto" w:fill="FFFFFF"/>
          </w:tcPr>
          <w:p w14:paraId="2A6C4F22" w14:textId="77777777" w:rsidR="008B0DEB" w:rsidRDefault="00B65869">
            <w:pPr>
              <w:pStyle w:val="Style13"/>
              <w:shd w:val="clear" w:color="auto" w:fill="auto"/>
              <w:spacing w:after="0" w:line="240" w:lineRule="auto"/>
              <w:jc w:val="center"/>
              <w:rPr>
                <w:sz w:val="9"/>
                <w:szCs w:val="9"/>
              </w:rPr>
            </w:pPr>
            <w:r>
              <w:rPr>
                <w:sz w:val="9"/>
                <w:szCs w:val="9"/>
              </w:rPr>
              <w:t>sjednává se</w:t>
            </w:r>
          </w:p>
        </w:tc>
        <w:tc>
          <w:tcPr>
            <w:tcW w:w="346" w:type="dxa"/>
            <w:tcBorders>
              <w:top w:val="single" w:sz="4" w:space="0" w:color="auto"/>
              <w:left w:val="single" w:sz="4" w:space="0" w:color="auto"/>
            </w:tcBorders>
            <w:shd w:val="clear" w:color="auto" w:fill="FFFFFF"/>
          </w:tcPr>
          <w:p w14:paraId="1824929C" w14:textId="77777777" w:rsidR="008B0DEB" w:rsidRDefault="00B65869">
            <w:pPr>
              <w:pStyle w:val="Style13"/>
              <w:shd w:val="clear" w:color="auto" w:fill="auto"/>
              <w:spacing w:after="0" w:line="240" w:lineRule="auto"/>
              <w:jc w:val="center"/>
              <w:rPr>
                <w:sz w:val="9"/>
                <w:szCs w:val="9"/>
              </w:rPr>
            </w:pPr>
            <w:r>
              <w:rPr>
                <w:sz w:val="9"/>
                <w:szCs w:val="9"/>
              </w:rPr>
              <w:t>A</w:t>
            </w:r>
          </w:p>
        </w:tc>
        <w:tc>
          <w:tcPr>
            <w:tcW w:w="1070" w:type="dxa"/>
            <w:tcBorders>
              <w:top w:val="single" w:sz="4" w:space="0" w:color="auto"/>
              <w:left w:val="single" w:sz="4" w:space="0" w:color="auto"/>
            </w:tcBorders>
            <w:shd w:val="clear" w:color="auto" w:fill="FFFFFF"/>
          </w:tcPr>
          <w:p w14:paraId="38E7D876" w14:textId="73C0BF8D" w:rsidR="008B0DEB" w:rsidRDefault="00B65869">
            <w:pPr>
              <w:pStyle w:val="Style13"/>
              <w:shd w:val="clear" w:color="auto" w:fill="auto"/>
              <w:spacing w:after="0" w:line="257" w:lineRule="auto"/>
              <w:jc w:val="both"/>
              <w:rPr>
                <w:sz w:val="9"/>
                <w:szCs w:val="9"/>
              </w:rPr>
            </w:pPr>
            <w:r>
              <w:rPr>
                <w:sz w:val="9"/>
                <w:szCs w:val="9"/>
              </w:rPr>
              <w:t>XXXXXXXXXXXXXXXXXXXXXXXXXXXXXXXXXXXXXXXXXX</w:t>
            </w:r>
          </w:p>
        </w:tc>
        <w:tc>
          <w:tcPr>
            <w:tcW w:w="422" w:type="dxa"/>
            <w:tcBorders>
              <w:top w:val="single" w:sz="4" w:space="0" w:color="auto"/>
              <w:left w:val="single" w:sz="4" w:space="0" w:color="auto"/>
            </w:tcBorders>
            <w:shd w:val="clear" w:color="auto" w:fill="FFFFFF"/>
          </w:tcPr>
          <w:p w14:paraId="31680B46" w14:textId="77777777" w:rsidR="008B0DEB" w:rsidRDefault="00B65869">
            <w:pPr>
              <w:pStyle w:val="Style13"/>
              <w:shd w:val="clear" w:color="auto" w:fill="auto"/>
              <w:spacing w:after="0" w:line="266" w:lineRule="auto"/>
              <w:jc w:val="center"/>
              <w:rPr>
                <w:sz w:val="9"/>
                <w:szCs w:val="9"/>
              </w:rPr>
            </w:pPr>
            <w:r>
              <w:rPr>
                <w:sz w:val="9"/>
                <w:szCs w:val="9"/>
              </w:rPr>
              <w:t>e</w:t>
            </w:r>
            <w:r>
              <w:rPr>
                <w:sz w:val="9"/>
                <w:szCs w:val="9"/>
              </w:rPr>
              <w:softHyphen/>
              <w:t>mailem</w:t>
            </w:r>
          </w:p>
        </w:tc>
        <w:tc>
          <w:tcPr>
            <w:tcW w:w="1070" w:type="dxa"/>
            <w:tcBorders>
              <w:top w:val="single" w:sz="4" w:space="0" w:color="auto"/>
              <w:left w:val="single" w:sz="4" w:space="0" w:color="auto"/>
            </w:tcBorders>
            <w:shd w:val="clear" w:color="auto" w:fill="FFFFFF"/>
          </w:tcPr>
          <w:p w14:paraId="7F853F30" w14:textId="668F5914" w:rsidR="008B0DEB" w:rsidRDefault="00B65869">
            <w:pPr>
              <w:pStyle w:val="Style13"/>
              <w:shd w:val="clear" w:color="auto" w:fill="auto"/>
              <w:spacing w:after="0" w:line="240" w:lineRule="auto"/>
              <w:rPr>
                <w:sz w:val="9"/>
                <w:szCs w:val="9"/>
              </w:rPr>
            </w:pPr>
            <w:hyperlink r:id="rId17" w:history="1">
              <w:r>
                <w:rPr>
                  <w:sz w:val="9"/>
                  <w:szCs w:val="9"/>
                  <w:lang w:val="en-US" w:eastAsia="en-US" w:bidi="en-US"/>
                </w:rPr>
                <w:t>XXXXXXXXXXXXX</w:t>
              </w:r>
            </w:hyperlink>
          </w:p>
        </w:tc>
        <w:tc>
          <w:tcPr>
            <w:tcW w:w="379" w:type="dxa"/>
            <w:tcBorders>
              <w:top w:val="single" w:sz="4" w:space="0" w:color="auto"/>
              <w:left w:val="single" w:sz="4" w:space="0" w:color="auto"/>
            </w:tcBorders>
            <w:shd w:val="clear" w:color="auto" w:fill="FFFFFF"/>
          </w:tcPr>
          <w:p w14:paraId="35D60E92" w14:textId="77777777" w:rsidR="008B0DEB" w:rsidRDefault="00B65869">
            <w:pPr>
              <w:pStyle w:val="Style13"/>
              <w:shd w:val="clear" w:color="auto" w:fill="auto"/>
              <w:spacing w:after="0" w:line="240" w:lineRule="auto"/>
              <w:jc w:val="both"/>
              <w:rPr>
                <w:sz w:val="9"/>
                <w:szCs w:val="9"/>
              </w:rPr>
            </w:pPr>
            <w:r>
              <w:rPr>
                <w:sz w:val="9"/>
                <w:szCs w:val="9"/>
              </w:rPr>
              <w:t>150,74</w:t>
            </w:r>
          </w:p>
        </w:tc>
        <w:tc>
          <w:tcPr>
            <w:tcW w:w="384" w:type="dxa"/>
            <w:tcBorders>
              <w:top w:val="single" w:sz="4" w:space="0" w:color="auto"/>
              <w:left w:val="single" w:sz="4" w:space="0" w:color="auto"/>
            </w:tcBorders>
            <w:shd w:val="clear" w:color="auto" w:fill="FFFFFF"/>
          </w:tcPr>
          <w:p w14:paraId="6FF9D3DF" w14:textId="77777777" w:rsidR="008B0DEB" w:rsidRDefault="00B65869">
            <w:pPr>
              <w:pStyle w:val="Style13"/>
              <w:shd w:val="clear" w:color="auto" w:fill="auto"/>
              <w:spacing w:after="0" w:line="240" w:lineRule="auto"/>
              <w:rPr>
                <w:sz w:val="9"/>
                <w:szCs w:val="9"/>
              </w:rPr>
            </w:pPr>
            <w:r>
              <w:rPr>
                <w:sz w:val="9"/>
                <w:szCs w:val="9"/>
              </w:rPr>
              <w:t>148,85</w:t>
            </w:r>
          </w:p>
        </w:tc>
        <w:tc>
          <w:tcPr>
            <w:tcW w:w="384" w:type="dxa"/>
            <w:tcBorders>
              <w:top w:val="single" w:sz="4" w:space="0" w:color="auto"/>
              <w:left w:val="single" w:sz="4" w:space="0" w:color="auto"/>
            </w:tcBorders>
            <w:shd w:val="clear" w:color="auto" w:fill="FFFFFF"/>
          </w:tcPr>
          <w:p w14:paraId="5E42143C" w14:textId="77777777" w:rsidR="008B0DEB" w:rsidRDefault="00B65869">
            <w:pPr>
              <w:pStyle w:val="Style13"/>
              <w:shd w:val="clear" w:color="auto" w:fill="auto"/>
              <w:spacing w:after="0" w:line="240" w:lineRule="auto"/>
              <w:rPr>
                <w:sz w:val="9"/>
                <w:szCs w:val="9"/>
              </w:rPr>
            </w:pPr>
            <w:r>
              <w:rPr>
                <w:sz w:val="9"/>
                <w:szCs w:val="9"/>
              </w:rPr>
              <w:t>152,45</w:t>
            </w:r>
          </w:p>
        </w:tc>
        <w:tc>
          <w:tcPr>
            <w:tcW w:w="384" w:type="dxa"/>
            <w:tcBorders>
              <w:top w:val="single" w:sz="4" w:space="0" w:color="auto"/>
              <w:left w:val="single" w:sz="4" w:space="0" w:color="auto"/>
            </w:tcBorders>
            <w:shd w:val="clear" w:color="auto" w:fill="FFFFFF"/>
          </w:tcPr>
          <w:p w14:paraId="280F3650" w14:textId="77777777" w:rsidR="008B0DEB" w:rsidRDefault="00B65869">
            <w:pPr>
              <w:pStyle w:val="Style13"/>
              <w:shd w:val="clear" w:color="auto" w:fill="auto"/>
              <w:spacing w:after="0" w:line="240" w:lineRule="auto"/>
              <w:rPr>
                <w:sz w:val="9"/>
                <w:szCs w:val="9"/>
              </w:rPr>
            </w:pPr>
            <w:r>
              <w:rPr>
                <w:sz w:val="9"/>
                <w:szCs w:val="9"/>
              </w:rPr>
              <w:t>148,75</w:t>
            </w:r>
          </w:p>
        </w:tc>
        <w:tc>
          <w:tcPr>
            <w:tcW w:w="379" w:type="dxa"/>
            <w:tcBorders>
              <w:top w:val="single" w:sz="4" w:space="0" w:color="auto"/>
              <w:left w:val="single" w:sz="4" w:space="0" w:color="auto"/>
            </w:tcBorders>
            <w:shd w:val="clear" w:color="auto" w:fill="FFFFFF"/>
          </w:tcPr>
          <w:p w14:paraId="6AA35FD8" w14:textId="77777777" w:rsidR="008B0DEB" w:rsidRDefault="00B65869">
            <w:pPr>
              <w:pStyle w:val="Style13"/>
              <w:shd w:val="clear" w:color="auto" w:fill="auto"/>
              <w:spacing w:after="0" w:line="240" w:lineRule="auto"/>
              <w:jc w:val="center"/>
              <w:rPr>
                <w:sz w:val="9"/>
                <w:szCs w:val="9"/>
              </w:rPr>
            </w:pPr>
            <w:r>
              <w:rPr>
                <w:sz w:val="9"/>
                <w:szCs w:val="9"/>
              </w:rPr>
              <w:t>163,68</w:t>
            </w:r>
          </w:p>
        </w:tc>
        <w:tc>
          <w:tcPr>
            <w:tcW w:w="384" w:type="dxa"/>
            <w:tcBorders>
              <w:top w:val="single" w:sz="4" w:space="0" w:color="auto"/>
              <w:left w:val="single" w:sz="4" w:space="0" w:color="auto"/>
            </w:tcBorders>
            <w:shd w:val="clear" w:color="auto" w:fill="FFFFFF"/>
          </w:tcPr>
          <w:p w14:paraId="18A0D7EF" w14:textId="77777777" w:rsidR="008B0DEB" w:rsidRDefault="00B65869">
            <w:pPr>
              <w:pStyle w:val="Style13"/>
              <w:shd w:val="clear" w:color="auto" w:fill="auto"/>
              <w:spacing w:after="0" w:line="240" w:lineRule="auto"/>
              <w:jc w:val="right"/>
              <w:rPr>
                <w:sz w:val="9"/>
                <w:szCs w:val="9"/>
              </w:rPr>
            </w:pPr>
            <w:r>
              <w:rPr>
                <w:sz w:val="9"/>
                <w:szCs w:val="9"/>
              </w:rPr>
              <w:t>169,48</w:t>
            </w:r>
          </w:p>
        </w:tc>
        <w:tc>
          <w:tcPr>
            <w:tcW w:w="379" w:type="dxa"/>
            <w:tcBorders>
              <w:top w:val="single" w:sz="4" w:space="0" w:color="auto"/>
              <w:left w:val="single" w:sz="4" w:space="0" w:color="auto"/>
            </w:tcBorders>
            <w:shd w:val="clear" w:color="auto" w:fill="FFFFFF"/>
          </w:tcPr>
          <w:p w14:paraId="6D88A5F7" w14:textId="77777777" w:rsidR="008B0DEB" w:rsidRDefault="00B65869">
            <w:pPr>
              <w:pStyle w:val="Style13"/>
              <w:shd w:val="clear" w:color="auto" w:fill="auto"/>
              <w:spacing w:after="0" w:line="240" w:lineRule="auto"/>
              <w:rPr>
                <w:sz w:val="9"/>
                <w:szCs w:val="9"/>
              </w:rPr>
            </w:pPr>
            <w:r>
              <w:rPr>
                <w:sz w:val="9"/>
                <w:szCs w:val="9"/>
              </w:rPr>
              <w:t>187,41</w:t>
            </w:r>
          </w:p>
        </w:tc>
        <w:tc>
          <w:tcPr>
            <w:tcW w:w="384" w:type="dxa"/>
            <w:tcBorders>
              <w:top w:val="single" w:sz="4" w:space="0" w:color="auto"/>
              <w:left w:val="single" w:sz="4" w:space="0" w:color="auto"/>
            </w:tcBorders>
            <w:shd w:val="clear" w:color="auto" w:fill="FFFFFF"/>
          </w:tcPr>
          <w:p w14:paraId="2E53F323" w14:textId="77777777" w:rsidR="008B0DEB" w:rsidRDefault="00B65869">
            <w:pPr>
              <w:pStyle w:val="Style13"/>
              <w:shd w:val="clear" w:color="auto" w:fill="auto"/>
              <w:spacing w:after="0" w:line="240" w:lineRule="auto"/>
              <w:jc w:val="center"/>
              <w:rPr>
                <w:sz w:val="9"/>
                <w:szCs w:val="9"/>
              </w:rPr>
            </w:pPr>
            <w:r>
              <w:rPr>
                <w:sz w:val="9"/>
                <w:szCs w:val="9"/>
              </w:rPr>
              <w:t>187,41</w:t>
            </w:r>
          </w:p>
        </w:tc>
        <w:tc>
          <w:tcPr>
            <w:tcW w:w="379" w:type="dxa"/>
            <w:tcBorders>
              <w:top w:val="single" w:sz="4" w:space="0" w:color="auto"/>
              <w:left w:val="single" w:sz="4" w:space="0" w:color="auto"/>
            </w:tcBorders>
            <w:shd w:val="clear" w:color="auto" w:fill="FFFFFF"/>
          </w:tcPr>
          <w:p w14:paraId="65A349AC" w14:textId="77777777" w:rsidR="008B0DEB" w:rsidRDefault="00B65869">
            <w:pPr>
              <w:pStyle w:val="Style13"/>
              <w:shd w:val="clear" w:color="auto" w:fill="auto"/>
              <w:spacing w:after="0" w:line="240" w:lineRule="auto"/>
              <w:jc w:val="right"/>
              <w:rPr>
                <w:sz w:val="9"/>
                <w:szCs w:val="9"/>
              </w:rPr>
            </w:pPr>
            <w:r>
              <w:rPr>
                <w:sz w:val="9"/>
                <w:szCs w:val="9"/>
              </w:rPr>
              <w:t>164,87</w:t>
            </w:r>
          </w:p>
        </w:tc>
        <w:tc>
          <w:tcPr>
            <w:tcW w:w="384" w:type="dxa"/>
            <w:tcBorders>
              <w:top w:val="single" w:sz="4" w:space="0" w:color="auto"/>
              <w:left w:val="single" w:sz="4" w:space="0" w:color="auto"/>
            </w:tcBorders>
            <w:shd w:val="clear" w:color="auto" w:fill="FFFFFF"/>
          </w:tcPr>
          <w:p w14:paraId="444E4205" w14:textId="77777777" w:rsidR="008B0DEB" w:rsidRDefault="00B65869">
            <w:pPr>
              <w:pStyle w:val="Style13"/>
              <w:shd w:val="clear" w:color="auto" w:fill="auto"/>
              <w:spacing w:after="0" w:line="240" w:lineRule="auto"/>
              <w:jc w:val="right"/>
              <w:rPr>
                <w:sz w:val="9"/>
                <w:szCs w:val="9"/>
              </w:rPr>
            </w:pPr>
            <w:r>
              <w:rPr>
                <w:sz w:val="9"/>
                <w:szCs w:val="9"/>
              </w:rPr>
              <w:t>141,28</w:t>
            </w:r>
          </w:p>
        </w:tc>
        <w:tc>
          <w:tcPr>
            <w:tcW w:w="384" w:type="dxa"/>
            <w:tcBorders>
              <w:top w:val="single" w:sz="4" w:space="0" w:color="auto"/>
              <w:left w:val="single" w:sz="4" w:space="0" w:color="auto"/>
            </w:tcBorders>
            <w:shd w:val="clear" w:color="auto" w:fill="FFFFFF"/>
          </w:tcPr>
          <w:p w14:paraId="0947A14C" w14:textId="77777777" w:rsidR="008B0DEB" w:rsidRDefault="00B65869">
            <w:pPr>
              <w:pStyle w:val="Style13"/>
              <w:shd w:val="clear" w:color="auto" w:fill="auto"/>
              <w:spacing w:after="0" w:line="240" w:lineRule="auto"/>
              <w:jc w:val="center"/>
              <w:rPr>
                <w:sz w:val="9"/>
                <w:szCs w:val="9"/>
              </w:rPr>
            </w:pPr>
            <w:r>
              <w:rPr>
                <w:sz w:val="9"/>
                <w:szCs w:val="9"/>
              </w:rPr>
              <w:t>142,04</w:t>
            </w:r>
          </w:p>
        </w:tc>
        <w:tc>
          <w:tcPr>
            <w:tcW w:w="398" w:type="dxa"/>
            <w:tcBorders>
              <w:top w:val="single" w:sz="4" w:space="0" w:color="auto"/>
              <w:left w:val="single" w:sz="4" w:space="0" w:color="auto"/>
              <w:right w:val="single" w:sz="4" w:space="0" w:color="auto"/>
            </w:tcBorders>
            <w:shd w:val="clear" w:color="auto" w:fill="FFFFFF"/>
          </w:tcPr>
          <w:p w14:paraId="1C038E2B" w14:textId="77777777" w:rsidR="008B0DEB" w:rsidRDefault="00B65869">
            <w:pPr>
              <w:pStyle w:val="Style13"/>
              <w:shd w:val="clear" w:color="auto" w:fill="auto"/>
              <w:spacing w:after="0" w:line="240" w:lineRule="auto"/>
              <w:jc w:val="center"/>
              <w:rPr>
                <w:sz w:val="9"/>
                <w:szCs w:val="9"/>
              </w:rPr>
            </w:pPr>
            <w:r>
              <w:rPr>
                <w:sz w:val="9"/>
                <w:szCs w:val="9"/>
              </w:rPr>
              <w:t>144,23</w:t>
            </w:r>
          </w:p>
        </w:tc>
      </w:tr>
      <w:tr w:rsidR="00B65869" w14:paraId="1DE7C367" w14:textId="77777777" w:rsidTr="00B65869">
        <w:tblPrEx>
          <w:tblCellMar>
            <w:top w:w="0" w:type="dxa"/>
            <w:bottom w:w="0" w:type="dxa"/>
          </w:tblCellMar>
        </w:tblPrEx>
        <w:trPr>
          <w:trHeight w:hRule="exact" w:val="379"/>
          <w:jc w:val="center"/>
        </w:trPr>
        <w:tc>
          <w:tcPr>
            <w:tcW w:w="202" w:type="dxa"/>
            <w:tcBorders>
              <w:top w:val="single" w:sz="4" w:space="0" w:color="auto"/>
              <w:left w:val="single" w:sz="4" w:space="0" w:color="auto"/>
            </w:tcBorders>
            <w:shd w:val="clear" w:color="auto" w:fill="FFFFFF"/>
          </w:tcPr>
          <w:p w14:paraId="5BA762C9" w14:textId="77777777" w:rsidR="00B65869" w:rsidRDefault="00B65869" w:rsidP="00B65869">
            <w:pPr>
              <w:pStyle w:val="Style13"/>
              <w:shd w:val="clear" w:color="auto" w:fill="auto"/>
              <w:spacing w:after="0" w:line="240" w:lineRule="auto"/>
              <w:jc w:val="center"/>
              <w:rPr>
                <w:sz w:val="9"/>
                <w:szCs w:val="9"/>
              </w:rPr>
            </w:pPr>
            <w:r>
              <w:rPr>
                <w:sz w:val="9"/>
                <w:szCs w:val="9"/>
              </w:rPr>
              <w:t>2</w:t>
            </w:r>
          </w:p>
        </w:tc>
        <w:tc>
          <w:tcPr>
            <w:tcW w:w="1075" w:type="dxa"/>
            <w:tcBorders>
              <w:top w:val="single" w:sz="4" w:space="0" w:color="auto"/>
              <w:left w:val="single" w:sz="4" w:space="0" w:color="auto"/>
            </w:tcBorders>
            <w:shd w:val="clear" w:color="auto" w:fill="FFFFFF"/>
          </w:tcPr>
          <w:p w14:paraId="3F859003" w14:textId="77777777" w:rsidR="00B65869" w:rsidRDefault="00B65869" w:rsidP="00B65869">
            <w:pPr>
              <w:pStyle w:val="Style13"/>
              <w:shd w:val="clear" w:color="auto" w:fill="auto"/>
              <w:spacing w:after="0" w:line="262" w:lineRule="auto"/>
              <w:rPr>
                <w:sz w:val="9"/>
                <w:szCs w:val="9"/>
              </w:rPr>
            </w:pPr>
            <w:r>
              <w:rPr>
                <w:sz w:val="9"/>
                <w:szCs w:val="9"/>
              </w:rPr>
              <w:t>Betlémské náměstí 1, Náprstkovo museum, 110 00 Praha 1</w:t>
            </w:r>
          </w:p>
        </w:tc>
        <w:tc>
          <w:tcPr>
            <w:tcW w:w="955" w:type="dxa"/>
            <w:tcBorders>
              <w:top w:val="single" w:sz="4" w:space="0" w:color="auto"/>
              <w:left w:val="single" w:sz="4" w:space="0" w:color="auto"/>
            </w:tcBorders>
            <w:shd w:val="clear" w:color="auto" w:fill="FFFFFF"/>
          </w:tcPr>
          <w:p w14:paraId="01F29883" w14:textId="77777777" w:rsidR="00B65869" w:rsidRDefault="00B65869" w:rsidP="00B65869">
            <w:pPr>
              <w:pStyle w:val="Style13"/>
              <w:shd w:val="clear" w:color="auto" w:fill="auto"/>
              <w:spacing w:after="0" w:line="240" w:lineRule="auto"/>
              <w:rPr>
                <w:sz w:val="9"/>
                <w:szCs w:val="9"/>
              </w:rPr>
            </w:pPr>
            <w:r>
              <w:rPr>
                <w:sz w:val="9"/>
                <w:szCs w:val="9"/>
              </w:rPr>
              <w:t>859182400300013675</w:t>
            </w:r>
          </w:p>
        </w:tc>
        <w:tc>
          <w:tcPr>
            <w:tcW w:w="269" w:type="dxa"/>
            <w:tcBorders>
              <w:top w:val="single" w:sz="4" w:space="0" w:color="auto"/>
              <w:left w:val="single" w:sz="4" w:space="0" w:color="auto"/>
            </w:tcBorders>
            <w:shd w:val="clear" w:color="auto" w:fill="FFFFFF"/>
          </w:tcPr>
          <w:p w14:paraId="52D18FC3" w14:textId="77777777" w:rsidR="00B65869" w:rsidRDefault="00B65869" w:rsidP="00B65869">
            <w:pPr>
              <w:pStyle w:val="Style13"/>
              <w:shd w:val="clear" w:color="auto" w:fill="auto"/>
              <w:spacing w:after="0" w:line="240" w:lineRule="auto"/>
              <w:rPr>
                <w:sz w:val="9"/>
                <w:szCs w:val="9"/>
              </w:rPr>
            </w:pPr>
            <w:r>
              <w:rPr>
                <w:sz w:val="9"/>
                <w:szCs w:val="9"/>
              </w:rPr>
              <w:t>360</w:t>
            </w:r>
          </w:p>
        </w:tc>
        <w:tc>
          <w:tcPr>
            <w:tcW w:w="346" w:type="dxa"/>
            <w:tcBorders>
              <w:top w:val="single" w:sz="4" w:space="0" w:color="auto"/>
              <w:left w:val="single" w:sz="4" w:space="0" w:color="auto"/>
            </w:tcBorders>
            <w:shd w:val="clear" w:color="auto" w:fill="FFFFFF"/>
          </w:tcPr>
          <w:p w14:paraId="4C851232" w14:textId="77777777" w:rsidR="00B65869" w:rsidRDefault="00B65869" w:rsidP="00B65869">
            <w:pPr>
              <w:pStyle w:val="Style13"/>
              <w:shd w:val="clear" w:color="auto" w:fill="auto"/>
              <w:spacing w:after="0" w:line="240" w:lineRule="auto"/>
              <w:jc w:val="center"/>
              <w:rPr>
                <w:sz w:val="9"/>
                <w:szCs w:val="9"/>
              </w:rPr>
            </w:pPr>
            <w:r>
              <w:rPr>
                <w:sz w:val="9"/>
                <w:szCs w:val="9"/>
              </w:rPr>
              <w:t>100</w:t>
            </w:r>
          </w:p>
        </w:tc>
        <w:tc>
          <w:tcPr>
            <w:tcW w:w="648" w:type="dxa"/>
            <w:tcBorders>
              <w:top w:val="single" w:sz="4" w:space="0" w:color="auto"/>
              <w:left w:val="single" w:sz="4" w:space="0" w:color="auto"/>
            </w:tcBorders>
            <w:shd w:val="clear" w:color="auto" w:fill="FFFFFF"/>
          </w:tcPr>
          <w:p w14:paraId="2817D74A" w14:textId="77777777" w:rsidR="00B65869" w:rsidRDefault="00B65869" w:rsidP="00B65869">
            <w:pPr>
              <w:pStyle w:val="Style13"/>
              <w:shd w:val="clear" w:color="auto" w:fill="auto"/>
              <w:spacing w:after="0" w:line="240" w:lineRule="auto"/>
              <w:jc w:val="both"/>
              <w:rPr>
                <w:sz w:val="9"/>
                <w:szCs w:val="9"/>
              </w:rPr>
            </w:pPr>
            <w:r>
              <w:rPr>
                <w:sz w:val="9"/>
                <w:szCs w:val="9"/>
              </w:rPr>
              <w:t>sjednává se</w:t>
            </w:r>
          </w:p>
        </w:tc>
        <w:tc>
          <w:tcPr>
            <w:tcW w:w="346" w:type="dxa"/>
            <w:tcBorders>
              <w:top w:val="single" w:sz="4" w:space="0" w:color="auto"/>
              <w:left w:val="single" w:sz="4" w:space="0" w:color="auto"/>
            </w:tcBorders>
            <w:shd w:val="clear" w:color="auto" w:fill="FFFFFF"/>
          </w:tcPr>
          <w:p w14:paraId="35AB0488" w14:textId="77777777" w:rsidR="00B65869" w:rsidRDefault="00B65869" w:rsidP="00B65869">
            <w:pPr>
              <w:pStyle w:val="Style13"/>
              <w:shd w:val="clear" w:color="auto" w:fill="auto"/>
              <w:spacing w:after="0" w:line="240" w:lineRule="auto"/>
              <w:jc w:val="center"/>
              <w:rPr>
                <w:sz w:val="9"/>
                <w:szCs w:val="9"/>
              </w:rPr>
            </w:pPr>
            <w:r>
              <w:rPr>
                <w:sz w:val="9"/>
                <w:szCs w:val="9"/>
              </w:rPr>
              <w:t>A</w:t>
            </w:r>
          </w:p>
        </w:tc>
        <w:tc>
          <w:tcPr>
            <w:tcW w:w="1070" w:type="dxa"/>
            <w:tcBorders>
              <w:top w:val="single" w:sz="4" w:space="0" w:color="auto"/>
              <w:left w:val="single" w:sz="4" w:space="0" w:color="auto"/>
            </w:tcBorders>
            <w:shd w:val="clear" w:color="auto" w:fill="FFFFFF"/>
          </w:tcPr>
          <w:p w14:paraId="4267A0A0" w14:textId="12D8FE6B" w:rsidR="00B65869" w:rsidRDefault="00B65869" w:rsidP="00B65869">
            <w:pPr>
              <w:pStyle w:val="Style13"/>
              <w:shd w:val="clear" w:color="auto" w:fill="auto"/>
              <w:spacing w:after="0" w:line="257" w:lineRule="auto"/>
              <w:jc w:val="both"/>
              <w:rPr>
                <w:sz w:val="9"/>
                <w:szCs w:val="9"/>
              </w:rPr>
            </w:pPr>
            <w:r>
              <w:rPr>
                <w:sz w:val="9"/>
                <w:szCs w:val="9"/>
              </w:rPr>
              <w:t>XXXXXXXXXXXXXXXXXXXXXXXXXXXXXXXXXXXXXXXXXX</w:t>
            </w:r>
          </w:p>
        </w:tc>
        <w:tc>
          <w:tcPr>
            <w:tcW w:w="422" w:type="dxa"/>
            <w:tcBorders>
              <w:top w:val="single" w:sz="4" w:space="0" w:color="auto"/>
              <w:left w:val="single" w:sz="4" w:space="0" w:color="auto"/>
            </w:tcBorders>
            <w:shd w:val="clear" w:color="auto" w:fill="FFFFFF"/>
            <w:vAlign w:val="center"/>
          </w:tcPr>
          <w:p w14:paraId="1C89EAD3" w14:textId="77777777" w:rsidR="00B65869" w:rsidRDefault="00B65869" w:rsidP="00B65869">
            <w:pPr>
              <w:pStyle w:val="Style13"/>
              <w:shd w:val="clear" w:color="auto" w:fill="auto"/>
              <w:spacing w:after="0" w:line="240" w:lineRule="auto"/>
              <w:jc w:val="both"/>
              <w:rPr>
                <w:sz w:val="9"/>
                <w:szCs w:val="9"/>
              </w:rPr>
            </w:pPr>
            <w:r>
              <w:rPr>
                <w:sz w:val="9"/>
                <w:szCs w:val="9"/>
              </w:rPr>
              <w:t>mailem</w:t>
            </w:r>
          </w:p>
        </w:tc>
        <w:tc>
          <w:tcPr>
            <w:tcW w:w="1070" w:type="dxa"/>
            <w:tcBorders>
              <w:top w:val="single" w:sz="4" w:space="0" w:color="auto"/>
              <w:left w:val="single" w:sz="4" w:space="0" w:color="auto"/>
            </w:tcBorders>
            <w:shd w:val="clear" w:color="auto" w:fill="FFFFFF"/>
          </w:tcPr>
          <w:p w14:paraId="72026C2D" w14:textId="49B8E14D" w:rsidR="00B65869" w:rsidRDefault="00B65869" w:rsidP="00B65869">
            <w:pPr>
              <w:pStyle w:val="Style13"/>
              <w:shd w:val="clear" w:color="auto" w:fill="auto"/>
              <w:spacing w:after="0" w:line="240" w:lineRule="auto"/>
              <w:rPr>
                <w:sz w:val="9"/>
                <w:szCs w:val="9"/>
              </w:rPr>
            </w:pPr>
            <w:hyperlink r:id="rId18" w:history="1">
              <w:r w:rsidRPr="00B84A99">
                <w:rPr>
                  <w:sz w:val="9"/>
                  <w:szCs w:val="9"/>
                  <w:lang w:val="en-US" w:eastAsia="en-US" w:bidi="en-US"/>
                </w:rPr>
                <w:t>XXXXXXXXXXXXX</w:t>
              </w:r>
            </w:hyperlink>
          </w:p>
        </w:tc>
        <w:tc>
          <w:tcPr>
            <w:tcW w:w="379" w:type="dxa"/>
            <w:tcBorders>
              <w:top w:val="single" w:sz="4" w:space="0" w:color="auto"/>
              <w:left w:val="single" w:sz="4" w:space="0" w:color="auto"/>
            </w:tcBorders>
            <w:shd w:val="clear" w:color="auto" w:fill="FFFFFF"/>
          </w:tcPr>
          <w:p w14:paraId="61FCFE25" w14:textId="77777777" w:rsidR="00B65869" w:rsidRDefault="00B65869" w:rsidP="00B65869">
            <w:pPr>
              <w:pStyle w:val="Style13"/>
              <w:shd w:val="clear" w:color="auto" w:fill="auto"/>
              <w:spacing w:after="0" w:line="240" w:lineRule="auto"/>
              <w:jc w:val="both"/>
              <w:rPr>
                <w:sz w:val="9"/>
                <w:szCs w:val="9"/>
              </w:rPr>
            </w:pPr>
            <w:r>
              <w:rPr>
                <w:sz w:val="9"/>
                <w:szCs w:val="9"/>
              </w:rPr>
              <w:t>71,58</w:t>
            </w:r>
          </w:p>
        </w:tc>
        <w:tc>
          <w:tcPr>
            <w:tcW w:w="384" w:type="dxa"/>
            <w:tcBorders>
              <w:top w:val="single" w:sz="4" w:space="0" w:color="auto"/>
              <w:left w:val="single" w:sz="4" w:space="0" w:color="auto"/>
            </w:tcBorders>
            <w:shd w:val="clear" w:color="auto" w:fill="FFFFFF"/>
          </w:tcPr>
          <w:p w14:paraId="41AEBEC3" w14:textId="77777777" w:rsidR="00B65869" w:rsidRDefault="00B65869" w:rsidP="00B65869">
            <w:pPr>
              <w:pStyle w:val="Style13"/>
              <w:shd w:val="clear" w:color="auto" w:fill="auto"/>
              <w:spacing w:after="0" w:line="240" w:lineRule="auto"/>
              <w:jc w:val="center"/>
              <w:rPr>
                <w:sz w:val="9"/>
                <w:szCs w:val="9"/>
              </w:rPr>
            </w:pPr>
            <w:r>
              <w:rPr>
                <w:sz w:val="9"/>
                <w:szCs w:val="9"/>
              </w:rPr>
              <w:t>65,74</w:t>
            </w:r>
          </w:p>
        </w:tc>
        <w:tc>
          <w:tcPr>
            <w:tcW w:w="384" w:type="dxa"/>
            <w:tcBorders>
              <w:top w:val="single" w:sz="4" w:space="0" w:color="auto"/>
              <w:left w:val="single" w:sz="4" w:space="0" w:color="auto"/>
            </w:tcBorders>
            <w:shd w:val="clear" w:color="auto" w:fill="FFFFFF"/>
          </w:tcPr>
          <w:p w14:paraId="67D91934" w14:textId="77777777" w:rsidR="00B65869" w:rsidRDefault="00B65869" w:rsidP="00B65869">
            <w:pPr>
              <w:pStyle w:val="Style13"/>
              <w:shd w:val="clear" w:color="auto" w:fill="auto"/>
              <w:spacing w:after="0" w:line="240" w:lineRule="auto"/>
              <w:rPr>
                <w:sz w:val="9"/>
                <w:szCs w:val="9"/>
              </w:rPr>
            </w:pPr>
            <w:r>
              <w:rPr>
                <w:sz w:val="9"/>
                <w:szCs w:val="9"/>
              </w:rPr>
              <w:t>62,35</w:t>
            </w:r>
          </w:p>
        </w:tc>
        <w:tc>
          <w:tcPr>
            <w:tcW w:w="384" w:type="dxa"/>
            <w:tcBorders>
              <w:top w:val="single" w:sz="4" w:space="0" w:color="auto"/>
              <w:left w:val="single" w:sz="4" w:space="0" w:color="auto"/>
            </w:tcBorders>
            <w:shd w:val="clear" w:color="auto" w:fill="FFFFFF"/>
          </w:tcPr>
          <w:p w14:paraId="0EA8BBFB" w14:textId="77777777" w:rsidR="00B65869" w:rsidRDefault="00B65869" w:rsidP="00B65869">
            <w:pPr>
              <w:pStyle w:val="Style13"/>
              <w:shd w:val="clear" w:color="auto" w:fill="auto"/>
              <w:spacing w:after="0" w:line="240" w:lineRule="auto"/>
              <w:rPr>
                <w:sz w:val="9"/>
                <w:szCs w:val="9"/>
              </w:rPr>
            </w:pPr>
            <w:r>
              <w:rPr>
                <w:sz w:val="9"/>
                <w:szCs w:val="9"/>
              </w:rPr>
              <w:t>45,87</w:t>
            </w:r>
          </w:p>
        </w:tc>
        <w:tc>
          <w:tcPr>
            <w:tcW w:w="379" w:type="dxa"/>
            <w:tcBorders>
              <w:top w:val="single" w:sz="4" w:space="0" w:color="auto"/>
              <w:left w:val="single" w:sz="4" w:space="0" w:color="auto"/>
            </w:tcBorders>
            <w:shd w:val="clear" w:color="auto" w:fill="FFFFFF"/>
          </w:tcPr>
          <w:p w14:paraId="7A4048B9" w14:textId="77777777" w:rsidR="00B65869" w:rsidRDefault="00B65869" w:rsidP="00B65869">
            <w:pPr>
              <w:pStyle w:val="Style13"/>
              <w:shd w:val="clear" w:color="auto" w:fill="auto"/>
              <w:spacing w:after="0" w:line="240" w:lineRule="auto"/>
              <w:jc w:val="center"/>
              <w:rPr>
                <w:sz w:val="9"/>
                <w:szCs w:val="9"/>
              </w:rPr>
            </w:pPr>
            <w:r>
              <w:rPr>
                <w:sz w:val="9"/>
                <w:szCs w:val="9"/>
              </w:rPr>
              <w:t>18,85</w:t>
            </w:r>
          </w:p>
        </w:tc>
        <w:tc>
          <w:tcPr>
            <w:tcW w:w="384" w:type="dxa"/>
            <w:tcBorders>
              <w:top w:val="single" w:sz="4" w:space="0" w:color="auto"/>
              <w:left w:val="single" w:sz="4" w:space="0" w:color="auto"/>
            </w:tcBorders>
            <w:shd w:val="clear" w:color="auto" w:fill="FFFFFF"/>
          </w:tcPr>
          <w:p w14:paraId="0F32D86C" w14:textId="77777777" w:rsidR="00B65869" w:rsidRDefault="00B65869" w:rsidP="00B65869">
            <w:pPr>
              <w:pStyle w:val="Style13"/>
              <w:shd w:val="clear" w:color="auto" w:fill="auto"/>
              <w:spacing w:after="0" w:line="240" w:lineRule="auto"/>
              <w:jc w:val="right"/>
              <w:rPr>
                <w:sz w:val="9"/>
                <w:szCs w:val="9"/>
              </w:rPr>
            </w:pPr>
            <w:r>
              <w:rPr>
                <w:sz w:val="9"/>
                <w:szCs w:val="9"/>
              </w:rPr>
              <w:t>12,05</w:t>
            </w:r>
          </w:p>
        </w:tc>
        <w:tc>
          <w:tcPr>
            <w:tcW w:w="379" w:type="dxa"/>
            <w:tcBorders>
              <w:top w:val="single" w:sz="4" w:space="0" w:color="auto"/>
              <w:left w:val="single" w:sz="4" w:space="0" w:color="auto"/>
            </w:tcBorders>
            <w:shd w:val="clear" w:color="auto" w:fill="FFFFFF"/>
          </w:tcPr>
          <w:p w14:paraId="2CA55A69" w14:textId="77777777" w:rsidR="00B65869" w:rsidRDefault="00B65869" w:rsidP="00B65869">
            <w:pPr>
              <w:pStyle w:val="Style13"/>
              <w:shd w:val="clear" w:color="auto" w:fill="auto"/>
              <w:spacing w:after="0" w:line="240" w:lineRule="auto"/>
              <w:rPr>
                <w:sz w:val="9"/>
                <w:szCs w:val="9"/>
              </w:rPr>
            </w:pPr>
            <w:r>
              <w:rPr>
                <w:sz w:val="9"/>
                <w:szCs w:val="9"/>
              </w:rPr>
              <w:t>11,14</w:t>
            </w:r>
          </w:p>
        </w:tc>
        <w:tc>
          <w:tcPr>
            <w:tcW w:w="384" w:type="dxa"/>
            <w:tcBorders>
              <w:top w:val="single" w:sz="4" w:space="0" w:color="auto"/>
              <w:left w:val="single" w:sz="4" w:space="0" w:color="auto"/>
            </w:tcBorders>
            <w:shd w:val="clear" w:color="auto" w:fill="FFFFFF"/>
          </w:tcPr>
          <w:p w14:paraId="5E8A4A4E" w14:textId="77777777" w:rsidR="00B65869" w:rsidRDefault="00B65869" w:rsidP="00B65869">
            <w:pPr>
              <w:pStyle w:val="Style13"/>
              <w:shd w:val="clear" w:color="auto" w:fill="auto"/>
              <w:spacing w:after="0" w:line="240" w:lineRule="auto"/>
              <w:jc w:val="center"/>
              <w:rPr>
                <w:sz w:val="9"/>
                <w:szCs w:val="9"/>
              </w:rPr>
            </w:pPr>
            <w:r>
              <w:rPr>
                <w:sz w:val="9"/>
                <w:szCs w:val="9"/>
              </w:rPr>
              <w:t>11,14</w:t>
            </w:r>
          </w:p>
        </w:tc>
        <w:tc>
          <w:tcPr>
            <w:tcW w:w="379" w:type="dxa"/>
            <w:tcBorders>
              <w:top w:val="single" w:sz="4" w:space="0" w:color="auto"/>
              <w:left w:val="single" w:sz="4" w:space="0" w:color="auto"/>
            </w:tcBorders>
            <w:shd w:val="clear" w:color="auto" w:fill="FFFFFF"/>
          </w:tcPr>
          <w:p w14:paraId="7A517C35" w14:textId="77777777" w:rsidR="00B65869" w:rsidRDefault="00B65869" w:rsidP="00B65869">
            <w:pPr>
              <w:pStyle w:val="Style13"/>
              <w:shd w:val="clear" w:color="auto" w:fill="auto"/>
              <w:spacing w:after="0" w:line="240" w:lineRule="auto"/>
              <w:jc w:val="both"/>
              <w:rPr>
                <w:sz w:val="9"/>
                <w:szCs w:val="9"/>
              </w:rPr>
            </w:pPr>
            <w:r>
              <w:rPr>
                <w:sz w:val="9"/>
                <w:szCs w:val="9"/>
              </w:rPr>
              <w:t>17,26</w:t>
            </w:r>
          </w:p>
        </w:tc>
        <w:tc>
          <w:tcPr>
            <w:tcW w:w="384" w:type="dxa"/>
            <w:tcBorders>
              <w:top w:val="single" w:sz="4" w:space="0" w:color="auto"/>
              <w:left w:val="single" w:sz="4" w:space="0" w:color="auto"/>
            </w:tcBorders>
            <w:shd w:val="clear" w:color="auto" w:fill="FFFFFF"/>
          </w:tcPr>
          <w:p w14:paraId="2316F059" w14:textId="77777777" w:rsidR="00B65869" w:rsidRDefault="00B65869" w:rsidP="00B65869">
            <w:pPr>
              <w:pStyle w:val="Style13"/>
              <w:shd w:val="clear" w:color="auto" w:fill="auto"/>
              <w:spacing w:after="0" w:line="240" w:lineRule="auto"/>
              <w:jc w:val="right"/>
              <w:rPr>
                <w:sz w:val="9"/>
                <w:szCs w:val="9"/>
              </w:rPr>
            </w:pPr>
            <w:r>
              <w:rPr>
                <w:sz w:val="9"/>
                <w:szCs w:val="9"/>
              </w:rPr>
              <w:t>34,52</w:t>
            </w:r>
          </w:p>
        </w:tc>
        <w:tc>
          <w:tcPr>
            <w:tcW w:w="384" w:type="dxa"/>
            <w:tcBorders>
              <w:top w:val="single" w:sz="4" w:space="0" w:color="auto"/>
              <w:left w:val="single" w:sz="4" w:space="0" w:color="auto"/>
            </w:tcBorders>
            <w:shd w:val="clear" w:color="auto" w:fill="FFFFFF"/>
          </w:tcPr>
          <w:p w14:paraId="420F39CF" w14:textId="77777777" w:rsidR="00B65869" w:rsidRDefault="00B65869" w:rsidP="00B65869">
            <w:pPr>
              <w:pStyle w:val="Style13"/>
              <w:shd w:val="clear" w:color="auto" w:fill="auto"/>
              <w:spacing w:after="0" w:line="240" w:lineRule="auto"/>
              <w:jc w:val="center"/>
              <w:rPr>
                <w:sz w:val="9"/>
                <w:szCs w:val="9"/>
              </w:rPr>
            </w:pPr>
            <w:r>
              <w:rPr>
                <w:sz w:val="9"/>
                <w:szCs w:val="9"/>
              </w:rPr>
              <w:t>55,69</w:t>
            </w:r>
          </w:p>
        </w:tc>
        <w:tc>
          <w:tcPr>
            <w:tcW w:w="398" w:type="dxa"/>
            <w:tcBorders>
              <w:top w:val="single" w:sz="4" w:space="0" w:color="auto"/>
              <w:left w:val="single" w:sz="4" w:space="0" w:color="auto"/>
              <w:right w:val="single" w:sz="4" w:space="0" w:color="auto"/>
            </w:tcBorders>
            <w:shd w:val="clear" w:color="auto" w:fill="FFFFFF"/>
          </w:tcPr>
          <w:p w14:paraId="5D298BDF" w14:textId="77777777" w:rsidR="00B65869" w:rsidRDefault="00B65869" w:rsidP="00B65869">
            <w:pPr>
              <w:pStyle w:val="Style13"/>
              <w:shd w:val="clear" w:color="auto" w:fill="auto"/>
              <w:spacing w:after="0" w:line="240" w:lineRule="auto"/>
              <w:jc w:val="center"/>
              <w:rPr>
                <w:sz w:val="9"/>
                <w:szCs w:val="9"/>
              </w:rPr>
            </w:pPr>
            <w:r>
              <w:rPr>
                <w:sz w:val="9"/>
                <w:szCs w:val="9"/>
              </w:rPr>
              <w:t>70,25</w:t>
            </w:r>
          </w:p>
        </w:tc>
      </w:tr>
      <w:tr w:rsidR="00B65869" w14:paraId="10C0E0DB" w14:textId="77777777" w:rsidTr="00B65869">
        <w:tblPrEx>
          <w:tblCellMar>
            <w:top w:w="0" w:type="dxa"/>
            <w:bottom w:w="0" w:type="dxa"/>
          </w:tblCellMar>
        </w:tblPrEx>
        <w:trPr>
          <w:trHeight w:hRule="exact" w:val="374"/>
          <w:jc w:val="center"/>
        </w:trPr>
        <w:tc>
          <w:tcPr>
            <w:tcW w:w="202" w:type="dxa"/>
            <w:tcBorders>
              <w:top w:val="single" w:sz="4" w:space="0" w:color="auto"/>
              <w:left w:val="single" w:sz="4" w:space="0" w:color="auto"/>
            </w:tcBorders>
            <w:shd w:val="clear" w:color="auto" w:fill="FFFFFF"/>
          </w:tcPr>
          <w:p w14:paraId="5F4014A4" w14:textId="77777777" w:rsidR="00B65869" w:rsidRDefault="00B65869" w:rsidP="00B65869">
            <w:pPr>
              <w:rPr>
                <w:sz w:val="10"/>
                <w:szCs w:val="10"/>
              </w:rPr>
            </w:pPr>
          </w:p>
        </w:tc>
        <w:tc>
          <w:tcPr>
            <w:tcW w:w="1075" w:type="dxa"/>
            <w:tcBorders>
              <w:top w:val="single" w:sz="4" w:space="0" w:color="auto"/>
              <w:left w:val="single" w:sz="4" w:space="0" w:color="auto"/>
            </w:tcBorders>
            <w:shd w:val="clear" w:color="auto" w:fill="FFFFFF"/>
          </w:tcPr>
          <w:p w14:paraId="3864C9B2" w14:textId="77777777" w:rsidR="00B65869" w:rsidRDefault="00B65869" w:rsidP="00B65869">
            <w:pPr>
              <w:pStyle w:val="Style13"/>
              <w:shd w:val="clear" w:color="auto" w:fill="auto"/>
              <w:spacing w:after="0" w:line="266" w:lineRule="auto"/>
              <w:rPr>
                <w:sz w:val="9"/>
                <w:szCs w:val="9"/>
              </w:rPr>
            </w:pPr>
            <w:r>
              <w:rPr>
                <w:sz w:val="9"/>
                <w:szCs w:val="9"/>
              </w:rPr>
              <w:t>Václavské náměstí 68 ,</w:t>
            </w:r>
          </w:p>
          <w:p w14:paraId="0D9A7DA5" w14:textId="77777777" w:rsidR="00B65869" w:rsidRDefault="00B65869" w:rsidP="00B65869">
            <w:pPr>
              <w:pStyle w:val="Style13"/>
              <w:shd w:val="clear" w:color="auto" w:fill="auto"/>
              <w:spacing w:after="0" w:line="266" w:lineRule="auto"/>
              <w:rPr>
                <w:sz w:val="9"/>
                <w:szCs w:val="9"/>
              </w:rPr>
            </w:pPr>
            <w:r>
              <w:rPr>
                <w:sz w:val="9"/>
                <w:szCs w:val="9"/>
              </w:rPr>
              <w:t>Hlavni budova, 115 79 Praha 1</w:t>
            </w:r>
          </w:p>
        </w:tc>
        <w:tc>
          <w:tcPr>
            <w:tcW w:w="955" w:type="dxa"/>
            <w:tcBorders>
              <w:top w:val="single" w:sz="4" w:space="0" w:color="auto"/>
              <w:left w:val="single" w:sz="4" w:space="0" w:color="auto"/>
            </w:tcBorders>
            <w:shd w:val="clear" w:color="auto" w:fill="FFFFFF"/>
          </w:tcPr>
          <w:p w14:paraId="7AD2DD75" w14:textId="77777777" w:rsidR="00B65869" w:rsidRDefault="00B65869" w:rsidP="00B65869">
            <w:pPr>
              <w:pStyle w:val="Style13"/>
              <w:shd w:val="clear" w:color="auto" w:fill="auto"/>
              <w:spacing w:after="0" w:line="240" w:lineRule="auto"/>
              <w:rPr>
                <w:sz w:val="9"/>
                <w:szCs w:val="9"/>
              </w:rPr>
            </w:pPr>
            <w:r>
              <w:rPr>
                <w:sz w:val="9"/>
                <w:szCs w:val="9"/>
              </w:rPr>
              <w:t>159182400300013545</w:t>
            </w:r>
          </w:p>
        </w:tc>
        <w:tc>
          <w:tcPr>
            <w:tcW w:w="269" w:type="dxa"/>
            <w:tcBorders>
              <w:top w:val="single" w:sz="4" w:space="0" w:color="auto"/>
              <w:left w:val="single" w:sz="4" w:space="0" w:color="auto"/>
            </w:tcBorders>
            <w:shd w:val="clear" w:color="auto" w:fill="FFFFFF"/>
          </w:tcPr>
          <w:p w14:paraId="0686CC64" w14:textId="77777777" w:rsidR="00B65869" w:rsidRDefault="00B65869" w:rsidP="00B65869">
            <w:pPr>
              <w:pStyle w:val="Style13"/>
              <w:shd w:val="clear" w:color="auto" w:fill="auto"/>
              <w:spacing w:after="0" w:line="240" w:lineRule="auto"/>
              <w:rPr>
                <w:sz w:val="9"/>
                <w:szCs w:val="9"/>
              </w:rPr>
            </w:pPr>
            <w:r>
              <w:rPr>
                <w:sz w:val="9"/>
                <w:szCs w:val="9"/>
              </w:rPr>
              <w:t>900</w:t>
            </w:r>
          </w:p>
        </w:tc>
        <w:tc>
          <w:tcPr>
            <w:tcW w:w="346" w:type="dxa"/>
            <w:tcBorders>
              <w:top w:val="single" w:sz="4" w:space="0" w:color="auto"/>
              <w:left w:val="single" w:sz="4" w:space="0" w:color="auto"/>
            </w:tcBorders>
            <w:shd w:val="clear" w:color="auto" w:fill="FFFFFF"/>
          </w:tcPr>
          <w:p w14:paraId="7C5BC79B" w14:textId="77777777" w:rsidR="00B65869" w:rsidRDefault="00B65869" w:rsidP="00B65869">
            <w:pPr>
              <w:pStyle w:val="Style13"/>
              <w:shd w:val="clear" w:color="auto" w:fill="auto"/>
              <w:spacing w:after="0" w:line="240" w:lineRule="auto"/>
              <w:jc w:val="center"/>
              <w:rPr>
                <w:sz w:val="9"/>
                <w:szCs w:val="9"/>
              </w:rPr>
            </w:pPr>
            <w:r>
              <w:rPr>
                <w:sz w:val="9"/>
                <w:szCs w:val="9"/>
              </w:rPr>
              <w:t>600</w:t>
            </w:r>
          </w:p>
        </w:tc>
        <w:tc>
          <w:tcPr>
            <w:tcW w:w="648" w:type="dxa"/>
            <w:tcBorders>
              <w:top w:val="single" w:sz="4" w:space="0" w:color="auto"/>
              <w:left w:val="single" w:sz="4" w:space="0" w:color="auto"/>
            </w:tcBorders>
            <w:shd w:val="clear" w:color="auto" w:fill="FFFFFF"/>
          </w:tcPr>
          <w:p w14:paraId="680576BF" w14:textId="77777777" w:rsidR="00B65869" w:rsidRDefault="00B65869" w:rsidP="00B65869">
            <w:pPr>
              <w:pStyle w:val="Style13"/>
              <w:shd w:val="clear" w:color="auto" w:fill="auto"/>
              <w:spacing w:after="0" w:line="240" w:lineRule="auto"/>
              <w:jc w:val="both"/>
              <w:rPr>
                <w:sz w:val="9"/>
                <w:szCs w:val="9"/>
              </w:rPr>
            </w:pPr>
            <w:r>
              <w:rPr>
                <w:sz w:val="9"/>
                <w:szCs w:val="9"/>
              </w:rPr>
              <w:t>sjednává se</w:t>
            </w:r>
          </w:p>
        </w:tc>
        <w:tc>
          <w:tcPr>
            <w:tcW w:w="346" w:type="dxa"/>
            <w:tcBorders>
              <w:top w:val="single" w:sz="4" w:space="0" w:color="auto"/>
              <w:left w:val="single" w:sz="4" w:space="0" w:color="auto"/>
            </w:tcBorders>
            <w:shd w:val="clear" w:color="auto" w:fill="FFFFFF"/>
          </w:tcPr>
          <w:p w14:paraId="34A97DE4" w14:textId="77777777" w:rsidR="00B65869" w:rsidRDefault="00B65869" w:rsidP="00B65869">
            <w:pPr>
              <w:pStyle w:val="Style13"/>
              <w:shd w:val="clear" w:color="auto" w:fill="auto"/>
              <w:spacing w:after="0" w:line="240" w:lineRule="auto"/>
              <w:jc w:val="center"/>
              <w:rPr>
                <w:sz w:val="9"/>
                <w:szCs w:val="9"/>
              </w:rPr>
            </w:pPr>
            <w:r>
              <w:rPr>
                <w:sz w:val="9"/>
                <w:szCs w:val="9"/>
              </w:rPr>
              <w:t>A</w:t>
            </w:r>
          </w:p>
        </w:tc>
        <w:tc>
          <w:tcPr>
            <w:tcW w:w="1070" w:type="dxa"/>
            <w:tcBorders>
              <w:top w:val="single" w:sz="4" w:space="0" w:color="auto"/>
              <w:left w:val="single" w:sz="4" w:space="0" w:color="auto"/>
            </w:tcBorders>
            <w:shd w:val="clear" w:color="auto" w:fill="FFFFFF"/>
          </w:tcPr>
          <w:p w14:paraId="654F5B02" w14:textId="3A4F4264" w:rsidR="00B65869" w:rsidRDefault="00B65869" w:rsidP="00B65869">
            <w:pPr>
              <w:pStyle w:val="Style13"/>
              <w:shd w:val="clear" w:color="auto" w:fill="auto"/>
              <w:spacing w:after="0" w:line="262" w:lineRule="auto"/>
              <w:jc w:val="both"/>
              <w:rPr>
                <w:sz w:val="9"/>
                <w:szCs w:val="9"/>
              </w:rPr>
            </w:pPr>
            <w:r>
              <w:rPr>
                <w:sz w:val="9"/>
                <w:szCs w:val="9"/>
              </w:rPr>
              <w:t>XXXXXXXXXXXXXXXXXXXXXXXXXXXXXXXXXXXXXXXXXX</w:t>
            </w:r>
          </w:p>
        </w:tc>
        <w:tc>
          <w:tcPr>
            <w:tcW w:w="422" w:type="dxa"/>
            <w:tcBorders>
              <w:top w:val="single" w:sz="4" w:space="0" w:color="auto"/>
              <w:left w:val="single" w:sz="4" w:space="0" w:color="auto"/>
            </w:tcBorders>
            <w:shd w:val="clear" w:color="auto" w:fill="FFFFFF"/>
          </w:tcPr>
          <w:p w14:paraId="30634AFF" w14:textId="77777777" w:rsidR="00B65869" w:rsidRDefault="00B65869" w:rsidP="00B65869">
            <w:pPr>
              <w:pStyle w:val="Style13"/>
              <w:shd w:val="clear" w:color="auto" w:fill="auto"/>
              <w:spacing w:after="0" w:line="266" w:lineRule="auto"/>
              <w:jc w:val="center"/>
              <w:rPr>
                <w:sz w:val="9"/>
                <w:szCs w:val="9"/>
              </w:rPr>
            </w:pPr>
            <w:r>
              <w:rPr>
                <w:sz w:val="9"/>
                <w:szCs w:val="9"/>
              </w:rPr>
              <w:t>e</w:t>
            </w:r>
            <w:r>
              <w:rPr>
                <w:sz w:val="9"/>
                <w:szCs w:val="9"/>
              </w:rPr>
              <w:softHyphen/>
              <w:t>mailem</w:t>
            </w:r>
          </w:p>
        </w:tc>
        <w:tc>
          <w:tcPr>
            <w:tcW w:w="1070" w:type="dxa"/>
            <w:tcBorders>
              <w:top w:val="single" w:sz="4" w:space="0" w:color="auto"/>
              <w:left w:val="single" w:sz="4" w:space="0" w:color="auto"/>
            </w:tcBorders>
            <w:shd w:val="clear" w:color="auto" w:fill="FFFFFF"/>
          </w:tcPr>
          <w:p w14:paraId="6C40E85C" w14:textId="518F56C4" w:rsidR="00B65869" w:rsidRDefault="00B65869" w:rsidP="00B65869">
            <w:pPr>
              <w:pStyle w:val="Style13"/>
              <w:shd w:val="clear" w:color="auto" w:fill="auto"/>
              <w:spacing w:after="0" w:line="240" w:lineRule="auto"/>
              <w:rPr>
                <w:sz w:val="9"/>
                <w:szCs w:val="9"/>
              </w:rPr>
            </w:pPr>
            <w:hyperlink r:id="rId19" w:history="1">
              <w:r w:rsidRPr="00B84A99">
                <w:rPr>
                  <w:sz w:val="9"/>
                  <w:szCs w:val="9"/>
                  <w:lang w:val="en-US" w:eastAsia="en-US" w:bidi="en-US"/>
                </w:rPr>
                <w:t>XXXXXXXXXXXXX</w:t>
              </w:r>
            </w:hyperlink>
          </w:p>
        </w:tc>
        <w:tc>
          <w:tcPr>
            <w:tcW w:w="379" w:type="dxa"/>
            <w:tcBorders>
              <w:top w:val="single" w:sz="4" w:space="0" w:color="auto"/>
              <w:left w:val="single" w:sz="4" w:space="0" w:color="auto"/>
            </w:tcBorders>
            <w:shd w:val="clear" w:color="auto" w:fill="FFFFFF"/>
          </w:tcPr>
          <w:p w14:paraId="111EF574" w14:textId="77777777" w:rsidR="00B65869" w:rsidRDefault="00B65869" w:rsidP="00B65869">
            <w:pPr>
              <w:pStyle w:val="Style13"/>
              <w:shd w:val="clear" w:color="auto" w:fill="auto"/>
              <w:spacing w:after="0" w:line="240" w:lineRule="auto"/>
              <w:jc w:val="both"/>
              <w:rPr>
                <w:sz w:val="9"/>
                <w:szCs w:val="9"/>
              </w:rPr>
            </w:pPr>
            <w:r>
              <w:rPr>
                <w:sz w:val="9"/>
                <w:szCs w:val="9"/>
              </w:rPr>
              <w:t>204,32</w:t>
            </w:r>
          </w:p>
        </w:tc>
        <w:tc>
          <w:tcPr>
            <w:tcW w:w="384" w:type="dxa"/>
            <w:tcBorders>
              <w:top w:val="single" w:sz="4" w:space="0" w:color="auto"/>
              <w:left w:val="single" w:sz="4" w:space="0" w:color="auto"/>
            </w:tcBorders>
            <w:shd w:val="clear" w:color="auto" w:fill="FFFFFF"/>
          </w:tcPr>
          <w:p w14:paraId="6BBB297F" w14:textId="77777777" w:rsidR="00B65869" w:rsidRDefault="00B65869" w:rsidP="00B65869">
            <w:pPr>
              <w:pStyle w:val="Style13"/>
              <w:shd w:val="clear" w:color="auto" w:fill="auto"/>
              <w:spacing w:after="0" w:line="240" w:lineRule="auto"/>
              <w:rPr>
                <w:sz w:val="9"/>
                <w:szCs w:val="9"/>
              </w:rPr>
            </w:pPr>
            <w:r>
              <w:rPr>
                <w:sz w:val="9"/>
                <w:szCs w:val="9"/>
              </w:rPr>
              <w:t>182,18</w:t>
            </w:r>
          </w:p>
        </w:tc>
        <w:tc>
          <w:tcPr>
            <w:tcW w:w="384" w:type="dxa"/>
            <w:tcBorders>
              <w:top w:val="single" w:sz="4" w:space="0" w:color="auto"/>
              <w:left w:val="single" w:sz="4" w:space="0" w:color="auto"/>
            </w:tcBorders>
            <w:shd w:val="clear" w:color="auto" w:fill="FFFFFF"/>
          </w:tcPr>
          <w:p w14:paraId="0633DC7C" w14:textId="77777777" w:rsidR="00B65869" w:rsidRDefault="00B65869" w:rsidP="00B65869">
            <w:pPr>
              <w:pStyle w:val="Style13"/>
              <w:shd w:val="clear" w:color="auto" w:fill="auto"/>
              <w:spacing w:after="0" w:line="240" w:lineRule="auto"/>
              <w:rPr>
                <w:sz w:val="9"/>
                <w:szCs w:val="9"/>
              </w:rPr>
            </w:pPr>
            <w:r>
              <w:rPr>
                <w:sz w:val="9"/>
                <w:szCs w:val="9"/>
              </w:rPr>
              <w:t>226,30</w:t>
            </w:r>
          </w:p>
        </w:tc>
        <w:tc>
          <w:tcPr>
            <w:tcW w:w="384" w:type="dxa"/>
            <w:tcBorders>
              <w:top w:val="single" w:sz="4" w:space="0" w:color="auto"/>
              <w:left w:val="single" w:sz="4" w:space="0" w:color="auto"/>
            </w:tcBorders>
            <w:shd w:val="clear" w:color="auto" w:fill="FFFFFF"/>
          </w:tcPr>
          <w:p w14:paraId="0E9E3187" w14:textId="77777777" w:rsidR="00B65869" w:rsidRDefault="00B65869" w:rsidP="00B65869">
            <w:pPr>
              <w:pStyle w:val="Style13"/>
              <w:shd w:val="clear" w:color="auto" w:fill="auto"/>
              <w:spacing w:after="0" w:line="240" w:lineRule="auto"/>
              <w:jc w:val="center"/>
              <w:rPr>
                <w:sz w:val="9"/>
                <w:szCs w:val="9"/>
              </w:rPr>
            </w:pPr>
            <w:r>
              <w:rPr>
                <w:sz w:val="9"/>
                <w:szCs w:val="9"/>
              </w:rPr>
              <w:t>231,29</w:t>
            </w:r>
          </w:p>
        </w:tc>
        <w:tc>
          <w:tcPr>
            <w:tcW w:w="379" w:type="dxa"/>
            <w:tcBorders>
              <w:top w:val="single" w:sz="4" w:space="0" w:color="auto"/>
              <w:left w:val="single" w:sz="4" w:space="0" w:color="auto"/>
            </w:tcBorders>
            <w:shd w:val="clear" w:color="auto" w:fill="FFFFFF"/>
          </w:tcPr>
          <w:p w14:paraId="65DECF86" w14:textId="77777777" w:rsidR="00B65869" w:rsidRDefault="00B65869" w:rsidP="00B65869">
            <w:pPr>
              <w:pStyle w:val="Style13"/>
              <w:shd w:val="clear" w:color="auto" w:fill="auto"/>
              <w:spacing w:after="0" w:line="240" w:lineRule="auto"/>
              <w:jc w:val="both"/>
              <w:rPr>
                <w:sz w:val="9"/>
                <w:szCs w:val="9"/>
              </w:rPr>
            </w:pPr>
            <w:r>
              <w:rPr>
                <w:sz w:val="9"/>
                <w:szCs w:val="9"/>
              </w:rPr>
              <w:t>268,56</w:t>
            </w:r>
          </w:p>
        </w:tc>
        <w:tc>
          <w:tcPr>
            <w:tcW w:w="384" w:type="dxa"/>
            <w:tcBorders>
              <w:top w:val="single" w:sz="4" w:space="0" w:color="auto"/>
              <w:left w:val="single" w:sz="4" w:space="0" w:color="auto"/>
            </w:tcBorders>
            <w:shd w:val="clear" w:color="auto" w:fill="FFFFFF"/>
          </w:tcPr>
          <w:p w14:paraId="2FCC2C76" w14:textId="77777777" w:rsidR="00B65869" w:rsidRDefault="00B65869" w:rsidP="00B65869">
            <w:pPr>
              <w:pStyle w:val="Style13"/>
              <w:shd w:val="clear" w:color="auto" w:fill="auto"/>
              <w:spacing w:after="0" w:line="240" w:lineRule="auto"/>
              <w:jc w:val="right"/>
              <w:rPr>
                <w:sz w:val="9"/>
                <w:szCs w:val="9"/>
              </w:rPr>
            </w:pPr>
            <w:r>
              <w:rPr>
                <w:sz w:val="9"/>
                <w:szCs w:val="9"/>
              </w:rPr>
              <w:t>240,47</w:t>
            </w:r>
          </w:p>
        </w:tc>
        <w:tc>
          <w:tcPr>
            <w:tcW w:w="379" w:type="dxa"/>
            <w:tcBorders>
              <w:top w:val="single" w:sz="4" w:space="0" w:color="auto"/>
              <w:left w:val="single" w:sz="4" w:space="0" w:color="auto"/>
            </w:tcBorders>
            <w:shd w:val="clear" w:color="auto" w:fill="FFFFFF"/>
          </w:tcPr>
          <w:p w14:paraId="46D26A1B" w14:textId="77777777" w:rsidR="00B65869" w:rsidRDefault="00B65869" w:rsidP="00B65869">
            <w:pPr>
              <w:pStyle w:val="Style13"/>
              <w:shd w:val="clear" w:color="auto" w:fill="auto"/>
              <w:spacing w:after="0" w:line="240" w:lineRule="auto"/>
              <w:rPr>
                <w:sz w:val="9"/>
                <w:szCs w:val="9"/>
              </w:rPr>
            </w:pPr>
            <w:r>
              <w:rPr>
                <w:sz w:val="9"/>
                <w:szCs w:val="9"/>
              </w:rPr>
              <w:t>231,45</w:t>
            </w:r>
          </w:p>
        </w:tc>
        <w:tc>
          <w:tcPr>
            <w:tcW w:w="384" w:type="dxa"/>
            <w:tcBorders>
              <w:top w:val="single" w:sz="4" w:space="0" w:color="auto"/>
              <w:left w:val="single" w:sz="4" w:space="0" w:color="auto"/>
            </w:tcBorders>
            <w:shd w:val="clear" w:color="auto" w:fill="FFFFFF"/>
          </w:tcPr>
          <w:p w14:paraId="113D7357" w14:textId="77777777" w:rsidR="00B65869" w:rsidRDefault="00B65869" w:rsidP="00B65869">
            <w:pPr>
              <w:pStyle w:val="Style13"/>
              <w:shd w:val="clear" w:color="auto" w:fill="auto"/>
              <w:spacing w:after="0" w:line="240" w:lineRule="auto"/>
              <w:jc w:val="center"/>
              <w:rPr>
                <w:sz w:val="9"/>
                <w:szCs w:val="9"/>
              </w:rPr>
            </w:pPr>
            <w:r>
              <w:rPr>
                <w:sz w:val="9"/>
                <w:szCs w:val="9"/>
              </w:rPr>
              <w:t>231,45</w:t>
            </w:r>
          </w:p>
        </w:tc>
        <w:tc>
          <w:tcPr>
            <w:tcW w:w="379" w:type="dxa"/>
            <w:tcBorders>
              <w:top w:val="single" w:sz="4" w:space="0" w:color="auto"/>
              <w:left w:val="single" w:sz="4" w:space="0" w:color="auto"/>
            </w:tcBorders>
            <w:shd w:val="clear" w:color="auto" w:fill="FFFFFF"/>
          </w:tcPr>
          <w:p w14:paraId="7D7E88CC" w14:textId="77777777" w:rsidR="00B65869" w:rsidRDefault="00B65869" w:rsidP="00B65869">
            <w:pPr>
              <w:pStyle w:val="Style13"/>
              <w:shd w:val="clear" w:color="auto" w:fill="auto"/>
              <w:spacing w:after="0" w:line="240" w:lineRule="auto"/>
              <w:jc w:val="both"/>
              <w:rPr>
                <w:sz w:val="9"/>
                <w:szCs w:val="9"/>
              </w:rPr>
            </w:pPr>
            <w:r>
              <w:rPr>
                <w:sz w:val="9"/>
                <w:szCs w:val="9"/>
              </w:rPr>
              <w:t>202,54</w:t>
            </w:r>
          </w:p>
        </w:tc>
        <w:tc>
          <w:tcPr>
            <w:tcW w:w="384" w:type="dxa"/>
            <w:tcBorders>
              <w:top w:val="single" w:sz="4" w:space="0" w:color="auto"/>
              <w:left w:val="single" w:sz="4" w:space="0" w:color="auto"/>
            </w:tcBorders>
            <w:shd w:val="clear" w:color="auto" w:fill="FFFFFF"/>
          </w:tcPr>
          <w:p w14:paraId="7A530326" w14:textId="77777777" w:rsidR="00B65869" w:rsidRDefault="00B65869" w:rsidP="00B65869">
            <w:pPr>
              <w:pStyle w:val="Style13"/>
              <w:shd w:val="clear" w:color="auto" w:fill="auto"/>
              <w:spacing w:after="0" w:line="240" w:lineRule="auto"/>
              <w:rPr>
                <w:sz w:val="9"/>
                <w:szCs w:val="9"/>
              </w:rPr>
            </w:pPr>
            <w:r>
              <w:rPr>
                <w:sz w:val="9"/>
                <w:szCs w:val="9"/>
              </w:rPr>
              <w:t>188,73</w:t>
            </w:r>
          </w:p>
        </w:tc>
        <w:tc>
          <w:tcPr>
            <w:tcW w:w="384" w:type="dxa"/>
            <w:tcBorders>
              <w:top w:val="single" w:sz="4" w:space="0" w:color="auto"/>
              <w:left w:val="single" w:sz="4" w:space="0" w:color="auto"/>
            </w:tcBorders>
            <w:shd w:val="clear" w:color="auto" w:fill="FFFFFF"/>
          </w:tcPr>
          <w:p w14:paraId="5DACD18C" w14:textId="77777777" w:rsidR="00B65869" w:rsidRDefault="00B65869" w:rsidP="00B65869">
            <w:pPr>
              <w:pStyle w:val="Style13"/>
              <w:shd w:val="clear" w:color="auto" w:fill="auto"/>
              <w:spacing w:after="0" w:line="240" w:lineRule="auto"/>
              <w:jc w:val="center"/>
              <w:rPr>
                <w:sz w:val="9"/>
                <w:szCs w:val="9"/>
              </w:rPr>
            </w:pPr>
            <w:r>
              <w:rPr>
                <w:sz w:val="9"/>
                <w:szCs w:val="9"/>
              </w:rPr>
              <w:t>201,99</w:t>
            </w:r>
          </w:p>
        </w:tc>
        <w:tc>
          <w:tcPr>
            <w:tcW w:w="398" w:type="dxa"/>
            <w:tcBorders>
              <w:top w:val="single" w:sz="4" w:space="0" w:color="auto"/>
              <w:left w:val="single" w:sz="4" w:space="0" w:color="auto"/>
              <w:right w:val="single" w:sz="4" w:space="0" w:color="auto"/>
            </w:tcBorders>
            <w:shd w:val="clear" w:color="auto" w:fill="FFFFFF"/>
          </w:tcPr>
          <w:p w14:paraId="49EFD4BB" w14:textId="77777777" w:rsidR="00B65869" w:rsidRDefault="00B65869" w:rsidP="00B65869">
            <w:pPr>
              <w:pStyle w:val="Style13"/>
              <w:shd w:val="clear" w:color="auto" w:fill="auto"/>
              <w:spacing w:after="0" w:line="240" w:lineRule="auto"/>
              <w:jc w:val="right"/>
              <w:rPr>
                <w:sz w:val="9"/>
                <w:szCs w:val="9"/>
              </w:rPr>
            </w:pPr>
            <w:r>
              <w:rPr>
                <w:sz w:val="9"/>
                <w:szCs w:val="9"/>
              </w:rPr>
              <w:t>194,12</w:t>
            </w:r>
          </w:p>
        </w:tc>
      </w:tr>
      <w:tr w:rsidR="00B65869" w14:paraId="02AD6766" w14:textId="77777777" w:rsidTr="00B65869">
        <w:tblPrEx>
          <w:tblCellMar>
            <w:top w:w="0" w:type="dxa"/>
            <w:bottom w:w="0" w:type="dxa"/>
          </w:tblCellMar>
        </w:tblPrEx>
        <w:trPr>
          <w:trHeight w:hRule="exact" w:val="374"/>
          <w:jc w:val="center"/>
        </w:trPr>
        <w:tc>
          <w:tcPr>
            <w:tcW w:w="202" w:type="dxa"/>
            <w:tcBorders>
              <w:top w:val="single" w:sz="4" w:space="0" w:color="auto"/>
              <w:left w:val="single" w:sz="4" w:space="0" w:color="auto"/>
            </w:tcBorders>
            <w:shd w:val="clear" w:color="auto" w:fill="FFFFFF"/>
          </w:tcPr>
          <w:p w14:paraId="527ED9A5" w14:textId="77777777" w:rsidR="00B65869" w:rsidRDefault="00B65869" w:rsidP="00B65869">
            <w:pPr>
              <w:pStyle w:val="Style13"/>
              <w:shd w:val="clear" w:color="auto" w:fill="auto"/>
              <w:spacing w:after="0" w:line="240" w:lineRule="auto"/>
              <w:jc w:val="center"/>
              <w:rPr>
                <w:sz w:val="9"/>
                <w:szCs w:val="9"/>
              </w:rPr>
            </w:pPr>
            <w:r>
              <w:rPr>
                <w:sz w:val="9"/>
                <w:szCs w:val="9"/>
              </w:rPr>
              <w:t>4</w:t>
            </w:r>
          </w:p>
        </w:tc>
        <w:tc>
          <w:tcPr>
            <w:tcW w:w="1075" w:type="dxa"/>
            <w:tcBorders>
              <w:top w:val="single" w:sz="4" w:space="0" w:color="auto"/>
              <w:left w:val="single" w:sz="4" w:space="0" w:color="auto"/>
            </w:tcBorders>
            <w:shd w:val="clear" w:color="auto" w:fill="FFFFFF"/>
          </w:tcPr>
          <w:p w14:paraId="67706F99" w14:textId="77777777" w:rsidR="00B65869" w:rsidRDefault="00B65869" w:rsidP="00B65869">
            <w:pPr>
              <w:pStyle w:val="Style13"/>
              <w:shd w:val="clear" w:color="auto" w:fill="auto"/>
              <w:spacing w:after="0" w:line="266" w:lineRule="auto"/>
              <w:rPr>
                <w:sz w:val="9"/>
                <w:szCs w:val="9"/>
              </w:rPr>
            </w:pPr>
            <w:r>
              <w:rPr>
                <w:sz w:val="9"/>
                <w:szCs w:val="9"/>
              </w:rPr>
              <w:t>Vinohradská 1. Nová budova, 110 00 Praha 1</w:t>
            </w:r>
          </w:p>
        </w:tc>
        <w:tc>
          <w:tcPr>
            <w:tcW w:w="955" w:type="dxa"/>
            <w:tcBorders>
              <w:top w:val="single" w:sz="4" w:space="0" w:color="auto"/>
              <w:left w:val="single" w:sz="4" w:space="0" w:color="auto"/>
            </w:tcBorders>
            <w:shd w:val="clear" w:color="auto" w:fill="FFFFFF"/>
          </w:tcPr>
          <w:p w14:paraId="5F76268F" w14:textId="77777777" w:rsidR="00B65869" w:rsidRDefault="00B65869" w:rsidP="00B65869">
            <w:pPr>
              <w:pStyle w:val="Style13"/>
              <w:shd w:val="clear" w:color="auto" w:fill="auto"/>
              <w:spacing w:after="0" w:line="240" w:lineRule="auto"/>
              <w:rPr>
                <w:sz w:val="9"/>
                <w:szCs w:val="9"/>
              </w:rPr>
            </w:pPr>
            <w:r>
              <w:rPr>
                <w:sz w:val="9"/>
                <w:szCs w:val="9"/>
              </w:rPr>
              <w:t>159182400300014689</w:t>
            </w:r>
          </w:p>
        </w:tc>
        <w:tc>
          <w:tcPr>
            <w:tcW w:w="269" w:type="dxa"/>
            <w:tcBorders>
              <w:top w:val="single" w:sz="4" w:space="0" w:color="auto"/>
              <w:left w:val="single" w:sz="4" w:space="0" w:color="auto"/>
            </w:tcBorders>
            <w:shd w:val="clear" w:color="auto" w:fill="FFFFFF"/>
          </w:tcPr>
          <w:p w14:paraId="52B21DF4" w14:textId="77777777" w:rsidR="00B65869" w:rsidRDefault="00B65869" w:rsidP="00B65869">
            <w:pPr>
              <w:pStyle w:val="Style13"/>
              <w:shd w:val="clear" w:color="auto" w:fill="auto"/>
              <w:spacing w:after="0" w:line="240" w:lineRule="auto"/>
              <w:rPr>
                <w:sz w:val="9"/>
                <w:szCs w:val="9"/>
              </w:rPr>
            </w:pPr>
            <w:r>
              <w:rPr>
                <w:sz w:val="9"/>
                <w:szCs w:val="9"/>
              </w:rPr>
              <w:t>1000</w:t>
            </w:r>
          </w:p>
        </w:tc>
        <w:tc>
          <w:tcPr>
            <w:tcW w:w="346" w:type="dxa"/>
            <w:tcBorders>
              <w:top w:val="single" w:sz="4" w:space="0" w:color="auto"/>
              <w:left w:val="single" w:sz="4" w:space="0" w:color="auto"/>
            </w:tcBorders>
            <w:shd w:val="clear" w:color="auto" w:fill="FFFFFF"/>
          </w:tcPr>
          <w:p w14:paraId="163409F6" w14:textId="77777777" w:rsidR="00B65869" w:rsidRDefault="00B65869" w:rsidP="00B65869">
            <w:pPr>
              <w:pStyle w:val="Style13"/>
              <w:shd w:val="clear" w:color="auto" w:fill="auto"/>
              <w:spacing w:after="0" w:line="240" w:lineRule="auto"/>
              <w:jc w:val="center"/>
              <w:rPr>
                <w:sz w:val="9"/>
                <w:szCs w:val="9"/>
              </w:rPr>
            </w:pPr>
            <w:r>
              <w:rPr>
                <w:sz w:val="9"/>
                <w:szCs w:val="9"/>
              </w:rPr>
              <w:t>300</w:t>
            </w:r>
          </w:p>
        </w:tc>
        <w:tc>
          <w:tcPr>
            <w:tcW w:w="648" w:type="dxa"/>
            <w:tcBorders>
              <w:top w:val="single" w:sz="4" w:space="0" w:color="auto"/>
              <w:left w:val="single" w:sz="4" w:space="0" w:color="auto"/>
            </w:tcBorders>
            <w:shd w:val="clear" w:color="auto" w:fill="FFFFFF"/>
          </w:tcPr>
          <w:p w14:paraId="656EE08E" w14:textId="77777777" w:rsidR="00B65869" w:rsidRDefault="00B65869" w:rsidP="00B65869">
            <w:pPr>
              <w:pStyle w:val="Style13"/>
              <w:shd w:val="clear" w:color="auto" w:fill="auto"/>
              <w:spacing w:after="0" w:line="240" w:lineRule="auto"/>
              <w:jc w:val="both"/>
              <w:rPr>
                <w:sz w:val="9"/>
                <w:szCs w:val="9"/>
              </w:rPr>
            </w:pPr>
            <w:r>
              <w:rPr>
                <w:sz w:val="9"/>
                <w:szCs w:val="9"/>
              </w:rPr>
              <w:t>sjednává se</w:t>
            </w:r>
          </w:p>
        </w:tc>
        <w:tc>
          <w:tcPr>
            <w:tcW w:w="346" w:type="dxa"/>
            <w:tcBorders>
              <w:top w:val="single" w:sz="4" w:space="0" w:color="auto"/>
              <w:left w:val="single" w:sz="4" w:space="0" w:color="auto"/>
            </w:tcBorders>
            <w:shd w:val="clear" w:color="auto" w:fill="FFFFFF"/>
          </w:tcPr>
          <w:p w14:paraId="69A99EA5" w14:textId="77777777" w:rsidR="00B65869" w:rsidRDefault="00B65869" w:rsidP="00B65869">
            <w:pPr>
              <w:pStyle w:val="Style13"/>
              <w:shd w:val="clear" w:color="auto" w:fill="auto"/>
              <w:spacing w:after="0" w:line="240" w:lineRule="auto"/>
              <w:jc w:val="center"/>
              <w:rPr>
                <w:sz w:val="9"/>
                <w:szCs w:val="9"/>
              </w:rPr>
            </w:pPr>
            <w:r>
              <w:rPr>
                <w:sz w:val="9"/>
                <w:szCs w:val="9"/>
              </w:rPr>
              <w:t>A</w:t>
            </w:r>
          </w:p>
        </w:tc>
        <w:tc>
          <w:tcPr>
            <w:tcW w:w="1070" w:type="dxa"/>
            <w:tcBorders>
              <w:top w:val="single" w:sz="4" w:space="0" w:color="auto"/>
              <w:left w:val="single" w:sz="4" w:space="0" w:color="auto"/>
            </w:tcBorders>
            <w:shd w:val="clear" w:color="auto" w:fill="FFFFFF"/>
          </w:tcPr>
          <w:p w14:paraId="2B3811D6" w14:textId="21B1DEBB" w:rsidR="00B65869" w:rsidRDefault="00B65869" w:rsidP="00B65869">
            <w:pPr>
              <w:pStyle w:val="Style13"/>
              <w:shd w:val="clear" w:color="auto" w:fill="auto"/>
              <w:spacing w:after="0" w:line="262" w:lineRule="auto"/>
              <w:jc w:val="both"/>
              <w:rPr>
                <w:sz w:val="9"/>
                <w:szCs w:val="9"/>
              </w:rPr>
            </w:pPr>
            <w:r>
              <w:rPr>
                <w:sz w:val="9"/>
                <w:szCs w:val="9"/>
              </w:rPr>
              <w:t>XXXXXXXXXXXXXXXXXXXXXXXXXXXXXXXXXXXXXXXXXX</w:t>
            </w:r>
          </w:p>
        </w:tc>
        <w:tc>
          <w:tcPr>
            <w:tcW w:w="422" w:type="dxa"/>
            <w:tcBorders>
              <w:top w:val="single" w:sz="4" w:space="0" w:color="auto"/>
              <w:left w:val="single" w:sz="4" w:space="0" w:color="auto"/>
            </w:tcBorders>
            <w:shd w:val="clear" w:color="auto" w:fill="FFFFFF"/>
          </w:tcPr>
          <w:p w14:paraId="2110F5D1" w14:textId="77777777" w:rsidR="00B65869" w:rsidRDefault="00B65869" w:rsidP="00B65869">
            <w:pPr>
              <w:pStyle w:val="Style13"/>
              <w:shd w:val="clear" w:color="auto" w:fill="auto"/>
              <w:spacing w:after="0" w:line="266" w:lineRule="auto"/>
              <w:jc w:val="center"/>
              <w:rPr>
                <w:sz w:val="9"/>
                <w:szCs w:val="9"/>
              </w:rPr>
            </w:pPr>
            <w:r>
              <w:rPr>
                <w:sz w:val="9"/>
                <w:szCs w:val="9"/>
              </w:rPr>
              <w:t>e</w:t>
            </w:r>
            <w:r>
              <w:rPr>
                <w:sz w:val="9"/>
                <w:szCs w:val="9"/>
              </w:rPr>
              <w:softHyphen/>
              <w:t>mailem</w:t>
            </w:r>
          </w:p>
        </w:tc>
        <w:tc>
          <w:tcPr>
            <w:tcW w:w="1070" w:type="dxa"/>
            <w:tcBorders>
              <w:top w:val="single" w:sz="4" w:space="0" w:color="auto"/>
              <w:left w:val="single" w:sz="4" w:space="0" w:color="auto"/>
            </w:tcBorders>
            <w:shd w:val="clear" w:color="auto" w:fill="FFFFFF"/>
          </w:tcPr>
          <w:p w14:paraId="22B319CF" w14:textId="477009CD" w:rsidR="00B65869" w:rsidRDefault="00B65869" w:rsidP="00B65869">
            <w:pPr>
              <w:pStyle w:val="Style13"/>
              <w:shd w:val="clear" w:color="auto" w:fill="auto"/>
              <w:spacing w:after="0" w:line="240" w:lineRule="auto"/>
              <w:rPr>
                <w:sz w:val="9"/>
                <w:szCs w:val="9"/>
              </w:rPr>
            </w:pPr>
            <w:hyperlink r:id="rId20" w:history="1">
              <w:r w:rsidRPr="00B84A99">
                <w:rPr>
                  <w:sz w:val="9"/>
                  <w:szCs w:val="9"/>
                  <w:lang w:val="en-US" w:eastAsia="en-US" w:bidi="en-US"/>
                </w:rPr>
                <w:t>XXXXXXXXXXXXX</w:t>
              </w:r>
            </w:hyperlink>
          </w:p>
        </w:tc>
        <w:tc>
          <w:tcPr>
            <w:tcW w:w="379" w:type="dxa"/>
            <w:tcBorders>
              <w:top w:val="single" w:sz="4" w:space="0" w:color="auto"/>
              <w:left w:val="single" w:sz="4" w:space="0" w:color="auto"/>
            </w:tcBorders>
            <w:shd w:val="clear" w:color="auto" w:fill="FFFFFF"/>
          </w:tcPr>
          <w:p w14:paraId="4BF1ED98" w14:textId="77777777" w:rsidR="00B65869" w:rsidRDefault="00B65869" w:rsidP="00B65869">
            <w:pPr>
              <w:pStyle w:val="Style13"/>
              <w:shd w:val="clear" w:color="auto" w:fill="auto"/>
              <w:spacing w:after="0" w:line="240" w:lineRule="auto"/>
              <w:jc w:val="both"/>
              <w:rPr>
                <w:sz w:val="9"/>
                <w:szCs w:val="9"/>
              </w:rPr>
            </w:pPr>
            <w:r>
              <w:rPr>
                <w:sz w:val="9"/>
                <w:szCs w:val="9"/>
              </w:rPr>
              <w:t>144,57</w:t>
            </w:r>
          </w:p>
        </w:tc>
        <w:tc>
          <w:tcPr>
            <w:tcW w:w="384" w:type="dxa"/>
            <w:tcBorders>
              <w:top w:val="single" w:sz="4" w:space="0" w:color="auto"/>
              <w:left w:val="single" w:sz="4" w:space="0" w:color="auto"/>
            </w:tcBorders>
            <w:shd w:val="clear" w:color="auto" w:fill="FFFFFF"/>
          </w:tcPr>
          <w:p w14:paraId="1B34C06E" w14:textId="77777777" w:rsidR="00B65869" w:rsidRDefault="00B65869" w:rsidP="00B65869">
            <w:pPr>
              <w:pStyle w:val="Style13"/>
              <w:shd w:val="clear" w:color="auto" w:fill="auto"/>
              <w:spacing w:after="0" w:line="240" w:lineRule="auto"/>
              <w:rPr>
                <w:sz w:val="9"/>
                <w:szCs w:val="9"/>
              </w:rPr>
            </w:pPr>
            <w:r>
              <w:rPr>
                <w:sz w:val="9"/>
                <w:szCs w:val="9"/>
              </w:rPr>
              <w:t>134,59</w:t>
            </w:r>
          </w:p>
        </w:tc>
        <w:tc>
          <w:tcPr>
            <w:tcW w:w="384" w:type="dxa"/>
            <w:tcBorders>
              <w:top w:val="single" w:sz="4" w:space="0" w:color="auto"/>
              <w:left w:val="single" w:sz="4" w:space="0" w:color="auto"/>
            </w:tcBorders>
            <w:shd w:val="clear" w:color="auto" w:fill="FFFFFF"/>
          </w:tcPr>
          <w:p w14:paraId="51C6F821" w14:textId="77777777" w:rsidR="00B65869" w:rsidRDefault="00B65869" w:rsidP="00B65869">
            <w:pPr>
              <w:pStyle w:val="Style13"/>
              <w:shd w:val="clear" w:color="auto" w:fill="auto"/>
              <w:spacing w:after="0" w:line="240" w:lineRule="auto"/>
              <w:rPr>
                <w:sz w:val="9"/>
                <w:szCs w:val="9"/>
              </w:rPr>
            </w:pPr>
            <w:r>
              <w:rPr>
                <w:sz w:val="9"/>
                <w:szCs w:val="9"/>
              </w:rPr>
              <w:t>135,88</w:t>
            </w:r>
          </w:p>
        </w:tc>
        <w:tc>
          <w:tcPr>
            <w:tcW w:w="384" w:type="dxa"/>
            <w:tcBorders>
              <w:top w:val="single" w:sz="4" w:space="0" w:color="auto"/>
              <w:left w:val="single" w:sz="4" w:space="0" w:color="auto"/>
            </w:tcBorders>
            <w:shd w:val="clear" w:color="auto" w:fill="FFFFFF"/>
          </w:tcPr>
          <w:p w14:paraId="5929DE5B" w14:textId="77777777" w:rsidR="00B65869" w:rsidRDefault="00B65869" w:rsidP="00B65869">
            <w:pPr>
              <w:pStyle w:val="Style13"/>
              <w:shd w:val="clear" w:color="auto" w:fill="auto"/>
              <w:spacing w:after="0" w:line="240" w:lineRule="auto"/>
              <w:jc w:val="center"/>
              <w:rPr>
                <w:sz w:val="9"/>
                <w:szCs w:val="9"/>
              </w:rPr>
            </w:pPr>
            <w:r>
              <w:rPr>
                <w:sz w:val="9"/>
                <w:szCs w:val="9"/>
              </w:rPr>
              <w:t>133,25</w:t>
            </w:r>
          </w:p>
        </w:tc>
        <w:tc>
          <w:tcPr>
            <w:tcW w:w="379" w:type="dxa"/>
            <w:tcBorders>
              <w:top w:val="single" w:sz="4" w:space="0" w:color="auto"/>
              <w:left w:val="single" w:sz="4" w:space="0" w:color="auto"/>
            </w:tcBorders>
            <w:shd w:val="clear" w:color="auto" w:fill="FFFFFF"/>
          </w:tcPr>
          <w:p w14:paraId="36443721" w14:textId="77777777" w:rsidR="00B65869" w:rsidRDefault="00B65869" w:rsidP="00B65869">
            <w:pPr>
              <w:pStyle w:val="Style13"/>
              <w:shd w:val="clear" w:color="auto" w:fill="auto"/>
              <w:spacing w:after="0" w:line="240" w:lineRule="auto"/>
              <w:jc w:val="both"/>
              <w:rPr>
                <w:sz w:val="9"/>
                <w:szCs w:val="9"/>
              </w:rPr>
            </w:pPr>
            <w:r>
              <w:rPr>
                <w:sz w:val="9"/>
                <w:szCs w:val="9"/>
              </w:rPr>
              <w:t>131,24</w:t>
            </w:r>
          </w:p>
        </w:tc>
        <w:tc>
          <w:tcPr>
            <w:tcW w:w="384" w:type="dxa"/>
            <w:tcBorders>
              <w:top w:val="single" w:sz="4" w:space="0" w:color="auto"/>
              <w:left w:val="single" w:sz="4" w:space="0" w:color="auto"/>
            </w:tcBorders>
            <w:shd w:val="clear" w:color="auto" w:fill="FFFFFF"/>
          </w:tcPr>
          <w:p w14:paraId="7203C04E" w14:textId="77777777" w:rsidR="00B65869" w:rsidRDefault="00B65869" w:rsidP="00B65869">
            <w:pPr>
              <w:pStyle w:val="Style13"/>
              <w:shd w:val="clear" w:color="auto" w:fill="auto"/>
              <w:spacing w:after="0" w:line="240" w:lineRule="auto"/>
              <w:rPr>
                <w:sz w:val="9"/>
                <w:szCs w:val="9"/>
              </w:rPr>
            </w:pPr>
            <w:r>
              <w:rPr>
                <w:sz w:val="9"/>
                <w:szCs w:val="9"/>
              </w:rPr>
              <w:t>130,14</w:t>
            </w:r>
          </w:p>
        </w:tc>
        <w:tc>
          <w:tcPr>
            <w:tcW w:w="379" w:type="dxa"/>
            <w:tcBorders>
              <w:top w:val="single" w:sz="4" w:space="0" w:color="auto"/>
              <w:left w:val="single" w:sz="4" w:space="0" w:color="auto"/>
            </w:tcBorders>
            <w:shd w:val="clear" w:color="auto" w:fill="FFFFFF"/>
          </w:tcPr>
          <w:p w14:paraId="14F56FF1" w14:textId="77777777" w:rsidR="00B65869" w:rsidRDefault="00B65869" w:rsidP="00B65869">
            <w:pPr>
              <w:pStyle w:val="Style13"/>
              <w:shd w:val="clear" w:color="auto" w:fill="auto"/>
              <w:spacing w:after="0" w:line="240" w:lineRule="auto"/>
              <w:rPr>
                <w:sz w:val="9"/>
                <w:szCs w:val="9"/>
              </w:rPr>
            </w:pPr>
            <w:r>
              <w:rPr>
                <w:sz w:val="9"/>
                <w:szCs w:val="9"/>
              </w:rPr>
              <w:t>132,41</w:t>
            </w:r>
          </w:p>
        </w:tc>
        <w:tc>
          <w:tcPr>
            <w:tcW w:w="384" w:type="dxa"/>
            <w:tcBorders>
              <w:top w:val="single" w:sz="4" w:space="0" w:color="auto"/>
              <w:left w:val="single" w:sz="4" w:space="0" w:color="auto"/>
            </w:tcBorders>
            <w:shd w:val="clear" w:color="auto" w:fill="FFFFFF"/>
          </w:tcPr>
          <w:p w14:paraId="26D430EB" w14:textId="77777777" w:rsidR="00B65869" w:rsidRDefault="00B65869" w:rsidP="00B65869">
            <w:pPr>
              <w:pStyle w:val="Style13"/>
              <w:shd w:val="clear" w:color="auto" w:fill="auto"/>
              <w:spacing w:after="0" w:line="240" w:lineRule="auto"/>
              <w:jc w:val="center"/>
              <w:rPr>
                <w:sz w:val="9"/>
                <w:szCs w:val="9"/>
              </w:rPr>
            </w:pPr>
            <w:r>
              <w:rPr>
                <w:sz w:val="9"/>
                <w:szCs w:val="9"/>
              </w:rPr>
              <w:t>132,41</w:t>
            </w:r>
          </w:p>
        </w:tc>
        <w:tc>
          <w:tcPr>
            <w:tcW w:w="379" w:type="dxa"/>
            <w:tcBorders>
              <w:top w:val="single" w:sz="4" w:space="0" w:color="auto"/>
              <w:left w:val="single" w:sz="4" w:space="0" w:color="auto"/>
            </w:tcBorders>
            <w:shd w:val="clear" w:color="auto" w:fill="FFFFFF"/>
          </w:tcPr>
          <w:p w14:paraId="35655BF9" w14:textId="77777777" w:rsidR="00B65869" w:rsidRDefault="00B65869" w:rsidP="00B65869">
            <w:pPr>
              <w:pStyle w:val="Style13"/>
              <w:shd w:val="clear" w:color="auto" w:fill="auto"/>
              <w:spacing w:after="0" w:line="240" w:lineRule="auto"/>
              <w:jc w:val="both"/>
              <w:rPr>
                <w:sz w:val="9"/>
                <w:szCs w:val="9"/>
              </w:rPr>
            </w:pPr>
            <w:r>
              <w:rPr>
                <w:sz w:val="9"/>
                <w:szCs w:val="9"/>
              </w:rPr>
              <w:t>130,14</w:t>
            </w:r>
          </w:p>
        </w:tc>
        <w:tc>
          <w:tcPr>
            <w:tcW w:w="384" w:type="dxa"/>
            <w:tcBorders>
              <w:top w:val="single" w:sz="4" w:space="0" w:color="auto"/>
              <w:left w:val="single" w:sz="4" w:space="0" w:color="auto"/>
            </w:tcBorders>
            <w:shd w:val="clear" w:color="auto" w:fill="FFFFFF"/>
          </w:tcPr>
          <w:p w14:paraId="0C862691" w14:textId="77777777" w:rsidR="00B65869" w:rsidRDefault="00B65869" w:rsidP="00B65869">
            <w:pPr>
              <w:pStyle w:val="Style13"/>
              <w:shd w:val="clear" w:color="auto" w:fill="auto"/>
              <w:spacing w:after="0" w:line="240" w:lineRule="auto"/>
              <w:rPr>
                <w:sz w:val="9"/>
                <w:szCs w:val="9"/>
              </w:rPr>
            </w:pPr>
            <w:r>
              <w:rPr>
                <w:sz w:val="9"/>
                <w:szCs w:val="9"/>
              </w:rPr>
              <w:t>131,24</w:t>
            </w:r>
          </w:p>
        </w:tc>
        <w:tc>
          <w:tcPr>
            <w:tcW w:w="384" w:type="dxa"/>
            <w:tcBorders>
              <w:top w:val="single" w:sz="4" w:space="0" w:color="auto"/>
              <w:left w:val="single" w:sz="4" w:space="0" w:color="auto"/>
            </w:tcBorders>
            <w:shd w:val="clear" w:color="auto" w:fill="FFFFFF"/>
          </w:tcPr>
          <w:p w14:paraId="11824A9E" w14:textId="77777777" w:rsidR="00B65869" w:rsidRDefault="00B65869" w:rsidP="00B65869">
            <w:pPr>
              <w:pStyle w:val="Style13"/>
              <w:shd w:val="clear" w:color="auto" w:fill="auto"/>
              <w:spacing w:after="0" w:line="240" w:lineRule="auto"/>
              <w:rPr>
                <w:sz w:val="9"/>
                <w:szCs w:val="9"/>
              </w:rPr>
            </w:pPr>
            <w:r>
              <w:rPr>
                <w:sz w:val="9"/>
                <w:szCs w:val="9"/>
              </w:rPr>
              <w:t>134,24</w:t>
            </w:r>
          </w:p>
        </w:tc>
        <w:tc>
          <w:tcPr>
            <w:tcW w:w="398" w:type="dxa"/>
            <w:tcBorders>
              <w:top w:val="single" w:sz="4" w:space="0" w:color="auto"/>
              <w:left w:val="single" w:sz="4" w:space="0" w:color="auto"/>
              <w:right w:val="single" w:sz="4" w:space="0" w:color="auto"/>
            </w:tcBorders>
            <w:shd w:val="clear" w:color="auto" w:fill="FFFFFF"/>
          </w:tcPr>
          <w:p w14:paraId="4E753CE1" w14:textId="77777777" w:rsidR="00B65869" w:rsidRDefault="00B65869" w:rsidP="00B65869">
            <w:pPr>
              <w:pStyle w:val="Style13"/>
              <w:shd w:val="clear" w:color="auto" w:fill="auto"/>
              <w:spacing w:after="0" w:line="240" w:lineRule="auto"/>
              <w:jc w:val="right"/>
              <w:rPr>
                <w:sz w:val="9"/>
                <w:szCs w:val="9"/>
              </w:rPr>
            </w:pPr>
            <w:r>
              <w:rPr>
                <w:sz w:val="9"/>
                <w:szCs w:val="9"/>
              </w:rPr>
              <w:t>143,74</w:t>
            </w:r>
          </w:p>
        </w:tc>
      </w:tr>
      <w:tr w:rsidR="00B65869" w14:paraId="0C780EB0" w14:textId="77777777" w:rsidTr="00B65869">
        <w:tblPrEx>
          <w:tblCellMar>
            <w:top w:w="0" w:type="dxa"/>
            <w:bottom w:w="0" w:type="dxa"/>
          </w:tblCellMar>
        </w:tblPrEx>
        <w:trPr>
          <w:trHeight w:hRule="exact" w:val="379"/>
          <w:jc w:val="center"/>
        </w:trPr>
        <w:tc>
          <w:tcPr>
            <w:tcW w:w="202" w:type="dxa"/>
            <w:tcBorders>
              <w:top w:val="single" w:sz="4" w:space="0" w:color="auto"/>
              <w:left w:val="single" w:sz="4" w:space="0" w:color="auto"/>
            </w:tcBorders>
            <w:shd w:val="clear" w:color="auto" w:fill="FFFFFF"/>
          </w:tcPr>
          <w:p w14:paraId="5164577F" w14:textId="77777777" w:rsidR="00B65869" w:rsidRDefault="00B65869" w:rsidP="00B65869">
            <w:pPr>
              <w:pStyle w:val="Style13"/>
              <w:shd w:val="clear" w:color="auto" w:fill="auto"/>
              <w:spacing w:after="0" w:line="240" w:lineRule="auto"/>
              <w:jc w:val="center"/>
              <w:rPr>
                <w:sz w:val="9"/>
                <w:szCs w:val="9"/>
              </w:rPr>
            </w:pPr>
            <w:r>
              <w:rPr>
                <w:sz w:val="9"/>
                <w:szCs w:val="9"/>
              </w:rPr>
              <w:t>5</w:t>
            </w:r>
          </w:p>
        </w:tc>
        <w:tc>
          <w:tcPr>
            <w:tcW w:w="1075" w:type="dxa"/>
            <w:tcBorders>
              <w:top w:val="single" w:sz="4" w:space="0" w:color="auto"/>
              <w:left w:val="single" w:sz="4" w:space="0" w:color="auto"/>
            </w:tcBorders>
            <w:shd w:val="clear" w:color="auto" w:fill="FFFFFF"/>
          </w:tcPr>
          <w:p w14:paraId="117D79C2" w14:textId="77777777" w:rsidR="00B65869" w:rsidRDefault="00B65869" w:rsidP="00B65869">
            <w:pPr>
              <w:pStyle w:val="Style13"/>
              <w:shd w:val="clear" w:color="auto" w:fill="auto"/>
              <w:spacing w:after="0" w:line="276" w:lineRule="auto"/>
              <w:rPr>
                <w:sz w:val="9"/>
                <w:szCs w:val="9"/>
              </w:rPr>
            </w:pPr>
            <w:r>
              <w:rPr>
                <w:sz w:val="9"/>
                <w:szCs w:val="9"/>
              </w:rPr>
              <w:t>U Památníku 1900, Památník Vítkov, 130 00 Praha 3</w:t>
            </w:r>
          </w:p>
        </w:tc>
        <w:tc>
          <w:tcPr>
            <w:tcW w:w="955" w:type="dxa"/>
            <w:tcBorders>
              <w:top w:val="single" w:sz="4" w:space="0" w:color="auto"/>
              <w:left w:val="single" w:sz="4" w:space="0" w:color="auto"/>
            </w:tcBorders>
            <w:shd w:val="clear" w:color="auto" w:fill="FFFFFF"/>
          </w:tcPr>
          <w:p w14:paraId="15B4D10F" w14:textId="77777777" w:rsidR="00B65869" w:rsidRDefault="00B65869" w:rsidP="00B65869">
            <w:pPr>
              <w:pStyle w:val="Style13"/>
              <w:shd w:val="clear" w:color="auto" w:fill="auto"/>
              <w:spacing w:after="0" w:line="240" w:lineRule="auto"/>
              <w:rPr>
                <w:sz w:val="9"/>
                <w:szCs w:val="9"/>
              </w:rPr>
            </w:pPr>
            <w:r>
              <w:rPr>
                <w:sz w:val="9"/>
                <w:szCs w:val="9"/>
              </w:rPr>
              <w:t>159182400300033390</w:t>
            </w:r>
          </w:p>
        </w:tc>
        <w:tc>
          <w:tcPr>
            <w:tcW w:w="269" w:type="dxa"/>
            <w:tcBorders>
              <w:top w:val="single" w:sz="4" w:space="0" w:color="auto"/>
              <w:left w:val="single" w:sz="4" w:space="0" w:color="auto"/>
            </w:tcBorders>
            <w:shd w:val="clear" w:color="auto" w:fill="FFFFFF"/>
          </w:tcPr>
          <w:p w14:paraId="54C4EE29" w14:textId="77777777" w:rsidR="00B65869" w:rsidRDefault="00B65869" w:rsidP="00B65869">
            <w:pPr>
              <w:pStyle w:val="Style13"/>
              <w:shd w:val="clear" w:color="auto" w:fill="auto"/>
              <w:spacing w:after="0" w:line="240" w:lineRule="auto"/>
              <w:rPr>
                <w:sz w:val="9"/>
                <w:szCs w:val="9"/>
              </w:rPr>
            </w:pPr>
            <w:r>
              <w:rPr>
                <w:sz w:val="9"/>
                <w:szCs w:val="9"/>
              </w:rPr>
              <w:t>1600</w:t>
            </w:r>
          </w:p>
        </w:tc>
        <w:tc>
          <w:tcPr>
            <w:tcW w:w="346" w:type="dxa"/>
            <w:tcBorders>
              <w:top w:val="single" w:sz="4" w:space="0" w:color="auto"/>
              <w:left w:val="single" w:sz="4" w:space="0" w:color="auto"/>
            </w:tcBorders>
            <w:shd w:val="clear" w:color="auto" w:fill="FFFFFF"/>
          </w:tcPr>
          <w:p w14:paraId="21F18033" w14:textId="77777777" w:rsidR="00B65869" w:rsidRDefault="00B65869" w:rsidP="00B65869">
            <w:pPr>
              <w:pStyle w:val="Style13"/>
              <w:shd w:val="clear" w:color="auto" w:fill="auto"/>
              <w:spacing w:after="0" w:line="240" w:lineRule="auto"/>
              <w:jc w:val="center"/>
              <w:rPr>
                <w:sz w:val="9"/>
                <w:szCs w:val="9"/>
              </w:rPr>
            </w:pPr>
            <w:r>
              <w:rPr>
                <w:sz w:val="9"/>
                <w:szCs w:val="9"/>
              </w:rPr>
              <w:t>200</w:t>
            </w:r>
          </w:p>
        </w:tc>
        <w:tc>
          <w:tcPr>
            <w:tcW w:w="648" w:type="dxa"/>
            <w:tcBorders>
              <w:top w:val="single" w:sz="4" w:space="0" w:color="auto"/>
              <w:left w:val="single" w:sz="4" w:space="0" w:color="auto"/>
            </w:tcBorders>
            <w:shd w:val="clear" w:color="auto" w:fill="FFFFFF"/>
          </w:tcPr>
          <w:p w14:paraId="48CFEE2F" w14:textId="77777777" w:rsidR="00B65869" w:rsidRDefault="00B65869" w:rsidP="00B65869">
            <w:pPr>
              <w:pStyle w:val="Style13"/>
              <w:shd w:val="clear" w:color="auto" w:fill="auto"/>
              <w:spacing w:after="0" w:line="240" w:lineRule="auto"/>
              <w:jc w:val="both"/>
              <w:rPr>
                <w:sz w:val="9"/>
                <w:szCs w:val="9"/>
              </w:rPr>
            </w:pPr>
            <w:r>
              <w:rPr>
                <w:sz w:val="9"/>
                <w:szCs w:val="9"/>
              </w:rPr>
              <w:t>sjednává se</w:t>
            </w:r>
          </w:p>
        </w:tc>
        <w:tc>
          <w:tcPr>
            <w:tcW w:w="346" w:type="dxa"/>
            <w:tcBorders>
              <w:top w:val="single" w:sz="4" w:space="0" w:color="auto"/>
              <w:left w:val="single" w:sz="4" w:space="0" w:color="auto"/>
            </w:tcBorders>
            <w:shd w:val="clear" w:color="auto" w:fill="FFFFFF"/>
          </w:tcPr>
          <w:p w14:paraId="6BF149C1" w14:textId="77777777" w:rsidR="00B65869" w:rsidRDefault="00B65869" w:rsidP="00B65869">
            <w:pPr>
              <w:pStyle w:val="Style13"/>
              <w:shd w:val="clear" w:color="auto" w:fill="auto"/>
              <w:spacing w:after="0" w:line="240" w:lineRule="auto"/>
              <w:jc w:val="center"/>
              <w:rPr>
                <w:sz w:val="9"/>
                <w:szCs w:val="9"/>
              </w:rPr>
            </w:pPr>
            <w:r>
              <w:rPr>
                <w:sz w:val="9"/>
                <w:szCs w:val="9"/>
              </w:rPr>
              <w:t>A</w:t>
            </w:r>
          </w:p>
        </w:tc>
        <w:tc>
          <w:tcPr>
            <w:tcW w:w="1070" w:type="dxa"/>
            <w:tcBorders>
              <w:top w:val="single" w:sz="4" w:space="0" w:color="auto"/>
              <w:left w:val="single" w:sz="4" w:space="0" w:color="auto"/>
            </w:tcBorders>
            <w:shd w:val="clear" w:color="auto" w:fill="FFFFFF"/>
          </w:tcPr>
          <w:p w14:paraId="7487F39B" w14:textId="7123B4AD" w:rsidR="00B65869" w:rsidRDefault="00B65869" w:rsidP="00B65869">
            <w:pPr>
              <w:pStyle w:val="Style13"/>
              <w:shd w:val="clear" w:color="auto" w:fill="auto"/>
              <w:spacing w:after="0" w:line="240" w:lineRule="auto"/>
              <w:jc w:val="both"/>
              <w:rPr>
                <w:sz w:val="9"/>
                <w:szCs w:val="9"/>
              </w:rPr>
            </w:pPr>
            <w:r>
              <w:rPr>
                <w:sz w:val="9"/>
                <w:szCs w:val="9"/>
              </w:rPr>
              <w:t>XXXXXXXXXXXXXXXXXXXXXXXXXXXXXXXXXXXXXXXXXX</w:t>
            </w:r>
          </w:p>
        </w:tc>
        <w:tc>
          <w:tcPr>
            <w:tcW w:w="422" w:type="dxa"/>
            <w:tcBorders>
              <w:top w:val="single" w:sz="4" w:space="0" w:color="auto"/>
              <w:left w:val="single" w:sz="4" w:space="0" w:color="auto"/>
            </w:tcBorders>
            <w:shd w:val="clear" w:color="auto" w:fill="FFFFFF"/>
          </w:tcPr>
          <w:p w14:paraId="1E997021" w14:textId="77777777" w:rsidR="00B65869" w:rsidRDefault="00B65869" w:rsidP="00B65869">
            <w:pPr>
              <w:pStyle w:val="Style13"/>
              <w:shd w:val="clear" w:color="auto" w:fill="auto"/>
              <w:spacing w:after="0" w:line="257" w:lineRule="auto"/>
              <w:jc w:val="center"/>
              <w:rPr>
                <w:sz w:val="9"/>
                <w:szCs w:val="9"/>
              </w:rPr>
            </w:pPr>
            <w:r>
              <w:rPr>
                <w:sz w:val="9"/>
                <w:szCs w:val="9"/>
              </w:rPr>
              <w:t>e</w:t>
            </w:r>
            <w:r>
              <w:rPr>
                <w:sz w:val="9"/>
                <w:szCs w:val="9"/>
              </w:rPr>
              <w:softHyphen/>
              <w:t>mailem</w:t>
            </w:r>
          </w:p>
        </w:tc>
        <w:tc>
          <w:tcPr>
            <w:tcW w:w="1070" w:type="dxa"/>
            <w:tcBorders>
              <w:top w:val="single" w:sz="4" w:space="0" w:color="auto"/>
              <w:left w:val="single" w:sz="4" w:space="0" w:color="auto"/>
            </w:tcBorders>
            <w:shd w:val="clear" w:color="auto" w:fill="FFFFFF"/>
          </w:tcPr>
          <w:p w14:paraId="7F6F6E56" w14:textId="76743DE4" w:rsidR="00B65869" w:rsidRDefault="00B65869" w:rsidP="00B65869">
            <w:pPr>
              <w:pStyle w:val="Style13"/>
              <w:shd w:val="clear" w:color="auto" w:fill="auto"/>
              <w:spacing w:after="0" w:line="240" w:lineRule="auto"/>
              <w:rPr>
                <w:sz w:val="9"/>
                <w:szCs w:val="9"/>
              </w:rPr>
            </w:pPr>
            <w:hyperlink r:id="rId21" w:history="1">
              <w:r w:rsidRPr="00B84A99">
                <w:rPr>
                  <w:sz w:val="9"/>
                  <w:szCs w:val="9"/>
                  <w:lang w:val="en-US" w:eastAsia="en-US" w:bidi="en-US"/>
                </w:rPr>
                <w:t>XXXXXXXXXXXXX</w:t>
              </w:r>
            </w:hyperlink>
          </w:p>
        </w:tc>
        <w:tc>
          <w:tcPr>
            <w:tcW w:w="379" w:type="dxa"/>
            <w:tcBorders>
              <w:top w:val="single" w:sz="4" w:space="0" w:color="auto"/>
              <w:left w:val="single" w:sz="4" w:space="0" w:color="auto"/>
            </w:tcBorders>
            <w:shd w:val="clear" w:color="auto" w:fill="FFFFFF"/>
          </w:tcPr>
          <w:p w14:paraId="70E8DCF7" w14:textId="77777777" w:rsidR="00B65869" w:rsidRDefault="00B65869" w:rsidP="00B65869">
            <w:pPr>
              <w:pStyle w:val="Style13"/>
              <w:shd w:val="clear" w:color="auto" w:fill="auto"/>
              <w:spacing w:after="0" w:line="240" w:lineRule="auto"/>
              <w:jc w:val="both"/>
              <w:rPr>
                <w:sz w:val="9"/>
                <w:szCs w:val="9"/>
              </w:rPr>
            </w:pPr>
            <w:r>
              <w:rPr>
                <w:sz w:val="9"/>
                <w:szCs w:val="9"/>
              </w:rPr>
              <w:t>89,56</w:t>
            </w:r>
          </w:p>
        </w:tc>
        <w:tc>
          <w:tcPr>
            <w:tcW w:w="384" w:type="dxa"/>
            <w:tcBorders>
              <w:top w:val="single" w:sz="4" w:space="0" w:color="auto"/>
              <w:left w:val="single" w:sz="4" w:space="0" w:color="auto"/>
            </w:tcBorders>
            <w:shd w:val="clear" w:color="auto" w:fill="FFFFFF"/>
          </w:tcPr>
          <w:p w14:paraId="3071D629" w14:textId="77777777" w:rsidR="00B65869" w:rsidRDefault="00B65869" w:rsidP="00B65869">
            <w:pPr>
              <w:pStyle w:val="Style13"/>
              <w:shd w:val="clear" w:color="auto" w:fill="auto"/>
              <w:spacing w:after="0" w:line="240" w:lineRule="auto"/>
              <w:jc w:val="center"/>
              <w:rPr>
                <w:sz w:val="9"/>
                <w:szCs w:val="9"/>
              </w:rPr>
            </w:pPr>
            <w:r>
              <w:rPr>
                <w:sz w:val="9"/>
                <w:szCs w:val="9"/>
              </w:rPr>
              <w:t>82,51</w:t>
            </w:r>
          </w:p>
        </w:tc>
        <w:tc>
          <w:tcPr>
            <w:tcW w:w="384" w:type="dxa"/>
            <w:tcBorders>
              <w:top w:val="single" w:sz="4" w:space="0" w:color="auto"/>
              <w:left w:val="single" w:sz="4" w:space="0" w:color="auto"/>
            </w:tcBorders>
            <w:shd w:val="clear" w:color="auto" w:fill="FFFFFF"/>
          </w:tcPr>
          <w:p w14:paraId="1A31A210" w14:textId="77777777" w:rsidR="00B65869" w:rsidRDefault="00B65869" w:rsidP="00B65869">
            <w:pPr>
              <w:pStyle w:val="Style13"/>
              <w:shd w:val="clear" w:color="auto" w:fill="auto"/>
              <w:spacing w:after="0" w:line="240" w:lineRule="auto"/>
              <w:rPr>
                <w:sz w:val="9"/>
                <w:szCs w:val="9"/>
              </w:rPr>
            </w:pPr>
            <w:r>
              <w:rPr>
                <w:sz w:val="9"/>
                <w:szCs w:val="9"/>
              </w:rPr>
              <w:t>78,96</w:t>
            </w:r>
          </w:p>
        </w:tc>
        <w:tc>
          <w:tcPr>
            <w:tcW w:w="384" w:type="dxa"/>
            <w:tcBorders>
              <w:top w:val="single" w:sz="4" w:space="0" w:color="auto"/>
              <w:left w:val="single" w:sz="4" w:space="0" w:color="auto"/>
            </w:tcBorders>
            <w:shd w:val="clear" w:color="auto" w:fill="FFFFFF"/>
          </w:tcPr>
          <w:p w14:paraId="7D22F801" w14:textId="77777777" w:rsidR="00B65869" w:rsidRDefault="00B65869" w:rsidP="00B65869">
            <w:pPr>
              <w:pStyle w:val="Style13"/>
              <w:shd w:val="clear" w:color="auto" w:fill="auto"/>
              <w:spacing w:after="0" w:line="240" w:lineRule="auto"/>
              <w:jc w:val="center"/>
              <w:rPr>
                <w:sz w:val="9"/>
                <w:szCs w:val="9"/>
              </w:rPr>
            </w:pPr>
            <w:r>
              <w:rPr>
                <w:sz w:val="9"/>
                <w:szCs w:val="9"/>
              </w:rPr>
              <w:t>56,35</w:t>
            </w:r>
          </w:p>
        </w:tc>
        <w:tc>
          <w:tcPr>
            <w:tcW w:w="379" w:type="dxa"/>
            <w:tcBorders>
              <w:top w:val="single" w:sz="4" w:space="0" w:color="auto"/>
              <w:left w:val="single" w:sz="4" w:space="0" w:color="auto"/>
            </w:tcBorders>
            <w:shd w:val="clear" w:color="auto" w:fill="FFFFFF"/>
          </w:tcPr>
          <w:p w14:paraId="41914768" w14:textId="77777777" w:rsidR="00B65869" w:rsidRDefault="00B65869" w:rsidP="00B65869">
            <w:pPr>
              <w:pStyle w:val="Style13"/>
              <w:shd w:val="clear" w:color="auto" w:fill="auto"/>
              <w:spacing w:after="0" w:line="240" w:lineRule="auto"/>
              <w:jc w:val="both"/>
              <w:rPr>
                <w:sz w:val="9"/>
                <w:szCs w:val="9"/>
              </w:rPr>
            </w:pPr>
            <w:r>
              <w:rPr>
                <w:sz w:val="9"/>
                <w:szCs w:val="9"/>
              </w:rPr>
              <w:t>38.95</w:t>
            </w:r>
          </w:p>
        </w:tc>
        <w:tc>
          <w:tcPr>
            <w:tcW w:w="384" w:type="dxa"/>
            <w:tcBorders>
              <w:top w:val="single" w:sz="4" w:space="0" w:color="auto"/>
              <w:left w:val="single" w:sz="4" w:space="0" w:color="auto"/>
            </w:tcBorders>
            <w:shd w:val="clear" w:color="auto" w:fill="FFFFFF"/>
          </w:tcPr>
          <w:p w14:paraId="7D6D4329" w14:textId="77777777" w:rsidR="00B65869" w:rsidRDefault="00B65869" w:rsidP="00B65869">
            <w:pPr>
              <w:pStyle w:val="Style13"/>
              <w:shd w:val="clear" w:color="auto" w:fill="auto"/>
              <w:spacing w:after="0" w:line="240" w:lineRule="auto"/>
              <w:rPr>
                <w:sz w:val="9"/>
                <w:szCs w:val="9"/>
              </w:rPr>
            </w:pPr>
            <w:r>
              <w:rPr>
                <w:sz w:val="9"/>
                <w:szCs w:val="9"/>
              </w:rPr>
              <w:t>34,88</w:t>
            </w:r>
          </w:p>
        </w:tc>
        <w:tc>
          <w:tcPr>
            <w:tcW w:w="379" w:type="dxa"/>
            <w:tcBorders>
              <w:top w:val="single" w:sz="4" w:space="0" w:color="auto"/>
              <w:left w:val="single" w:sz="4" w:space="0" w:color="auto"/>
            </w:tcBorders>
            <w:shd w:val="clear" w:color="auto" w:fill="FFFFFF"/>
          </w:tcPr>
          <w:p w14:paraId="63B668B0" w14:textId="77777777" w:rsidR="00B65869" w:rsidRDefault="00B65869" w:rsidP="00B65869">
            <w:pPr>
              <w:pStyle w:val="Style13"/>
              <w:shd w:val="clear" w:color="auto" w:fill="auto"/>
              <w:spacing w:after="0" w:line="240" w:lineRule="auto"/>
              <w:rPr>
                <w:sz w:val="9"/>
                <w:szCs w:val="9"/>
              </w:rPr>
            </w:pPr>
            <w:r>
              <w:rPr>
                <w:sz w:val="9"/>
                <w:szCs w:val="9"/>
              </w:rPr>
              <w:t>34,26</w:t>
            </w:r>
          </w:p>
        </w:tc>
        <w:tc>
          <w:tcPr>
            <w:tcW w:w="384" w:type="dxa"/>
            <w:tcBorders>
              <w:top w:val="single" w:sz="4" w:space="0" w:color="auto"/>
              <w:left w:val="single" w:sz="4" w:space="0" w:color="auto"/>
            </w:tcBorders>
            <w:shd w:val="clear" w:color="auto" w:fill="FFFFFF"/>
          </w:tcPr>
          <w:p w14:paraId="67DB1E3F" w14:textId="77777777" w:rsidR="00B65869" w:rsidRDefault="00B65869" w:rsidP="00B65869">
            <w:pPr>
              <w:pStyle w:val="Style13"/>
              <w:shd w:val="clear" w:color="auto" w:fill="auto"/>
              <w:spacing w:after="0" w:line="240" w:lineRule="auto"/>
              <w:jc w:val="center"/>
              <w:rPr>
                <w:sz w:val="9"/>
                <w:szCs w:val="9"/>
              </w:rPr>
            </w:pPr>
            <w:r>
              <w:rPr>
                <w:sz w:val="9"/>
                <w:szCs w:val="9"/>
              </w:rPr>
              <w:t>34,26</w:t>
            </w:r>
          </w:p>
        </w:tc>
        <w:tc>
          <w:tcPr>
            <w:tcW w:w="379" w:type="dxa"/>
            <w:tcBorders>
              <w:top w:val="single" w:sz="4" w:space="0" w:color="auto"/>
              <w:left w:val="single" w:sz="4" w:space="0" w:color="auto"/>
            </w:tcBorders>
            <w:shd w:val="clear" w:color="auto" w:fill="FFFFFF"/>
          </w:tcPr>
          <w:p w14:paraId="5C244FD2" w14:textId="77777777" w:rsidR="00B65869" w:rsidRDefault="00B65869" w:rsidP="00B65869">
            <w:pPr>
              <w:pStyle w:val="Style13"/>
              <w:shd w:val="clear" w:color="auto" w:fill="auto"/>
              <w:spacing w:after="0" w:line="240" w:lineRule="auto"/>
              <w:jc w:val="both"/>
              <w:rPr>
                <w:sz w:val="9"/>
                <w:szCs w:val="9"/>
              </w:rPr>
            </w:pPr>
            <w:r>
              <w:rPr>
                <w:sz w:val="9"/>
                <w:szCs w:val="9"/>
              </w:rPr>
              <w:t>39,66</w:t>
            </w:r>
          </w:p>
        </w:tc>
        <w:tc>
          <w:tcPr>
            <w:tcW w:w="384" w:type="dxa"/>
            <w:tcBorders>
              <w:top w:val="single" w:sz="4" w:space="0" w:color="auto"/>
              <w:left w:val="single" w:sz="4" w:space="0" w:color="auto"/>
            </w:tcBorders>
            <w:shd w:val="clear" w:color="auto" w:fill="FFFFFF"/>
          </w:tcPr>
          <w:p w14:paraId="78170B92" w14:textId="77777777" w:rsidR="00B65869" w:rsidRDefault="00B65869" w:rsidP="00B65869">
            <w:pPr>
              <w:pStyle w:val="Style13"/>
              <w:shd w:val="clear" w:color="auto" w:fill="auto"/>
              <w:spacing w:after="0" w:line="240" w:lineRule="auto"/>
              <w:rPr>
                <w:sz w:val="9"/>
                <w:szCs w:val="9"/>
              </w:rPr>
            </w:pPr>
            <w:r>
              <w:rPr>
                <w:sz w:val="9"/>
                <w:szCs w:val="9"/>
              </w:rPr>
              <w:t>45,21</w:t>
            </w:r>
          </w:p>
        </w:tc>
        <w:tc>
          <w:tcPr>
            <w:tcW w:w="384" w:type="dxa"/>
            <w:tcBorders>
              <w:top w:val="single" w:sz="4" w:space="0" w:color="auto"/>
              <w:left w:val="single" w:sz="4" w:space="0" w:color="auto"/>
            </w:tcBorders>
            <w:shd w:val="clear" w:color="auto" w:fill="FFFFFF"/>
          </w:tcPr>
          <w:p w14:paraId="2723C98A" w14:textId="77777777" w:rsidR="00B65869" w:rsidRDefault="00B65869" w:rsidP="00B65869">
            <w:pPr>
              <w:pStyle w:val="Style13"/>
              <w:shd w:val="clear" w:color="auto" w:fill="auto"/>
              <w:spacing w:after="0" w:line="240" w:lineRule="auto"/>
              <w:jc w:val="right"/>
              <w:rPr>
                <w:sz w:val="9"/>
                <w:szCs w:val="9"/>
              </w:rPr>
            </w:pPr>
            <w:r>
              <w:rPr>
                <w:sz w:val="9"/>
                <w:szCs w:val="9"/>
              </w:rPr>
              <w:t>74,29</w:t>
            </w:r>
          </w:p>
        </w:tc>
        <w:tc>
          <w:tcPr>
            <w:tcW w:w="398" w:type="dxa"/>
            <w:tcBorders>
              <w:top w:val="single" w:sz="4" w:space="0" w:color="auto"/>
              <w:left w:val="single" w:sz="4" w:space="0" w:color="auto"/>
              <w:right w:val="single" w:sz="4" w:space="0" w:color="auto"/>
            </w:tcBorders>
            <w:shd w:val="clear" w:color="auto" w:fill="FFFFFF"/>
          </w:tcPr>
          <w:p w14:paraId="22F78362" w14:textId="77777777" w:rsidR="00B65869" w:rsidRDefault="00B65869" w:rsidP="00B65869">
            <w:pPr>
              <w:pStyle w:val="Style13"/>
              <w:shd w:val="clear" w:color="auto" w:fill="auto"/>
              <w:spacing w:after="0" w:line="240" w:lineRule="auto"/>
              <w:jc w:val="right"/>
              <w:rPr>
                <w:sz w:val="9"/>
                <w:szCs w:val="9"/>
              </w:rPr>
            </w:pPr>
            <w:r>
              <w:rPr>
                <w:sz w:val="9"/>
                <w:szCs w:val="9"/>
              </w:rPr>
              <w:t>88,65</w:t>
            </w:r>
          </w:p>
        </w:tc>
      </w:tr>
      <w:tr w:rsidR="00B65869" w14:paraId="1026C545" w14:textId="77777777" w:rsidTr="00B65869">
        <w:tblPrEx>
          <w:tblCellMar>
            <w:top w:w="0" w:type="dxa"/>
            <w:bottom w:w="0" w:type="dxa"/>
          </w:tblCellMar>
        </w:tblPrEx>
        <w:trPr>
          <w:trHeight w:hRule="exact" w:val="374"/>
          <w:jc w:val="center"/>
        </w:trPr>
        <w:tc>
          <w:tcPr>
            <w:tcW w:w="202" w:type="dxa"/>
            <w:tcBorders>
              <w:top w:val="single" w:sz="4" w:space="0" w:color="auto"/>
              <w:left w:val="single" w:sz="4" w:space="0" w:color="auto"/>
            </w:tcBorders>
            <w:shd w:val="clear" w:color="auto" w:fill="FFFFFF"/>
          </w:tcPr>
          <w:p w14:paraId="74D81F5F" w14:textId="77777777" w:rsidR="00B65869" w:rsidRDefault="00B65869" w:rsidP="00B65869">
            <w:pPr>
              <w:pStyle w:val="Style13"/>
              <w:shd w:val="clear" w:color="auto" w:fill="auto"/>
              <w:spacing w:after="0" w:line="240" w:lineRule="auto"/>
              <w:jc w:val="center"/>
              <w:rPr>
                <w:sz w:val="9"/>
                <w:szCs w:val="9"/>
              </w:rPr>
            </w:pPr>
            <w:r>
              <w:rPr>
                <w:sz w:val="9"/>
                <w:szCs w:val="9"/>
              </w:rPr>
              <w:t>6</w:t>
            </w:r>
          </w:p>
        </w:tc>
        <w:tc>
          <w:tcPr>
            <w:tcW w:w="1075" w:type="dxa"/>
            <w:tcBorders>
              <w:top w:val="single" w:sz="4" w:space="0" w:color="auto"/>
              <w:left w:val="single" w:sz="4" w:space="0" w:color="auto"/>
            </w:tcBorders>
            <w:shd w:val="clear" w:color="auto" w:fill="FFFFFF"/>
          </w:tcPr>
          <w:p w14:paraId="22386A83" w14:textId="77777777" w:rsidR="00B65869" w:rsidRDefault="00B65869" w:rsidP="00B65869">
            <w:pPr>
              <w:pStyle w:val="Style13"/>
              <w:shd w:val="clear" w:color="auto" w:fill="auto"/>
              <w:spacing w:after="0" w:line="257" w:lineRule="auto"/>
              <w:rPr>
                <w:sz w:val="9"/>
                <w:szCs w:val="9"/>
              </w:rPr>
            </w:pPr>
            <w:r>
              <w:rPr>
                <w:sz w:val="9"/>
                <w:szCs w:val="9"/>
              </w:rPr>
              <w:t>Tyršova 207 , Depozitář Terezín. 411 55 Terezín</w:t>
            </w:r>
          </w:p>
        </w:tc>
        <w:tc>
          <w:tcPr>
            <w:tcW w:w="955" w:type="dxa"/>
            <w:tcBorders>
              <w:top w:val="single" w:sz="4" w:space="0" w:color="auto"/>
              <w:left w:val="single" w:sz="4" w:space="0" w:color="auto"/>
            </w:tcBorders>
            <w:shd w:val="clear" w:color="auto" w:fill="FFFFFF"/>
          </w:tcPr>
          <w:p w14:paraId="695AE5C0" w14:textId="77777777" w:rsidR="00B65869" w:rsidRDefault="00B65869" w:rsidP="00B65869">
            <w:pPr>
              <w:pStyle w:val="Style13"/>
              <w:shd w:val="clear" w:color="auto" w:fill="auto"/>
              <w:spacing w:after="0" w:line="240" w:lineRule="auto"/>
              <w:rPr>
                <w:sz w:val="9"/>
                <w:szCs w:val="9"/>
              </w:rPr>
            </w:pPr>
            <w:r>
              <w:rPr>
                <w:sz w:val="9"/>
                <w:szCs w:val="9"/>
              </w:rPr>
              <w:t>559182400407132972</w:t>
            </w:r>
          </w:p>
        </w:tc>
        <w:tc>
          <w:tcPr>
            <w:tcW w:w="269" w:type="dxa"/>
            <w:tcBorders>
              <w:top w:val="single" w:sz="4" w:space="0" w:color="auto"/>
              <w:left w:val="single" w:sz="4" w:space="0" w:color="auto"/>
            </w:tcBorders>
            <w:shd w:val="clear" w:color="auto" w:fill="FFFFFF"/>
          </w:tcPr>
          <w:p w14:paraId="5F2CDF80" w14:textId="77777777" w:rsidR="00B65869" w:rsidRDefault="00B65869" w:rsidP="00B65869">
            <w:pPr>
              <w:pStyle w:val="Style13"/>
              <w:shd w:val="clear" w:color="auto" w:fill="auto"/>
              <w:spacing w:after="0" w:line="240" w:lineRule="auto"/>
              <w:rPr>
                <w:sz w:val="9"/>
                <w:szCs w:val="9"/>
              </w:rPr>
            </w:pPr>
            <w:r>
              <w:rPr>
                <w:sz w:val="9"/>
                <w:szCs w:val="9"/>
              </w:rPr>
              <w:t>436</w:t>
            </w:r>
          </w:p>
        </w:tc>
        <w:tc>
          <w:tcPr>
            <w:tcW w:w="346" w:type="dxa"/>
            <w:tcBorders>
              <w:top w:val="single" w:sz="4" w:space="0" w:color="auto"/>
              <w:left w:val="single" w:sz="4" w:space="0" w:color="auto"/>
            </w:tcBorders>
            <w:shd w:val="clear" w:color="auto" w:fill="FFFFFF"/>
          </w:tcPr>
          <w:p w14:paraId="578708CA" w14:textId="77777777" w:rsidR="00B65869" w:rsidRDefault="00B65869" w:rsidP="00B65869">
            <w:pPr>
              <w:pStyle w:val="Style13"/>
              <w:shd w:val="clear" w:color="auto" w:fill="auto"/>
              <w:spacing w:after="0" w:line="240" w:lineRule="auto"/>
              <w:jc w:val="center"/>
              <w:rPr>
                <w:sz w:val="9"/>
                <w:szCs w:val="9"/>
              </w:rPr>
            </w:pPr>
            <w:r>
              <w:rPr>
                <w:sz w:val="9"/>
                <w:szCs w:val="9"/>
              </w:rPr>
              <w:t>100</w:t>
            </w:r>
          </w:p>
        </w:tc>
        <w:tc>
          <w:tcPr>
            <w:tcW w:w="648" w:type="dxa"/>
            <w:tcBorders>
              <w:top w:val="single" w:sz="4" w:space="0" w:color="auto"/>
              <w:left w:val="single" w:sz="4" w:space="0" w:color="auto"/>
            </w:tcBorders>
            <w:shd w:val="clear" w:color="auto" w:fill="FFFFFF"/>
          </w:tcPr>
          <w:p w14:paraId="72691EAC" w14:textId="77777777" w:rsidR="00B65869" w:rsidRDefault="00B65869" w:rsidP="00B65869">
            <w:pPr>
              <w:pStyle w:val="Style13"/>
              <w:shd w:val="clear" w:color="auto" w:fill="auto"/>
              <w:spacing w:after="0" w:line="240" w:lineRule="auto"/>
              <w:jc w:val="center"/>
              <w:rPr>
                <w:sz w:val="9"/>
                <w:szCs w:val="9"/>
              </w:rPr>
            </w:pPr>
            <w:r>
              <w:rPr>
                <w:sz w:val="9"/>
                <w:szCs w:val="9"/>
              </w:rPr>
              <w:t>sjednává se</w:t>
            </w:r>
          </w:p>
        </w:tc>
        <w:tc>
          <w:tcPr>
            <w:tcW w:w="346" w:type="dxa"/>
            <w:tcBorders>
              <w:top w:val="single" w:sz="4" w:space="0" w:color="auto"/>
              <w:left w:val="single" w:sz="4" w:space="0" w:color="auto"/>
            </w:tcBorders>
            <w:shd w:val="clear" w:color="auto" w:fill="FFFFFF"/>
          </w:tcPr>
          <w:p w14:paraId="45CA9EE6" w14:textId="77777777" w:rsidR="00B65869" w:rsidRDefault="00B65869" w:rsidP="00B65869">
            <w:pPr>
              <w:pStyle w:val="Style13"/>
              <w:shd w:val="clear" w:color="auto" w:fill="auto"/>
              <w:spacing w:after="0" w:line="240" w:lineRule="auto"/>
              <w:jc w:val="center"/>
              <w:rPr>
                <w:sz w:val="9"/>
                <w:szCs w:val="9"/>
              </w:rPr>
            </w:pPr>
            <w:r>
              <w:rPr>
                <w:sz w:val="9"/>
                <w:szCs w:val="9"/>
              </w:rPr>
              <w:t>A</w:t>
            </w:r>
          </w:p>
        </w:tc>
        <w:tc>
          <w:tcPr>
            <w:tcW w:w="1070" w:type="dxa"/>
            <w:tcBorders>
              <w:top w:val="single" w:sz="4" w:space="0" w:color="auto"/>
              <w:left w:val="single" w:sz="4" w:space="0" w:color="auto"/>
            </w:tcBorders>
            <w:shd w:val="clear" w:color="auto" w:fill="FFFFFF"/>
          </w:tcPr>
          <w:p w14:paraId="093EC57C" w14:textId="3C83CF16" w:rsidR="00B65869" w:rsidRDefault="00B65869" w:rsidP="00B65869">
            <w:pPr>
              <w:pStyle w:val="Style13"/>
              <w:shd w:val="clear" w:color="auto" w:fill="auto"/>
              <w:spacing w:after="0" w:line="262" w:lineRule="auto"/>
              <w:jc w:val="both"/>
              <w:rPr>
                <w:sz w:val="9"/>
                <w:szCs w:val="9"/>
              </w:rPr>
            </w:pPr>
            <w:r>
              <w:rPr>
                <w:sz w:val="9"/>
                <w:szCs w:val="9"/>
              </w:rPr>
              <w:t>XXXXXXXXXXXXXXXXXXXXXXXXXXXXXXXXXXXXXXXXXX</w:t>
            </w:r>
          </w:p>
        </w:tc>
        <w:tc>
          <w:tcPr>
            <w:tcW w:w="422" w:type="dxa"/>
            <w:tcBorders>
              <w:top w:val="single" w:sz="4" w:space="0" w:color="auto"/>
              <w:left w:val="single" w:sz="4" w:space="0" w:color="auto"/>
            </w:tcBorders>
            <w:shd w:val="clear" w:color="auto" w:fill="FFFFFF"/>
          </w:tcPr>
          <w:p w14:paraId="482AD70D" w14:textId="77777777" w:rsidR="00B65869" w:rsidRDefault="00B65869" w:rsidP="00B65869">
            <w:pPr>
              <w:pStyle w:val="Style13"/>
              <w:shd w:val="clear" w:color="auto" w:fill="auto"/>
              <w:spacing w:after="0" w:line="266" w:lineRule="auto"/>
              <w:jc w:val="center"/>
              <w:rPr>
                <w:sz w:val="9"/>
                <w:szCs w:val="9"/>
              </w:rPr>
            </w:pPr>
            <w:r>
              <w:rPr>
                <w:sz w:val="9"/>
                <w:szCs w:val="9"/>
              </w:rPr>
              <w:t>e</w:t>
            </w:r>
            <w:r>
              <w:rPr>
                <w:sz w:val="9"/>
                <w:szCs w:val="9"/>
              </w:rPr>
              <w:softHyphen/>
              <w:t>mailem</w:t>
            </w:r>
          </w:p>
        </w:tc>
        <w:tc>
          <w:tcPr>
            <w:tcW w:w="1070" w:type="dxa"/>
            <w:tcBorders>
              <w:top w:val="single" w:sz="4" w:space="0" w:color="auto"/>
              <w:left w:val="single" w:sz="4" w:space="0" w:color="auto"/>
            </w:tcBorders>
            <w:shd w:val="clear" w:color="auto" w:fill="FFFFFF"/>
          </w:tcPr>
          <w:p w14:paraId="2E88DF9F" w14:textId="4D5BD135" w:rsidR="00B65869" w:rsidRDefault="00B65869" w:rsidP="00B65869">
            <w:pPr>
              <w:pStyle w:val="Style13"/>
              <w:shd w:val="clear" w:color="auto" w:fill="auto"/>
              <w:spacing w:after="0" w:line="240" w:lineRule="auto"/>
              <w:rPr>
                <w:sz w:val="9"/>
                <w:szCs w:val="9"/>
              </w:rPr>
            </w:pPr>
            <w:hyperlink r:id="rId22" w:history="1">
              <w:r w:rsidRPr="00B84A99">
                <w:rPr>
                  <w:sz w:val="9"/>
                  <w:szCs w:val="9"/>
                  <w:lang w:val="en-US" w:eastAsia="en-US" w:bidi="en-US"/>
                </w:rPr>
                <w:t>XXXXXXXXXXXXX</w:t>
              </w:r>
            </w:hyperlink>
          </w:p>
        </w:tc>
        <w:tc>
          <w:tcPr>
            <w:tcW w:w="379" w:type="dxa"/>
            <w:tcBorders>
              <w:top w:val="single" w:sz="4" w:space="0" w:color="auto"/>
              <w:left w:val="single" w:sz="4" w:space="0" w:color="auto"/>
            </w:tcBorders>
            <w:shd w:val="clear" w:color="auto" w:fill="FFFFFF"/>
          </w:tcPr>
          <w:p w14:paraId="53F79EB1" w14:textId="77777777" w:rsidR="00B65869" w:rsidRDefault="00B65869" w:rsidP="00B65869">
            <w:pPr>
              <w:pStyle w:val="Style13"/>
              <w:shd w:val="clear" w:color="auto" w:fill="auto"/>
              <w:spacing w:after="0" w:line="240" w:lineRule="auto"/>
              <w:jc w:val="both"/>
              <w:rPr>
                <w:sz w:val="9"/>
                <w:szCs w:val="9"/>
              </w:rPr>
            </w:pPr>
            <w:r>
              <w:rPr>
                <w:sz w:val="9"/>
                <w:szCs w:val="9"/>
              </w:rPr>
              <w:t>172,50</w:t>
            </w:r>
          </w:p>
        </w:tc>
        <w:tc>
          <w:tcPr>
            <w:tcW w:w="384" w:type="dxa"/>
            <w:tcBorders>
              <w:top w:val="single" w:sz="4" w:space="0" w:color="auto"/>
              <w:left w:val="single" w:sz="4" w:space="0" w:color="auto"/>
            </w:tcBorders>
            <w:shd w:val="clear" w:color="auto" w:fill="FFFFFF"/>
          </w:tcPr>
          <w:p w14:paraId="5D8FD486" w14:textId="77777777" w:rsidR="00B65869" w:rsidRDefault="00B65869" w:rsidP="00B65869">
            <w:pPr>
              <w:pStyle w:val="Style13"/>
              <w:shd w:val="clear" w:color="auto" w:fill="auto"/>
              <w:spacing w:after="0" w:line="240" w:lineRule="auto"/>
              <w:rPr>
                <w:sz w:val="9"/>
                <w:szCs w:val="9"/>
              </w:rPr>
            </w:pPr>
            <w:r>
              <w:rPr>
                <w:sz w:val="9"/>
                <w:szCs w:val="9"/>
              </w:rPr>
              <w:t>158,47</w:t>
            </w:r>
          </w:p>
        </w:tc>
        <w:tc>
          <w:tcPr>
            <w:tcW w:w="384" w:type="dxa"/>
            <w:tcBorders>
              <w:top w:val="single" w:sz="4" w:space="0" w:color="auto"/>
              <w:left w:val="single" w:sz="4" w:space="0" w:color="auto"/>
            </w:tcBorders>
            <w:shd w:val="clear" w:color="auto" w:fill="FFFFFF"/>
          </w:tcPr>
          <w:p w14:paraId="71D90BEB" w14:textId="77777777" w:rsidR="00B65869" w:rsidRDefault="00B65869" w:rsidP="00B65869">
            <w:pPr>
              <w:pStyle w:val="Style13"/>
              <w:shd w:val="clear" w:color="auto" w:fill="auto"/>
              <w:spacing w:after="0" w:line="240" w:lineRule="auto"/>
              <w:rPr>
                <w:sz w:val="9"/>
                <w:szCs w:val="9"/>
              </w:rPr>
            </w:pPr>
            <w:r>
              <w:rPr>
                <w:sz w:val="9"/>
                <w:szCs w:val="9"/>
              </w:rPr>
              <w:t>150,26</w:t>
            </w:r>
          </w:p>
        </w:tc>
        <w:tc>
          <w:tcPr>
            <w:tcW w:w="384" w:type="dxa"/>
            <w:tcBorders>
              <w:top w:val="single" w:sz="4" w:space="0" w:color="auto"/>
              <w:left w:val="single" w:sz="4" w:space="0" w:color="auto"/>
            </w:tcBorders>
            <w:shd w:val="clear" w:color="auto" w:fill="FFFFFF"/>
          </w:tcPr>
          <w:p w14:paraId="2EAB1E26" w14:textId="77777777" w:rsidR="00B65869" w:rsidRDefault="00B65869" w:rsidP="00B65869">
            <w:pPr>
              <w:pStyle w:val="Style13"/>
              <w:shd w:val="clear" w:color="auto" w:fill="auto"/>
              <w:spacing w:after="0" w:line="240" w:lineRule="auto"/>
              <w:jc w:val="center"/>
              <w:rPr>
                <w:sz w:val="9"/>
                <w:szCs w:val="9"/>
              </w:rPr>
            </w:pPr>
            <w:r>
              <w:rPr>
                <w:sz w:val="9"/>
                <w:szCs w:val="9"/>
              </w:rPr>
              <w:t>101,58</w:t>
            </w:r>
          </w:p>
        </w:tc>
        <w:tc>
          <w:tcPr>
            <w:tcW w:w="379" w:type="dxa"/>
            <w:tcBorders>
              <w:top w:val="single" w:sz="4" w:space="0" w:color="auto"/>
              <w:left w:val="single" w:sz="4" w:space="0" w:color="auto"/>
            </w:tcBorders>
            <w:shd w:val="clear" w:color="auto" w:fill="FFFFFF"/>
          </w:tcPr>
          <w:p w14:paraId="75B0614E" w14:textId="77777777" w:rsidR="00B65869" w:rsidRDefault="00B65869" w:rsidP="00B65869">
            <w:pPr>
              <w:pStyle w:val="Style13"/>
              <w:shd w:val="clear" w:color="auto" w:fill="auto"/>
              <w:spacing w:after="0" w:line="240" w:lineRule="auto"/>
              <w:jc w:val="both"/>
              <w:rPr>
                <w:sz w:val="9"/>
                <w:szCs w:val="9"/>
              </w:rPr>
            </w:pPr>
            <w:r>
              <w:rPr>
                <w:sz w:val="9"/>
                <w:szCs w:val="9"/>
              </w:rPr>
              <w:t>56.82</w:t>
            </w:r>
          </w:p>
        </w:tc>
        <w:tc>
          <w:tcPr>
            <w:tcW w:w="384" w:type="dxa"/>
            <w:tcBorders>
              <w:top w:val="single" w:sz="4" w:space="0" w:color="auto"/>
              <w:left w:val="single" w:sz="4" w:space="0" w:color="auto"/>
            </w:tcBorders>
            <w:shd w:val="clear" w:color="auto" w:fill="FFFFFF"/>
          </w:tcPr>
          <w:p w14:paraId="0A91F4CF" w14:textId="77777777" w:rsidR="00B65869" w:rsidRDefault="00B65869" w:rsidP="00B65869">
            <w:pPr>
              <w:pStyle w:val="Style13"/>
              <w:shd w:val="clear" w:color="auto" w:fill="auto"/>
              <w:spacing w:after="0" w:line="240" w:lineRule="auto"/>
              <w:rPr>
                <w:sz w:val="9"/>
                <w:szCs w:val="9"/>
              </w:rPr>
            </w:pPr>
            <w:r>
              <w:rPr>
                <w:sz w:val="9"/>
                <w:szCs w:val="9"/>
              </w:rPr>
              <w:t>26,71</w:t>
            </w:r>
          </w:p>
        </w:tc>
        <w:tc>
          <w:tcPr>
            <w:tcW w:w="379" w:type="dxa"/>
            <w:tcBorders>
              <w:top w:val="single" w:sz="4" w:space="0" w:color="auto"/>
              <w:left w:val="single" w:sz="4" w:space="0" w:color="auto"/>
            </w:tcBorders>
            <w:shd w:val="clear" w:color="auto" w:fill="FFFFFF"/>
          </w:tcPr>
          <w:p w14:paraId="1C696C43" w14:textId="77777777" w:rsidR="00B65869" w:rsidRDefault="00B65869" w:rsidP="00B65869">
            <w:pPr>
              <w:pStyle w:val="Style13"/>
              <w:shd w:val="clear" w:color="auto" w:fill="auto"/>
              <w:spacing w:after="0" w:line="240" w:lineRule="auto"/>
              <w:rPr>
                <w:sz w:val="9"/>
                <w:szCs w:val="9"/>
              </w:rPr>
            </w:pPr>
            <w:r>
              <w:rPr>
                <w:sz w:val="9"/>
                <w:szCs w:val="9"/>
              </w:rPr>
              <w:t>22,72</w:t>
            </w:r>
          </w:p>
        </w:tc>
        <w:tc>
          <w:tcPr>
            <w:tcW w:w="384" w:type="dxa"/>
            <w:tcBorders>
              <w:top w:val="single" w:sz="4" w:space="0" w:color="auto"/>
              <w:left w:val="single" w:sz="4" w:space="0" w:color="auto"/>
            </w:tcBorders>
            <w:shd w:val="clear" w:color="auto" w:fill="FFFFFF"/>
          </w:tcPr>
          <w:p w14:paraId="136B0F9F" w14:textId="77777777" w:rsidR="00B65869" w:rsidRDefault="00B65869" w:rsidP="00B65869">
            <w:pPr>
              <w:pStyle w:val="Style13"/>
              <w:shd w:val="clear" w:color="auto" w:fill="auto"/>
              <w:spacing w:after="0" w:line="240" w:lineRule="auto"/>
              <w:jc w:val="center"/>
              <w:rPr>
                <w:sz w:val="9"/>
                <w:szCs w:val="9"/>
              </w:rPr>
            </w:pPr>
            <w:r>
              <w:rPr>
                <w:sz w:val="9"/>
                <w:szCs w:val="9"/>
              </w:rPr>
              <w:t>22,72</w:t>
            </w:r>
          </w:p>
        </w:tc>
        <w:tc>
          <w:tcPr>
            <w:tcW w:w="379" w:type="dxa"/>
            <w:tcBorders>
              <w:top w:val="single" w:sz="4" w:space="0" w:color="auto"/>
              <w:left w:val="single" w:sz="4" w:space="0" w:color="auto"/>
            </w:tcBorders>
            <w:shd w:val="clear" w:color="auto" w:fill="FFFFFF"/>
          </w:tcPr>
          <w:p w14:paraId="0D4312F8" w14:textId="77777777" w:rsidR="00B65869" w:rsidRDefault="00B65869" w:rsidP="00B65869">
            <w:pPr>
              <w:pStyle w:val="Style13"/>
              <w:shd w:val="clear" w:color="auto" w:fill="auto"/>
              <w:spacing w:after="0" w:line="240" w:lineRule="auto"/>
              <w:jc w:val="both"/>
              <w:rPr>
                <w:sz w:val="9"/>
                <w:szCs w:val="9"/>
              </w:rPr>
            </w:pPr>
            <w:r>
              <w:rPr>
                <w:sz w:val="9"/>
                <w:szCs w:val="9"/>
              </w:rPr>
              <w:t>28,30</w:t>
            </w:r>
          </w:p>
        </w:tc>
        <w:tc>
          <w:tcPr>
            <w:tcW w:w="384" w:type="dxa"/>
            <w:tcBorders>
              <w:top w:val="single" w:sz="4" w:space="0" w:color="auto"/>
              <w:left w:val="single" w:sz="4" w:space="0" w:color="auto"/>
            </w:tcBorders>
            <w:shd w:val="clear" w:color="auto" w:fill="FFFFFF"/>
          </w:tcPr>
          <w:p w14:paraId="613B5D27" w14:textId="77777777" w:rsidR="00B65869" w:rsidRDefault="00B65869" w:rsidP="00B65869">
            <w:pPr>
              <w:pStyle w:val="Style13"/>
              <w:shd w:val="clear" w:color="auto" w:fill="auto"/>
              <w:spacing w:after="0" w:line="240" w:lineRule="auto"/>
              <w:rPr>
                <w:sz w:val="9"/>
                <w:szCs w:val="9"/>
              </w:rPr>
            </w:pPr>
            <w:r>
              <w:rPr>
                <w:sz w:val="9"/>
                <w:szCs w:val="9"/>
              </w:rPr>
              <w:t>51,23</w:t>
            </w:r>
          </w:p>
        </w:tc>
        <w:tc>
          <w:tcPr>
            <w:tcW w:w="384" w:type="dxa"/>
            <w:tcBorders>
              <w:top w:val="single" w:sz="4" w:space="0" w:color="auto"/>
              <w:left w:val="single" w:sz="4" w:space="0" w:color="auto"/>
            </w:tcBorders>
            <w:shd w:val="clear" w:color="auto" w:fill="FFFFFF"/>
          </w:tcPr>
          <w:p w14:paraId="3D718FB0" w14:textId="77777777" w:rsidR="00B65869" w:rsidRDefault="00B65869" w:rsidP="00B65869">
            <w:pPr>
              <w:pStyle w:val="Style13"/>
              <w:shd w:val="clear" w:color="auto" w:fill="auto"/>
              <w:spacing w:after="0" w:line="240" w:lineRule="auto"/>
              <w:jc w:val="right"/>
              <w:rPr>
                <w:sz w:val="9"/>
                <w:szCs w:val="9"/>
              </w:rPr>
            </w:pPr>
            <w:r>
              <w:rPr>
                <w:sz w:val="9"/>
                <w:szCs w:val="9"/>
              </w:rPr>
              <w:t>56,38</w:t>
            </w:r>
          </w:p>
        </w:tc>
        <w:tc>
          <w:tcPr>
            <w:tcW w:w="398" w:type="dxa"/>
            <w:tcBorders>
              <w:top w:val="single" w:sz="4" w:space="0" w:color="auto"/>
              <w:left w:val="single" w:sz="4" w:space="0" w:color="auto"/>
              <w:right w:val="single" w:sz="4" w:space="0" w:color="auto"/>
            </w:tcBorders>
            <w:shd w:val="clear" w:color="auto" w:fill="FFFFFF"/>
          </w:tcPr>
          <w:p w14:paraId="48A229B4" w14:textId="77777777" w:rsidR="00B65869" w:rsidRDefault="00B65869" w:rsidP="00B65869">
            <w:pPr>
              <w:pStyle w:val="Style13"/>
              <w:shd w:val="clear" w:color="auto" w:fill="auto"/>
              <w:spacing w:after="0" w:line="240" w:lineRule="auto"/>
              <w:jc w:val="right"/>
              <w:rPr>
                <w:sz w:val="9"/>
                <w:szCs w:val="9"/>
              </w:rPr>
            </w:pPr>
            <w:r>
              <w:rPr>
                <w:sz w:val="9"/>
                <w:szCs w:val="9"/>
              </w:rPr>
              <w:t>162,35</w:t>
            </w:r>
          </w:p>
        </w:tc>
      </w:tr>
      <w:tr w:rsidR="00B65869" w14:paraId="45A05692" w14:textId="77777777" w:rsidTr="00B65869">
        <w:tblPrEx>
          <w:tblCellMar>
            <w:top w:w="0" w:type="dxa"/>
            <w:bottom w:w="0" w:type="dxa"/>
          </w:tblCellMar>
        </w:tblPrEx>
        <w:trPr>
          <w:trHeight w:hRule="exact" w:val="394"/>
          <w:jc w:val="center"/>
        </w:trPr>
        <w:tc>
          <w:tcPr>
            <w:tcW w:w="202" w:type="dxa"/>
            <w:tcBorders>
              <w:top w:val="single" w:sz="4" w:space="0" w:color="auto"/>
              <w:left w:val="single" w:sz="4" w:space="0" w:color="auto"/>
              <w:bottom w:val="single" w:sz="4" w:space="0" w:color="auto"/>
            </w:tcBorders>
            <w:shd w:val="clear" w:color="auto" w:fill="FFFFFF"/>
          </w:tcPr>
          <w:p w14:paraId="3A6AAA9A" w14:textId="77777777" w:rsidR="00B65869" w:rsidRDefault="00B65869" w:rsidP="00B65869">
            <w:pPr>
              <w:pStyle w:val="Style13"/>
              <w:shd w:val="clear" w:color="auto" w:fill="auto"/>
              <w:spacing w:after="0" w:line="240" w:lineRule="auto"/>
              <w:jc w:val="center"/>
              <w:rPr>
                <w:sz w:val="9"/>
                <w:szCs w:val="9"/>
              </w:rPr>
            </w:pPr>
            <w:r>
              <w:rPr>
                <w:sz w:val="9"/>
                <w:szCs w:val="9"/>
              </w:rPr>
              <w:t>7</w:t>
            </w:r>
          </w:p>
        </w:tc>
        <w:tc>
          <w:tcPr>
            <w:tcW w:w="1075" w:type="dxa"/>
            <w:tcBorders>
              <w:top w:val="single" w:sz="4" w:space="0" w:color="auto"/>
              <w:left w:val="single" w:sz="4" w:space="0" w:color="auto"/>
              <w:bottom w:val="single" w:sz="4" w:space="0" w:color="auto"/>
            </w:tcBorders>
            <w:shd w:val="clear" w:color="auto" w:fill="FFFFFF"/>
          </w:tcPr>
          <w:p w14:paraId="291FBB2D" w14:textId="77777777" w:rsidR="00B65869" w:rsidRDefault="00B65869" w:rsidP="00B65869">
            <w:pPr>
              <w:pStyle w:val="Style13"/>
              <w:shd w:val="clear" w:color="auto" w:fill="auto"/>
              <w:spacing w:after="0" w:line="266" w:lineRule="auto"/>
              <w:rPr>
                <w:sz w:val="9"/>
                <w:szCs w:val="9"/>
              </w:rPr>
            </w:pPr>
            <w:r>
              <w:rPr>
                <w:sz w:val="9"/>
                <w:szCs w:val="9"/>
              </w:rPr>
              <w:t>Prokopa Holého 122.</w:t>
            </w:r>
          </w:p>
          <w:p w14:paraId="415C7009" w14:textId="77777777" w:rsidR="00B65869" w:rsidRDefault="00B65869" w:rsidP="00B65869">
            <w:pPr>
              <w:pStyle w:val="Style13"/>
              <w:shd w:val="clear" w:color="auto" w:fill="auto"/>
              <w:spacing w:after="0" w:line="266" w:lineRule="auto"/>
              <w:rPr>
                <w:sz w:val="9"/>
                <w:szCs w:val="9"/>
              </w:rPr>
            </w:pPr>
            <w:r>
              <w:rPr>
                <w:sz w:val="9"/>
                <w:szCs w:val="9"/>
              </w:rPr>
              <w:t>Kasárna Terezin, 411 55 Terezin</w:t>
            </w:r>
          </w:p>
        </w:tc>
        <w:tc>
          <w:tcPr>
            <w:tcW w:w="955" w:type="dxa"/>
            <w:tcBorders>
              <w:top w:val="single" w:sz="4" w:space="0" w:color="auto"/>
              <w:left w:val="single" w:sz="4" w:space="0" w:color="auto"/>
              <w:bottom w:val="single" w:sz="4" w:space="0" w:color="auto"/>
            </w:tcBorders>
            <w:shd w:val="clear" w:color="auto" w:fill="FFFFFF"/>
          </w:tcPr>
          <w:p w14:paraId="1242D613" w14:textId="77777777" w:rsidR="00B65869" w:rsidRDefault="00B65869" w:rsidP="00B65869">
            <w:pPr>
              <w:pStyle w:val="Style13"/>
              <w:shd w:val="clear" w:color="auto" w:fill="auto"/>
              <w:spacing w:after="0" w:line="240" w:lineRule="auto"/>
              <w:rPr>
                <w:sz w:val="9"/>
                <w:szCs w:val="9"/>
              </w:rPr>
            </w:pPr>
            <w:r>
              <w:rPr>
                <w:sz w:val="9"/>
                <w:szCs w:val="9"/>
              </w:rPr>
              <w:t>559182400407687731</w:t>
            </w:r>
          </w:p>
        </w:tc>
        <w:tc>
          <w:tcPr>
            <w:tcW w:w="269" w:type="dxa"/>
            <w:tcBorders>
              <w:top w:val="single" w:sz="4" w:space="0" w:color="auto"/>
              <w:left w:val="single" w:sz="4" w:space="0" w:color="auto"/>
              <w:bottom w:val="single" w:sz="4" w:space="0" w:color="auto"/>
            </w:tcBorders>
            <w:shd w:val="clear" w:color="auto" w:fill="FFFFFF"/>
          </w:tcPr>
          <w:p w14:paraId="291B5159" w14:textId="77777777" w:rsidR="00B65869" w:rsidRDefault="00B65869" w:rsidP="00B65869">
            <w:pPr>
              <w:pStyle w:val="Style13"/>
              <w:shd w:val="clear" w:color="auto" w:fill="auto"/>
              <w:spacing w:after="0" w:line="240" w:lineRule="auto"/>
              <w:rPr>
                <w:sz w:val="9"/>
                <w:szCs w:val="9"/>
              </w:rPr>
            </w:pPr>
            <w:r>
              <w:rPr>
                <w:sz w:val="9"/>
                <w:szCs w:val="9"/>
              </w:rPr>
              <w:t>850</w:t>
            </w:r>
          </w:p>
        </w:tc>
        <w:tc>
          <w:tcPr>
            <w:tcW w:w="346" w:type="dxa"/>
            <w:tcBorders>
              <w:top w:val="single" w:sz="4" w:space="0" w:color="auto"/>
              <w:left w:val="single" w:sz="4" w:space="0" w:color="auto"/>
              <w:bottom w:val="single" w:sz="4" w:space="0" w:color="auto"/>
            </w:tcBorders>
            <w:shd w:val="clear" w:color="auto" w:fill="FFFFFF"/>
          </w:tcPr>
          <w:p w14:paraId="180C90E3" w14:textId="77777777" w:rsidR="00B65869" w:rsidRDefault="00B65869" w:rsidP="00B65869">
            <w:pPr>
              <w:pStyle w:val="Style13"/>
              <w:shd w:val="clear" w:color="auto" w:fill="auto"/>
              <w:spacing w:after="0" w:line="240" w:lineRule="auto"/>
              <w:jc w:val="center"/>
              <w:rPr>
                <w:sz w:val="9"/>
                <w:szCs w:val="9"/>
              </w:rPr>
            </w:pPr>
            <w:r>
              <w:rPr>
                <w:sz w:val="9"/>
                <w:szCs w:val="9"/>
              </w:rPr>
              <w:t>200</w:t>
            </w:r>
          </w:p>
        </w:tc>
        <w:tc>
          <w:tcPr>
            <w:tcW w:w="648" w:type="dxa"/>
            <w:tcBorders>
              <w:top w:val="single" w:sz="4" w:space="0" w:color="auto"/>
              <w:left w:val="single" w:sz="4" w:space="0" w:color="auto"/>
              <w:bottom w:val="single" w:sz="4" w:space="0" w:color="auto"/>
            </w:tcBorders>
            <w:shd w:val="clear" w:color="auto" w:fill="FFFFFF"/>
          </w:tcPr>
          <w:p w14:paraId="351F07DE" w14:textId="77777777" w:rsidR="00B65869" w:rsidRDefault="00B65869" w:rsidP="00B65869">
            <w:pPr>
              <w:pStyle w:val="Style13"/>
              <w:shd w:val="clear" w:color="auto" w:fill="auto"/>
              <w:spacing w:after="0" w:line="240" w:lineRule="auto"/>
              <w:jc w:val="center"/>
              <w:rPr>
                <w:sz w:val="9"/>
                <w:szCs w:val="9"/>
              </w:rPr>
            </w:pPr>
            <w:r>
              <w:rPr>
                <w:sz w:val="9"/>
                <w:szCs w:val="9"/>
              </w:rPr>
              <w:t>sjednává se</w:t>
            </w:r>
          </w:p>
        </w:tc>
        <w:tc>
          <w:tcPr>
            <w:tcW w:w="346" w:type="dxa"/>
            <w:tcBorders>
              <w:top w:val="single" w:sz="4" w:space="0" w:color="auto"/>
              <w:left w:val="single" w:sz="4" w:space="0" w:color="auto"/>
              <w:bottom w:val="single" w:sz="4" w:space="0" w:color="auto"/>
            </w:tcBorders>
            <w:shd w:val="clear" w:color="auto" w:fill="FFFFFF"/>
          </w:tcPr>
          <w:p w14:paraId="027D9A5B" w14:textId="77777777" w:rsidR="00B65869" w:rsidRDefault="00B65869" w:rsidP="00B65869">
            <w:pPr>
              <w:pStyle w:val="Style13"/>
              <w:shd w:val="clear" w:color="auto" w:fill="auto"/>
              <w:spacing w:after="0" w:line="240" w:lineRule="auto"/>
              <w:jc w:val="center"/>
              <w:rPr>
                <w:sz w:val="9"/>
                <w:szCs w:val="9"/>
              </w:rPr>
            </w:pPr>
            <w:r>
              <w:rPr>
                <w:sz w:val="9"/>
                <w:szCs w:val="9"/>
              </w:rPr>
              <w:t>A</w:t>
            </w:r>
          </w:p>
        </w:tc>
        <w:tc>
          <w:tcPr>
            <w:tcW w:w="1070" w:type="dxa"/>
            <w:tcBorders>
              <w:top w:val="single" w:sz="4" w:space="0" w:color="auto"/>
              <w:left w:val="single" w:sz="4" w:space="0" w:color="auto"/>
              <w:bottom w:val="single" w:sz="4" w:space="0" w:color="auto"/>
            </w:tcBorders>
            <w:shd w:val="clear" w:color="auto" w:fill="FFFFFF"/>
          </w:tcPr>
          <w:p w14:paraId="02DB0117" w14:textId="1BA1D77E" w:rsidR="00B65869" w:rsidRDefault="00B65869" w:rsidP="00B65869">
            <w:pPr>
              <w:pStyle w:val="Style13"/>
              <w:shd w:val="clear" w:color="auto" w:fill="auto"/>
              <w:spacing w:after="0" w:line="240" w:lineRule="auto"/>
              <w:jc w:val="both"/>
              <w:rPr>
                <w:sz w:val="9"/>
                <w:szCs w:val="9"/>
              </w:rPr>
            </w:pPr>
            <w:r>
              <w:rPr>
                <w:sz w:val="9"/>
                <w:szCs w:val="9"/>
              </w:rPr>
              <w:t>XXXXXXXXXXXXXXXXXXXXXXXXXXXXXXXXXXXXXXXXXX</w:t>
            </w:r>
          </w:p>
        </w:tc>
        <w:tc>
          <w:tcPr>
            <w:tcW w:w="422" w:type="dxa"/>
            <w:tcBorders>
              <w:top w:val="single" w:sz="4" w:space="0" w:color="auto"/>
              <w:left w:val="single" w:sz="4" w:space="0" w:color="auto"/>
              <w:bottom w:val="single" w:sz="4" w:space="0" w:color="auto"/>
            </w:tcBorders>
            <w:shd w:val="clear" w:color="auto" w:fill="FFFFFF"/>
            <w:vAlign w:val="center"/>
          </w:tcPr>
          <w:p w14:paraId="26C58096" w14:textId="77777777" w:rsidR="00B65869" w:rsidRDefault="00B65869" w:rsidP="00B65869">
            <w:pPr>
              <w:pStyle w:val="Style13"/>
              <w:shd w:val="clear" w:color="auto" w:fill="auto"/>
              <w:spacing w:after="0" w:line="240" w:lineRule="auto"/>
              <w:jc w:val="center"/>
              <w:rPr>
                <w:sz w:val="9"/>
                <w:szCs w:val="9"/>
              </w:rPr>
            </w:pPr>
            <w:r>
              <w:rPr>
                <w:sz w:val="9"/>
                <w:szCs w:val="9"/>
              </w:rPr>
              <w:t>mailem</w:t>
            </w:r>
          </w:p>
        </w:tc>
        <w:tc>
          <w:tcPr>
            <w:tcW w:w="1070" w:type="dxa"/>
            <w:tcBorders>
              <w:top w:val="single" w:sz="4" w:space="0" w:color="auto"/>
              <w:left w:val="single" w:sz="4" w:space="0" w:color="auto"/>
              <w:bottom w:val="single" w:sz="4" w:space="0" w:color="auto"/>
            </w:tcBorders>
            <w:shd w:val="clear" w:color="auto" w:fill="FFFFFF"/>
          </w:tcPr>
          <w:p w14:paraId="01E2BAF0" w14:textId="7CFEE412" w:rsidR="00B65869" w:rsidRDefault="00B65869" w:rsidP="00B65869">
            <w:pPr>
              <w:pStyle w:val="Style13"/>
              <w:shd w:val="clear" w:color="auto" w:fill="auto"/>
              <w:spacing w:after="0" w:line="240" w:lineRule="auto"/>
              <w:rPr>
                <w:sz w:val="9"/>
                <w:szCs w:val="9"/>
              </w:rPr>
            </w:pPr>
            <w:hyperlink r:id="rId23" w:history="1">
              <w:r w:rsidRPr="00B84A99">
                <w:rPr>
                  <w:sz w:val="9"/>
                  <w:szCs w:val="9"/>
                  <w:lang w:val="en-US" w:eastAsia="en-US" w:bidi="en-US"/>
                </w:rPr>
                <w:t>XXXXXXXXXXXXX</w:t>
              </w:r>
            </w:hyperlink>
          </w:p>
        </w:tc>
        <w:tc>
          <w:tcPr>
            <w:tcW w:w="379" w:type="dxa"/>
            <w:tcBorders>
              <w:top w:val="single" w:sz="4" w:space="0" w:color="auto"/>
              <w:left w:val="single" w:sz="4" w:space="0" w:color="auto"/>
              <w:bottom w:val="single" w:sz="4" w:space="0" w:color="auto"/>
            </w:tcBorders>
            <w:shd w:val="clear" w:color="auto" w:fill="FFFFFF"/>
          </w:tcPr>
          <w:p w14:paraId="722A3564" w14:textId="77777777" w:rsidR="00B65869" w:rsidRDefault="00B65869" w:rsidP="00B65869">
            <w:pPr>
              <w:pStyle w:val="Style13"/>
              <w:shd w:val="clear" w:color="auto" w:fill="auto"/>
              <w:spacing w:after="0" w:line="240" w:lineRule="auto"/>
              <w:jc w:val="both"/>
              <w:rPr>
                <w:sz w:val="9"/>
                <w:szCs w:val="9"/>
              </w:rPr>
            </w:pPr>
            <w:r>
              <w:rPr>
                <w:sz w:val="9"/>
                <w:szCs w:val="9"/>
              </w:rPr>
              <w:t>112,42</w:t>
            </w:r>
          </w:p>
        </w:tc>
        <w:tc>
          <w:tcPr>
            <w:tcW w:w="384" w:type="dxa"/>
            <w:tcBorders>
              <w:top w:val="single" w:sz="4" w:space="0" w:color="auto"/>
              <w:left w:val="single" w:sz="4" w:space="0" w:color="auto"/>
              <w:bottom w:val="single" w:sz="4" w:space="0" w:color="auto"/>
            </w:tcBorders>
            <w:shd w:val="clear" w:color="auto" w:fill="FFFFFF"/>
          </w:tcPr>
          <w:p w14:paraId="584F43FA" w14:textId="77777777" w:rsidR="00B65869" w:rsidRDefault="00B65869" w:rsidP="00B65869">
            <w:pPr>
              <w:pStyle w:val="Style13"/>
              <w:shd w:val="clear" w:color="auto" w:fill="auto"/>
              <w:spacing w:after="0" w:line="240" w:lineRule="auto"/>
              <w:rPr>
                <w:sz w:val="9"/>
                <w:szCs w:val="9"/>
              </w:rPr>
            </w:pPr>
            <w:r>
              <w:rPr>
                <w:sz w:val="9"/>
                <w:szCs w:val="9"/>
              </w:rPr>
              <w:t>102,66</w:t>
            </w:r>
          </w:p>
        </w:tc>
        <w:tc>
          <w:tcPr>
            <w:tcW w:w="384" w:type="dxa"/>
            <w:tcBorders>
              <w:top w:val="single" w:sz="4" w:space="0" w:color="auto"/>
              <w:left w:val="single" w:sz="4" w:space="0" w:color="auto"/>
              <w:bottom w:val="single" w:sz="4" w:space="0" w:color="auto"/>
            </w:tcBorders>
            <w:shd w:val="clear" w:color="auto" w:fill="FFFFFF"/>
          </w:tcPr>
          <w:p w14:paraId="73EFA7F5" w14:textId="77777777" w:rsidR="00B65869" w:rsidRDefault="00B65869" w:rsidP="00B65869">
            <w:pPr>
              <w:pStyle w:val="Style13"/>
              <w:shd w:val="clear" w:color="auto" w:fill="auto"/>
              <w:spacing w:after="0" w:line="240" w:lineRule="auto"/>
              <w:rPr>
                <w:sz w:val="9"/>
                <w:szCs w:val="9"/>
              </w:rPr>
            </w:pPr>
            <w:r>
              <w:rPr>
                <w:sz w:val="9"/>
                <w:szCs w:val="9"/>
              </w:rPr>
              <w:t>92,98</w:t>
            </w:r>
          </w:p>
        </w:tc>
        <w:tc>
          <w:tcPr>
            <w:tcW w:w="384" w:type="dxa"/>
            <w:tcBorders>
              <w:top w:val="single" w:sz="4" w:space="0" w:color="auto"/>
              <w:left w:val="single" w:sz="4" w:space="0" w:color="auto"/>
              <w:bottom w:val="single" w:sz="4" w:space="0" w:color="auto"/>
            </w:tcBorders>
            <w:shd w:val="clear" w:color="auto" w:fill="FFFFFF"/>
          </w:tcPr>
          <w:p w14:paraId="4C0B4F8C" w14:textId="77777777" w:rsidR="00B65869" w:rsidRDefault="00B65869" w:rsidP="00B65869">
            <w:pPr>
              <w:pStyle w:val="Style13"/>
              <w:shd w:val="clear" w:color="auto" w:fill="auto"/>
              <w:spacing w:after="0" w:line="240" w:lineRule="auto"/>
              <w:jc w:val="center"/>
              <w:rPr>
                <w:sz w:val="9"/>
                <w:szCs w:val="9"/>
              </w:rPr>
            </w:pPr>
            <w:r>
              <w:rPr>
                <w:sz w:val="9"/>
                <w:szCs w:val="9"/>
              </w:rPr>
              <w:t>69.53</w:t>
            </w:r>
          </w:p>
        </w:tc>
        <w:tc>
          <w:tcPr>
            <w:tcW w:w="379" w:type="dxa"/>
            <w:tcBorders>
              <w:top w:val="single" w:sz="4" w:space="0" w:color="auto"/>
              <w:left w:val="single" w:sz="4" w:space="0" w:color="auto"/>
              <w:bottom w:val="single" w:sz="4" w:space="0" w:color="auto"/>
            </w:tcBorders>
            <w:shd w:val="clear" w:color="auto" w:fill="FFFFFF"/>
          </w:tcPr>
          <w:p w14:paraId="68F79D47" w14:textId="77777777" w:rsidR="00B65869" w:rsidRDefault="00B65869" w:rsidP="00B65869">
            <w:pPr>
              <w:pStyle w:val="Style13"/>
              <w:shd w:val="clear" w:color="auto" w:fill="auto"/>
              <w:spacing w:after="0" w:line="240" w:lineRule="auto"/>
              <w:jc w:val="both"/>
              <w:rPr>
                <w:sz w:val="9"/>
                <w:szCs w:val="9"/>
              </w:rPr>
            </w:pPr>
            <w:r>
              <w:rPr>
                <w:sz w:val="9"/>
                <w:szCs w:val="9"/>
              </w:rPr>
              <w:t>56,35</w:t>
            </w:r>
          </w:p>
        </w:tc>
        <w:tc>
          <w:tcPr>
            <w:tcW w:w="384" w:type="dxa"/>
            <w:tcBorders>
              <w:top w:val="single" w:sz="4" w:space="0" w:color="auto"/>
              <w:left w:val="single" w:sz="4" w:space="0" w:color="auto"/>
              <w:bottom w:val="single" w:sz="4" w:space="0" w:color="auto"/>
            </w:tcBorders>
            <w:shd w:val="clear" w:color="auto" w:fill="FFFFFF"/>
          </w:tcPr>
          <w:p w14:paraId="7E598A73" w14:textId="77777777" w:rsidR="00B65869" w:rsidRDefault="00B65869" w:rsidP="00B65869">
            <w:pPr>
              <w:pStyle w:val="Style13"/>
              <w:shd w:val="clear" w:color="auto" w:fill="auto"/>
              <w:spacing w:after="0" w:line="240" w:lineRule="auto"/>
              <w:rPr>
                <w:sz w:val="9"/>
                <w:szCs w:val="9"/>
              </w:rPr>
            </w:pPr>
            <w:r>
              <w:rPr>
                <w:sz w:val="9"/>
                <w:szCs w:val="9"/>
              </w:rPr>
              <w:t>51,02</w:t>
            </w:r>
          </w:p>
        </w:tc>
        <w:tc>
          <w:tcPr>
            <w:tcW w:w="379" w:type="dxa"/>
            <w:tcBorders>
              <w:top w:val="single" w:sz="4" w:space="0" w:color="auto"/>
              <w:left w:val="single" w:sz="4" w:space="0" w:color="auto"/>
              <w:bottom w:val="single" w:sz="4" w:space="0" w:color="auto"/>
            </w:tcBorders>
            <w:shd w:val="clear" w:color="auto" w:fill="FFFFFF"/>
          </w:tcPr>
          <w:p w14:paraId="4C215FED" w14:textId="77777777" w:rsidR="00B65869" w:rsidRDefault="00B65869" w:rsidP="00B65869">
            <w:pPr>
              <w:pStyle w:val="Style13"/>
              <w:shd w:val="clear" w:color="auto" w:fill="auto"/>
              <w:spacing w:after="0" w:line="240" w:lineRule="auto"/>
              <w:rPr>
                <w:sz w:val="9"/>
                <w:szCs w:val="9"/>
              </w:rPr>
            </w:pPr>
            <w:r>
              <w:rPr>
                <w:sz w:val="9"/>
                <w:szCs w:val="9"/>
              </w:rPr>
              <w:t>48,85</w:t>
            </w:r>
          </w:p>
        </w:tc>
        <w:tc>
          <w:tcPr>
            <w:tcW w:w="384" w:type="dxa"/>
            <w:tcBorders>
              <w:top w:val="single" w:sz="4" w:space="0" w:color="auto"/>
              <w:left w:val="single" w:sz="4" w:space="0" w:color="auto"/>
              <w:bottom w:val="single" w:sz="4" w:space="0" w:color="auto"/>
            </w:tcBorders>
            <w:shd w:val="clear" w:color="auto" w:fill="FFFFFF"/>
          </w:tcPr>
          <w:p w14:paraId="3769F492" w14:textId="77777777" w:rsidR="00B65869" w:rsidRDefault="00B65869" w:rsidP="00B65869">
            <w:pPr>
              <w:pStyle w:val="Style13"/>
              <w:shd w:val="clear" w:color="auto" w:fill="auto"/>
              <w:spacing w:after="0" w:line="240" w:lineRule="auto"/>
              <w:jc w:val="center"/>
              <w:rPr>
                <w:sz w:val="9"/>
                <w:szCs w:val="9"/>
              </w:rPr>
            </w:pPr>
            <w:r>
              <w:rPr>
                <w:sz w:val="9"/>
                <w:szCs w:val="9"/>
              </w:rPr>
              <w:t>48,85</w:t>
            </w:r>
          </w:p>
        </w:tc>
        <w:tc>
          <w:tcPr>
            <w:tcW w:w="379" w:type="dxa"/>
            <w:tcBorders>
              <w:top w:val="single" w:sz="4" w:space="0" w:color="auto"/>
              <w:left w:val="single" w:sz="4" w:space="0" w:color="auto"/>
              <w:bottom w:val="single" w:sz="4" w:space="0" w:color="auto"/>
            </w:tcBorders>
            <w:shd w:val="clear" w:color="auto" w:fill="FFFFFF"/>
          </w:tcPr>
          <w:p w14:paraId="76D846F9" w14:textId="77777777" w:rsidR="00B65869" w:rsidRDefault="00B65869" w:rsidP="00B65869">
            <w:pPr>
              <w:pStyle w:val="Style13"/>
              <w:shd w:val="clear" w:color="auto" w:fill="auto"/>
              <w:spacing w:after="0" w:line="240" w:lineRule="auto"/>
              <w:jc w:val="both"/>
              <w:rPr>
                <w:sz w:val="9"/>
                <w:szCs w:val="9"/>
              </w:rPr>
            </w:pPr>
            <w:r>
              <w:rPr>
                <w:sz w:val="9"/>
                <w:szCs w:val="9"/>
              </w:rPr>
              <w:t>50,16</w:t>
            </w:r>
          </w:p>
        </w:tc>
        <w:tc>
          <w:tcPr>
            <w:tcW w:w="384" w:type="dxa"/>
            <w:tcBorders>
              <w:top w:val="single" w:sz="4" w:space="0" w:color="auto"/>
              <w:left w:val="single" w:sz="4" w:space="0" w:color="auto"/>
              <w:bottom w:val="single" w:sz="4" w:space="0" w:color="auto"/>
            </w:tcBorders>
            <w:shd w:val="clear" w:color="auto" w:fill="FFFFFF"/>
          </w:tcPr>
          <w:p w14:paraId="6227B8AA" w14:textId="77777777" w:rsidR="00B65869" w:rsidRDefault="00B65869" w:rsidP="00B65869">
            <w:pPr>
              <w:pStyle w:val="Style13"/>
              <w:shd w:val="clear" w:color="auto" w:fill="auto"/>
              <w:spacing w:after="0" w:line="240" w:lineRule="auto"/>
              <w:rPr>
                <w:sz w:val="9"/>
                <w:szCs w:val="9"/>
              </w:rPr>
            </w:pPr>
            <w:r>
              <w:rPr>
                <w:sz w:val="9"/>
                <w:szCs w:val="9"/>
              </w:rPr>
              <w:t>52,66</w:t>
            </w:r>
          </w:p>
        </w:tc>
        <w:tc>
          <w:tcPr>
            <w:tcW w:w="384" w:type="dxa"/>
            <w:tcBorders>
              <w:top w:val="single" w:sz="4" w:space="0" w:color="auto"/>
              <w:left w:val="single" w:sz="4" w:space="0" w:color="auto"/>
              <w:bottom w:val="single" w:sz="4" w:space="0" w:color="auto"/>
            </w:tcBorders>
            <w:shd w:val="clear" w:color="auto" w:fill="FFFFFF"/>
          </w:tcPr>
          <w:p w14:paraId="28E4357D" w14:textId="77777777" w:rsidR="00B65869" w:rsidRDefault="00B65869" w:rsidP="00B65869">
            <w:pPr>
              <w:pStyle w:val="Style13"/>
              <w:shd w:val="clear" w:color="auto" w:fill="auto"/>
              <w:spacing w:after="0" w:line="240" w:lineRule="auto"/>
              <w:jc w:val="right"/>
              <w:rPr>
                <w:sz w:val="9"/>
                <w:szCs w:val="9"/>
              </w:rPr>
            </w:pPr>
            <w:r>
              <w:rPr>
                <w:sz w:val="9"/>
                <w:szCs w:val="9"/>
              </w:rPr>
              <w:t>74.59</w:t>
            </w:r>
          </w:p>
        </w:tc>
        <w:tc>
          <w:tcPr>
            <w:tcW w:w="398" w:type="dxa"/>
            <w:tcBorders>
              <w:top w:val="single" w:sz="4" w:space="0" w:color="auto"/>
              <w:left w:val="single" w:sz="4" w:space="0" w:color="auto"/>
              <w:bottom w:val="single" w:sz="4" w:space="0" w:color="auto"/>
              <w:right w:val="single" w:sz="4" w:space="0" w:color="auto"/>
            </w:tcBorders>
            <w:shd w:val="clear" w:color="auto" w:fill="FFFFFF"/>
          </w:tcPr>
          <w:p w14:paraId="55E4CD2F" w14:textId="77777777" w:rsidR="00B65869" w:rsidRDefault="00B65869" w:rsidP="00B65869">
            <w:pPr>
              <w:pStyle w:val="Style13"/>
              <w:shd w:val="clear" w:color="auto" w:fill="auto"/>
              <w:spacing w:after="0" w:line="240" w:lineRule="auto"/>
              <w:jc w:val="right"/>
              <w:rPr>
                <w:sz w:val="9"/>
                <w:szCs w:val="9"/>
              </w:rPr>
            </w:pPr>
            <w:r>
              <w:rPr>
                <w:sz w:val="9"/>
                <w:szCs w:val="9"/>
              </w:rPr>
              <w:t>109.56</w:t>
            </w:r>
          </w:p>
        </w:tc>
      </w:tr>
    </w:tbl>
    <w:p w14:paraId="3325F85B" w14:textId="77777777" w:rsidR="008B0DEB" w:rsidRDefault="008B0DEB">
      <w:pPr>
        <w:spacing w:after="3719" w:line="1" w:lineRule="exact"/>
      </w:pPr>
    </w:p>
    <w:p w14:paraId="52B58251" w14:textId="77777777" w:rsidR="008B0DEB" w:rsidRDefault="00B65869">
      <w:pPr>
        <w:pStyle w:val="Style35"/>
        <w:shd w:val="clear" w:color="auto" w:fill="auto"/>
      </w:pPr>
      <w:r>
        <w:t>ZL č. EL-20230915-3520-3</w:t>
      </w:r>
    </w:p>
    <w:sectPr w:rsidR="008B0DEB">
      <w:headerReference w:type="default" r:id="rId24"/>
      <w:footerReference w:type="default" r:id="rId25"/>
      <w:pgSz w:w="11909" w:h="16834"/>
      <w:pgMar w:top="4575" w:right="372" w:bottom="4380" w:left="525" w:header="4147" w:footer="395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D4482" w14:textId="77777777" w:rsidR="00B65869" w:rsidRDefault="00B65869">
      <w:r>
        <w:separator/>
      </w:r>
    </w:p>
  </w:endnote>
  <w:endnote w:type="continuationSeparator" w:id="0">
    <w:p w14:paraId="5C2565A3" w14:textId="77777777" w:rsidR="00B65869" w:rsidRDefault="00B6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87E9" w14:textId="77777777" w:rsidR="008B0DEB" w:rsidRDefault="00B65869">
    <w:pPr>
      <w:spacing w:line="1" w:lineRule="exact"/>
    </w:pPr>
    <w:r>
      <w:rPr>
        <w:noProof/>
      </w:rPr>
      <mc:AlternateContent>
        <mc:Choice Requires="wps">
          <w:drawing>
            <wp:anchor distT="0" distB="0" distL="0" distR="0" simplePos="0" relativeHeight="251656192" behindDoc="1" locked="0" layoutInCell="1" allowOverlap="1" wp14:anchorId="6A5C70F2" wp14:editId="7765DBC3">
              <wp:simplePos x="0" y="0"/>
              <wp:positionH relativeFrom="page">
                <wp:posOffset>887730</wp:posOffset>
              </wp:positionH>
              <wp:positionV relativeFrom="page">
                <wp:posOffset>10045065</wp:posOffset>
              </wp:positionV>
              <wp:extent cx="4431665" cy="189230"/>
              <wp:effectExtent l="0" t="0" r="0" b="0"/>
              <wp:wrapNone/>
              <wp:docPr id="7" name="Shape 7"/>
              <wp:cNvGraphicFramePr/>
              <a:graphic xmlns:a="http://schemas.openxmlformats.org/drawingml/2006/main">
                <a:graphicData uri="http://schemas.microsoft.com/office/word/2010/wordprocessingShape">
                  <wps:wsp>
                    <wps:cNvSpPr txBox="1"/>
                    <wps:spPr>
                      <a:xfrm>
                        <a:off x="0" y="0"/>
                        <a:ext cx="4431665" cy="189230"/>
                      </a:xfrm>
                      <a:prstGeom prst="rect">
                        <a:avLst/>
                      </a:prstGeom>
                      <a:noFill/>
                    </wps:spPr>
                    <wps:txbx>
                      <w:txbxContent>
                        <w:p w14:paraId="66B6F60B" w14:textId="77777777" w:rsidR="008B0DEB" w:rsidRDefault="00B65869">
                          <w:pPr>
                            <w:pStyle w:val="Style7"/>
                            <w:shd w:val="clear" w:color="auto" w:fill="auto"/>
                            <w:rPr>
                              <w:sz w:val="15"/>
                              <w:szCs w:val="15"/>
                            </w:rPr>
                          </w:pPr>
                          <w:r>
                            <w:rPr>
                              <w:rFonts w:ascii="Arial" w:eastAsia="Arial" w:hAnsi="Arial" w:cs="Arial"/>
                              <w:i/>
                              <w:iCs/>
                              <w:sz w:val="15"/>
                              <w:szCs w:val="15"/>
                            </w:rPr>
                            <w:t>Dodávka elektřiny v rámci SSDE v napěťové hladině vysokého napětí - postupná fixace ceny - násobiči</w:t>
                          </w:r>
                        </w:p>
                        <w:p w14:paraId="1409DF69" w14:textId="77777777" w:rsidR="008B0DEB" w:rsidRDefault="00B65869">
                          <w:pPr>
                            <w:pStyle w:val="Style7"/>
                            <w:shd w:val="clear" w:color="auto" w:fill="auto"/>
                            <w:rPr>
                              <w:sz w:val="15"/>
                              <w:szCs w:val="15"/>
                            </w:rPr>
                          </w:pPr>
                          <w:r>
                            <w:rPr>
                              <w:rFonts w:ascii="Arial" w:eastAsia="Arial" w:hAnsi="Arial" w:cs="Arial"/>
                              <w:i/>
                              <w:iCs/>
                              <w:sz w:val="15"/>
                              <w:szCs w:val="15"/>
                            </w:rPr>
                            <w:t>fixační koeficient</w:t>
                          </w:r>
                        </w:p>
                      </w:txbxContent>
                    </wps:txbx>
                    <wps:bodyPr wrap="none" lIns="0" tIns="0" rIns="0" bIns="0">
                      <a:spAutoFit/>
                    </wps:bodyPr>
                  </wps:wsp>
                </a:graphicData>
              </a:graphic>
            </wp:anchor>
          </w:drawing>
        </mc:Choice>
        <mc:Fallback>
          <w:pict>
            <v:shapetype w14:anchorId="6A5C70F2" id="_x0000_t202" coordsize="21600,21600" o:spt="202" path="m,l,21600r21600,l21600,xe">
              <v:stroke joinstyle="miter"/>
              <v:path gradientshapeok="t" o:connecttype="rect"/>
            </v:shapetype>
            <v:shape id="Shape 7" o:spid="_x0000_s1037" type="#_x0000_t202" style="position:absolute;margin-left:69.9pt;margin-top:790.95pt;width:348.95pt;height:14.9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" filled="f" stroked="f">
              <v:textbox style="mso-fit-shape-to-text:t" inset="0,0,0,0">
                <w:txbxContent>
                  <w:p w14:paraId="66B6F60B" w14:textId="77777777" w:rsidR="008B0DEB" w:rsidRDefault="00B65869">
                    <w:pPr>
                      <w:pStyle w:val="Style7"/>
                      <w:shd w:val="clear" w:color="auto" w:fill="auto"/>
                      <w:rPr>
                        <w:sz w:val="15"/>
                        <w:szCs w:val="15"/>
                      </w:rPr>
                    </w:pPr>
                    <w:r>
                      <w:rPr>
                        <w:rFonts w:ascii="Arial" w:eastAsia="Arial" w:hAnsi="Arial" w:cs="Arial"/>
                        <w:i/>
                        <w:iCs/>
                        <w:sz w:val="15"/>
                        <w:szCs w:val="15"/>
                      </w:rPr>
                      <w:t>Dodávka elektřiny v rámci SSDE v napěťové hladině vysokého napětí - postupná fixace ceny - násobiči</w:t>
                    </w:r>
                  </w:p>
                  <w:p w14:paraId="1409DF69" w14:textId="77777777" w:rsidR="008B0DEB" w:rsidRDefault="00B65869">
                    <w:pPr>
                      <w:pStyle w:val="Style7"/>
                      <w:shd w:val="clear" w:color="auto" w:fill="auto"/>
                      <w:rPr>
                        <w:sz w:val="15"/>
                        <w:szCs w:val="15"/>
                      </w:rPr>
                    </w:pPr>
                    <w:r>
                      <w:rPr>
                        <w:rFonts w:ascii="Arial" w:eastAsia="Arial" w:hAnsi="Arial" w:cs="Arial"/>
                        <w:i/>
                        <w:iCs/>
                        <w:sz w:val="15"/>
                        <w:szCs w:val="15"/>
                      </w:rPr>
                      <w:t>fixační koeficient</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19ACBE9B" wp14:editId="1318F00A">
              <wp:simplePos x="0" y="0"/>
              <wp:positionH relativeFrom="page">
                <wp:posOffset>5889625</wp:posOffset>
              </wp:positionH>
              <wp:positionV relativeFrom="page">
                <wp:posOffset>10045065</wp:posOffset>
              </wp:positionV>
              <wp:extent cx="835025"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835025" cy="91440"/>
                      </a:xfrm>
                      <a:prstGeom prst="rect">
                        <a:avLst/>
                      </a:prstGeom>
                      <a:noFill/>
                    </wps:spPr>
                    <wps:txbx>
                      <w:txbxContent>
                        <w:p w14:paraId="16CB679B" w14:textId="77777777" w:rsidR="008B0DEB" w:rsidRDefault="00B65869">
                          <w:pPr>
                            <w:pStyle w:val="Style7"/>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wrap="none" lIns="0" tIns="0" rIns="0" bIns="0">
                      <a:spAutoFit/>
                    </wps:bodyPr>
                  </wps:wsp>
                </a:graphicData>
              </a:graphic>
            </wp:anchor>
          </w:drawing>
        </mc:Choice>
        <mc:Fallback>
          <w:pict>
            <v:shape w14:anchorId="19ACBE9B" id="Shape 9" o:spid="_x0000_s1038" type="#_x0000_t202" style="position:absolute;margin-left:463.75pt;margin-top:790.95pt;width:65.75pt;height:7.2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" filled="f" stroked="f">
              <v:textbox style="mso-fit-shape-to-text:t" inset="0,0,0,0">
                <w:txbxContent>
                  <w:p w14:paraId="16CB679B" w14:textId="77777777" w:rsidR="008B0DEB" w:rsidRDefault="00B65869">
                    <w:pPr>
                      <w:pStyle w:val="Style7"/>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3EBD7E28" wp14:editId="069DAC29">
              <wp:simplePos x="0" y="0"/>
              <wp:positionH relativeFrom="page">
                <wp:posOffset>881380</wp:posOffset>
              </wp:positionH>
              <wp:positionV relativeFrom="page">
                <wp:posOffset>10000615</wp:posOffset>
              </wp:positionV>
              <wp:extent cx="5848985" cy="0"/>
              <wp:effectExtent l="0" t="0" r="0" b="0"/>
              <wp:wrapNone/>
              <wp:docPr id="11" name="Shape 11"/>
              <wp:cNvGraphicFramePr/>
              <a:graphic xmlns:a="http://schemas.openxmlformats.org/drawingml/2006/main">
                <a:graphicData uri="http://schemas.microsoft.com/office/word/2010/wordprocessingShape">
                  <wps:wsp>
                    <wps:cNvCnPr/>
                    <wps:spPr>
                      <a:xfrm>
                        <a:off x="0" y="0"/>
                        <a:ext cx="5848985"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87.45000000000005pt;width:460.5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FE18" w14:textId="77777777" w:rsidR="008B0DEB" w:rsidRDefault="00B65869">
    <w:pPr>
      <w:spacing w:line="1" w:lineRule="exact"/>
    </w:pPr>
    <w:r>
      <w:rPr>
        <w:noProof/>
      </w:rPr>
      <mc:AlternateContent>
        <mc:Choice Requires="wps">
          <w:drawing>
            <wp:anchor distT="0" distB="0" distL="0" distR="0" simplePos="0" relativeHeight="251659264" behindDoc="1" locked="0" layoutInCell="1" allowOverlap="1" wp14:anchorId="762230C3" wp14:editId="18B59F28">
              <wp:simplePos x="0" y="0"/>
              <wp:positionH relativeFrom="page">
                <wp:posOffset>887730</wp:posOffset>
              </wp:positionH>
              <wp:positionV relativeFrom="page">
                <wp:posOffset>10045065</wp:posOffset>
              </wp:positionV>
              <wp:extent cx="4431665" cy="189230"/>
              <wp:effectExtent l="0" t="0" r="0" b="0"/>
              <wp:wrapNone/>
              <wp:docPr id="24" name="Shape 24"/>
              <wp:cNvGraphicFramePr/>
              <a:graphic xmlns:a="http://schemas.openxmlformats.org/drawingml/2006/main">
                <a:graphicData uri="http://schemas.microsoft.com/office/word/2010/wordprocessingShape">
                  <wps:wsp>
                    <wps:cNvSpPr txBox="1"/>
                    <wps:spPr>
                      <a:xfrm>
                        <a:off x="0" y="0"/>
                        <a:ext cx="4431665" cy="189230"/>
                      </a:xfrm>
                      <a:prstGeom prst="rect">
                        <a:avLst/>
                      </a:prstGeom>
                      <a:noFill/>
                    </wps:spPr>
                    <wps:txbx>
                      <w:txbxContent>
                        <w:p w14:paraId="637D9958" w14:textId="77777777" w:rsidR="008B0DEB" w:rsidRDefault="00B65869">
                          <w:pPr>
                            <w:pStyle w:val="Style7"/>
                            <w:shd w:val="clear" w:color="auto" w:fill="auto"/>
                            <w:rPr>
                              <w:sz w:val="15"/>
                              <w:szCs w:val="15"/>
                            </w:rPr>
                          </w:pPr>
                          <w:r>
                            <w:rPr>
                              <w:rFonts w:ascii="Arial" w:eastAsia="Arial" w:hAnsi="Arial" w:cs="Arial"/>
                              <w:i/>
                              <w:iCs/>
                              <w:sz w:val="15"/>
                              <w:szCs w:val="15"/>
                            </w:rPr>
                            <w:t xml:space="preserve">Dodávka elektřiny v rámci SSDE v napěťové hladině vysokého napětí - postupná fixace ceny - </w:t>
                          </w:r>
                          <w:r>
                            <w:rPr>
                              <w:rFonts w:ascii="Arial" w:eastAsia="Arial" w:hAnsi="Arial" w:cs="Arial"/>
                              <w:i/>
                              <w:iCs/>
                              <w:sz w:val="15"/>
                              <w:szCs w:val="15"/>
                            </w:rPr>
                            <w:t>násobiči</w:t>
                          </w:r>
                        </w:p>
                        <w:p w14:paraId="6470B1C3" w14:textId="77777777" w:rsidR="008B0DEB" w:rsidRDefault="00B65869">
                          <w:pPr>
                            <w:pStyle w:val="Style7"/>
                            <w:shd w:val="clear" w:color="auto" w:fill="auto"/>
                            <w:rPr>
                              <w:sz w:val="15"/>
                              <w:szCs w:val="15"/>
                            </w:rPr>
                          </w:pPr>
                          <w:r>
                            <w:rPr>
                              <w:rFonts w:ascii="Arial" w:eastAsia="Arial" w:hAnsi="Arial" w:cs="Arial"/>
                              <w:i/>
                              <w:iCs/>
                              <w:sz w:val="15"/>
                              <w:szCs w:val="15"/>
                            </w:rPr>
                            <w:t>fixační koeficient</w:t>
                          </w:r>
                        </w:p>
                      </w:txbxContent>
                    </wps:txbx>
                    <wps:bodyPr wrap="none" lIns="0" tIns="0" rIns="0" bIns="0">
                      <a:spAutoFit/>
                    </wps:bodyPr>
                  </wps:wsp>
                </a:graphicData>
              </a:graphic>
            </wp:anchor>
          </w:drawing>
        </mc:Choice>
        <mc:Fallback>
          <w:pict>
            <v:shapetype w14:anchorId="762230C3" id="_x0000_t202" coordsize="21600,21600" o:spt="202" path="m,l,21600r21600,l21600,xe">
              <v:stroke joinstyle="miter"/>
              <v:path gradientshapeok="t" o:connecttype="rect"/>
            </v:shapetype>
            <v:shape id="Shape 24" o:spid="_x0000_s1040" type="#_x0000_t202" style="position:absolute;margin-left:69.9pt;margin-top:790.95pt;width:348.95pt;height:14.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" filled="f" stroked="f">
              <v:textbox style="mso-fit-shape-to-text:t" inset="0,0,0,0">
                <w:txbxContent>
                  <w:p w14:paraId="637D9958" w14:textId="77777777" w:rsidR="008B0DEB" w:rsidRDefault="00B65869">
                    <w:pPr>
                      <w:pStyle w:val="Style7"/>
                      <w:shd w:val="clear" w:color="auto" w:fill="auto"/>
                      <w:rPr>
                        <w:sz w:val="15"/>
                        <w:szCs w:val="15"/>
                      </w:rPr>
                    </w:pPr>
                    <w:r>
                      <w:rPr>
                        <w:rFonts w:ascii="Arial" w:eastAsia="Arial" w:hAnsi="Arial" w:cs="Arial"/>
                        <w:i/>
                        <w:iCs/>
                        <w:sz w:val="15"/>
                        <w:szCs w:val="15"/>
                      </w:rPr>
                      <w:t xml:space="preserve">Dodávka elektřiny v rámci SSDE v napěťové hladině vysokého napětí - postupná fixace ceny - </w:t>
                    </w:r>
                    <w:r>
                      <w:rPr>
                        <w:rFonts w:ascii="Arial" w:eastAsia="Arial" w:hAnsi="Arial" w:cs="Arial"/>
                        <w:i/>
                        <w:iCs/>
                        <w:sz w:val="15"/>
                        <w:szCs w:val="15"/>
                      </w:rPr>
                      <w:t>násobiči</w:t>
                    </w:r>
                  </w:p>
                  <w:p w14:paraId="6470B1C3" w14:textId="77777777" w:rsidR="008B0DEB" w:rsidRDefault="00B65869">
                    <w:pPr>
                      <w:pStyle w:val="Style7"/>
                      <w:shd w:val="clear" w:color="auto" w:fill="auto"/>
                      <w:rPr>
                        <w:sz w:val="15"/>
                        <w:szCs w:val="15"/>
                      </w:rPr>
                    </w:pPr>
                    <w:r>
                      <w:rPr>
                        <w:rFonts w:ascii="Arial" w:eastAsia="Arial" w:hAnsi="Arial" w:cs="Arial"/>
                        <w:i/>
                        <w:iCs/>
                        <w:sz w:val="15"/>
                        <w:szCs w:val="15"/>
                      </w:rPr>
                      <w:t>fixační koeficient</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0AA76DD1" wp14:editId="542CABD0">
              <wp:simplePos x="0" y="0"/>
              <wp:positionH relativeFrom="page">
                <wp:posOffset>5889625</wp:posOffset>
              </wp:positionH>
              <wp:positionV relativeFrom="page">
                <wp:posOffset>10045065</wp:posOffset>
              </wp:positionV>
              <wp:extent cx="835025" cy="91440"/>
              <wp:effectExtent l="0" t="0" r="0" b="0"/>
              <wp:wrapNone/>
              <wp:docPr id="26" name="Shape 26"/>
              <wp:cNvGraphicFramePr/>
              <a:graphic xmlns:a="http://schemas.openxmlformats.org/drawingml/2006/main">
                <a:graphicData uri="http://schemas.microsoft.com/office/word/2010/wordprocessingShape">
                  <wps:wsp>
                    <wps:cNvSpPr txBox="1"/>
                    <wps:spPr>
                      <a:xfrm>
                        <a:off x="0" y="0"/>
                        <a:ext cx="835025" cy="91440"/>
                      </a:xfrm>
                      <a:prstGeom prst="rect">
                        <a:avLst/>
                      </a:prstGeom>
                      <a:noFill/>
                    </wps:spPr>
                    <wps:txbx>
                      <w:txbxContent>
                        <w:p w14:paraId="5A87B6BD" w14:textId="77777777" w:rsidR="008B0DEB" w:rsidRDefault="00B65869">
                          <w:pPr>
                            <w:pStyle w:val="Style7"/>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wrap="none" lIns="0" tIns="0" rIns="0" bIns="0">
                      <a:spAutoFit/>
                    </wps:bodyPr>
                  </wps:wsp>
                </a:graphicData>
              </a:graphic>
            </wp:anchor>
          </w:drawing>
        </mc:Choice>
        <mc:Fallback>
          <w:pict>
            <v:shape w14:anchorId="0AA76DD1" id="Shape 26" o:spid="_x0000_s1041" type="#_x0000_t202" style="position:absolute;margin-left:463.75pt;margin-top:790.95pt;width:65.75pt;height:7.2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" filled="f" stroked="f">
              <v:textbox style="mso-fit-shape-to-text:t" inset="0,0,0,0">
                <w:txbxContent>
                  <w:p w14:paraId="5A87B6BD" w14:textId="77777777" w:rsidR="008B0DEB" w:rsidRDefault="00B65869">
                    <w:pPr>
                      <w:pStyle w:val="Style7"/>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50C82FF1" wp14:editId="2AE4012D">
              <wp:simplePos x="0" y="0"/>
              <wp:positionH relativeFrom="page">
                <wp:posOffset>881380</wp:posOffset>
              </wp:positionH>
              <wp:positionV relativeFrom="page">
                <wp:posOffset>10000615</wp:posOffset>
              </wp:positionV>
              <wp:extent cx="5848985" cy="0"/>
              <wp:effectExtent l="0" t="0" r="0" b="0"/>
              <wp:wrapNone/>
              <wp:docPr id="28" name="Shape 28"/>
              <wp:cNvGraphicFramePr/>
              <a:graphic xmlns:a="http://schemas.openxmlformats.org/drawingml/2006/main">
                <a:graphicData uri="http://schemas.microsoft.com/office/word/2010/wordprocessingShape">
                  <wps:wsp>
                    <wps:cNvCnPr/>
                    <wps:spPr>
                      <a:xfrm>
                        <a:off x="0" y="0"/>
                        <a:ext cx="5848985"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87.45000000000005pt;width:460.55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59A8" w14:textId="77777777" w:rsidR="008B0DEB" w:rsidRDefault="00B65869">
    <w:pPr>
      <w:spacing w:line="1" w:lineRule="exact"/>
    </w:pPr>
    <w:r>
      <w:rPr>
        <w:noProof/>
      </w:rPr>
      <mc:AlternateContent>
        <mc:Choice Requires="wps">
          <w:drawing>
            <wp:anchor distT="0" distB="0" distL="0" distR="0" simplePos="0" relativeHeight="251662336" behindDoc="1" locked="0" layoutInCell="1" allowOverlap="1" wp14:anchorId="7F81069C" wp14:editId="13E78BF4">
              <wp:simplePos x="0" y="0"/>
              <wp:positionH relativeFrom="page">
                <wp:posOffset>996950</wp:posOffset>
              </wp:positionH>
              <wp:positionV relativeFrom="page">
                <wp:posOffset>10026650</wp:posOffset>
              </wp:positionV>
              <wp:extent cx="5828030" cy="194945"/>
              <wp:effectExtent l="0" t="0" r="0" b="0"/>
              <wp:wrapNone/>
              <wp:docPr id="31" name="Shape 31"/>
              <wp:cNvGraphicFramePr/>
              <a:graphic xmlns:a="http://schemas.openxmlformats.org/drawingml/2006/main">
                <a:graphicData uri="http://schemas.microsoft.com/office/word/2010/wordprocessingShape">
                  <wps:wsp>
                    <wps:cNvSpPr txBox="1"/>
                    <wps:spPr>
                      <a:xfrm>
                        <a:off x="0" y="0"/>
                        <a:ext cx="5828030" cy="194945"/>
                      </a:xfrm>
                      <a:prstGeom prst="rect">
                        <a:avLst/>
                      </a:prstGeom>
                      <a:noFill/>
                    </wps:spPr>
                    <wps:txbx>
                      <w:txbxContent>
                        <w:p w14:paraId="152CFAEF" w14:textId="77777777" w:rsidR="008B0DEB" w:rsidRDefault="00B65869">
                          <w:pPr>
                            <w:pStyle w:val="Style7"/>
                            <w:shd w:val="clear" w:color="auto" w:fill="auto"/>
                            <w:tabs>
                              <w:tab w:val="right" w:pos="9120"/>
                            </w:tabs>
                            <w:rPr>
                              <w:sz w:val="15"/>
                              <w:szCs w:val="15"/>
                            </w:rPr>
                          </w:pPr>
                          <w:r>
                            <w:rPr>
                              <w:rFonts w:ascii="Arial" w:eastAsia="Arial" w:hAnsi="Arial" w:cs="Arial"/>
                              <w:i/>
                              <w:iCs/>
                              <w:sz w:val="15"/>
                              <w:szCs w:val="15"/>
                            </w:rPr>
                            <w:t>Dodávka elektřiny v rámci SSDE v napěťové hladině vysokého napětí - postupná fixace ceny - násobiči</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p w14:paraId="79A36775" w14:textId="77777777" w:rsidR="008B0DEB" w:rsidRDefault="00B65869">
                          <w:pPr>
                            <w:pStyle w:val="Style7"/>
                            <w:shd w:val="clear" w:color="auto" w:fill="auto"/>
                            <w:rPr>
                              <w:sz w:val="15"/>
                              <w:szCs w:val="15"/>
                            </w:rPr>
                          </w:pPr>
                          <w:r>
                            <w:rPr>
                              <w:rFonts w:ascii="Arial" w:eastAsia="Arial" w:hAnsi="Arial" w:cs="Arial"/>
                              <w:i/>
                              <w:iCs/>
                              <w:sz w:val="15"/>
                              <w:szCs w:val="15"/>
                            </w:rPr>
                            <w:t>fixační koeficient</w:t>
                          </w:r>
                        </w:p>
                      </w:txbxContent>
                    </wps:txbx>
                    <wps:bodyPr lIns="0" tIns="0" rIns="0" bIns="0">
                      <a:spAutoFit/>
                    </wps:bodyPr>
                  </wps:wsp>
                </a:graphicData>
              </a:graphic>
            </wp:anchor>
          </w:drawing>
        </mc:Choice>
        <mc:Fallback>
          <w:pict>
            <v:shapetype w14:anchorId="7F81069C" id="_x0000_t202" coordsize="21600,21600" o:spt="202" path="m,l,21600r21600,l21600,xe">
              <v:stroke joinstyle="miter"/>
              <v:path gradientshapeok="t" o:connecttype="rect"/>
            </v:shapetype>
            <v:shape id="Shape 31" o:spid="_x0000_s1043" type="#_x0000_t202" style="position:absolute;margin-left:78.5pt;margin-top:789.5pt;width:458.9pt;height:15.3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" filled="f" stroked="f">
              <v:textbox style="mso-fit-shape-to-text:t" inset="0,0,0,0">
                <w:txbxContent>
                  <w:p w14:paraId="152CFAEF" w14:textId="77777777" w:rsidR="008B0DEB" w:rsidRDefault="00B65869">
                    <w:pPr>
                      <w:pStyle w:val="Style7"/>
                      <w:shd w:val="clear" w:color="auto" w:fill="auto"/>
                      <w:tabs>
                        <w:tab w:val="right" w:pos="9120"/>
                      </w:tabs>
                      <w:rPr>
                        <w:sz w:val="15"/>
                        <w:szCs w:val="15"/>
                      </w:rPr>
                    </w:pPr>
                    <w:r>
                      <w:rPr>
                        <w:rFonts w:ascii="Arial" w:eastAsia="Arial" w:hAnsi="Arial" w:cs="Arial"/>
                        <w:i/>
                        <w:iCs/>
                        <w:sz w:val="15"/>
                        <w:szCs w:val="15"/>
                      </w:rPr>
                      <w:t>Dodávka elektřiny v rámci SSDE v napěťové hladině vysokého napětí - postupná fixace ceny - násobiči</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p w14:paraId="79A36775" w14:textId="77777777" w:rsidR="008B0DEB" w:rsidRDefault="00B65869">
                    <w:pPr>
                      <w:pStyle w:val="Style7"/>
                      <w:shd w:val="clear" w:color="auto" w:fill="auto"/>
                      <w:rPr>
                        <w:sz w:val="15"/>
                        <w:szCs w:val="15"/>
                      </w:rPr>
                    </w:pPr>
                    <w:r>
                      <w:rPr>
                        <w:rFonts w:ascii="Arial" w:eastAsia="Arial" w:hAnsi="Arial" w:cs="Arial"/>
                        <w:i/>
                        <w:iCs/>
                        <w:sz w:val="15"/>
                        <w:szCs w:val="15"/>
                      </w:rPr>
                      <w:t>fixační koeficient</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34F0DE17" wp14:editId="1784F904">
              <wp:simplePos x="0" y="0"/>
              <wp:positionH relativeFrom="page">
                <wp:posOffset>990600</wp:posOffset>
              </wp:positionH>
              <wp:positionV relativeFrom="page">
                <wp:posOffset>10012680</wp:posOffset>
              </wp:positionV>
              <wp:extent cx="5840095" cy="0"/>
              <wp:effectExtent l="0" t="0" r="0" b="0"/>
              <wp:wrapNone/>
              <wp:docPr id="33" name="Shape 33"/>
              <wp:cNvGraphicFramePr/>
              <a:graphic xmlns:a="http://schemas.openxmlformats.org/drawingml/2006/main">
                <a:graphicData uri="http://schemas.microsoft.com/office/word/2010/wordprocessingShape">
                  <wps:wsp>
                    <wps:cNvCnPr/>
                    <wps:spPr>
                      <a:xfrm>
                        <a:off x="0" y="0"/>
                        <a:ext cx="5840095" cy="0"/>
                      </a:xfrm>
                      <a:prstGeom prst="straightConnector1">
                        <a:avLst/>
                      </a:prstGeom>
                      <a:ln w="12700">
                        <a:solidFill/>
                      </a:ln>
                    </wps:spPr>
                    <wps:bodyPr/>
                  </wps:wsp>
                </a:graphicData>
              </a:graphic>
            </wp:anchor>
          </w:drawing>
        </mc:Choice>
        <mc:Fallback>
          <w:pict>
            <v:shape o:spt="32" o:oned="true" path="m,l21600,21600e" style="position:absolute;margin-left:78.pt;margin-top:788.39999999999998pt;width:459.85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7534" w14:textId="77777777" w:rsidR="008B0DEB" w:rsidRDefault="00B65869">
    <w:pPr>
      <w:spacing w:line="1" w:lineRule="exact"/>
    </w:pPr>
    <w:r>
      <w:rPr>
        <w:noProof/>
      </w:rPr>
      <mc:AlternateContent>
        <mc:Choice Requires="wps">
          <w:drawing>
            <wp:anchor distT="0" distB="0" distL="0" distR="0" simplePos="0" relativeHeight="251663360" behindDoc="1" locked="0" layoutInCell="1" allowOverlap="1" wp14:anchorId="6351CE11" wp14:editId="545B442E">
              <wp:simplePos x="0" y="0"/>
              <wp:positionH relativeFrom="page">
                <wp:posOffset>884555</wp:posOffset>
              </wp:positionH>
              <wp:positionV relativeFrom="page">
                <wp:posOffset>10055225</wp:posOffset>
              </wp:positionV>
              <wp:extent cx="4428490" cy="189230"/>
              <wp:effectExtent l="0" t="0" r="0" b="0"/>
              <wp:wrapNone/>
              <wp:docPr id="42" name="Shape 42"/>
              <wp:cNvGraphicFramePr/>
              <a:graphic xmlns:a="http://schemas.openxmlformats.org/drawingml/2006/main">
                <a:graphicData uri="http://schemas.microsoft.com/office/word/2010/wordprocessingShape">
                  <wps:wsp>
                    <wps:cNvSpPr txBox="1"/>
                    <wps:spPr>
                      <a:xfrm>
                        <a:off x="0" y="0"/>
                        <a:ext cx="4428490" cy="189230"/>
                      </a:xfrm>
                      <a:prstGeom prst="rect">
                        <a:avLst/>
                      </a:prstGeom>
                      <a:noFill/>
                    </wps:spPr>
                    <wps:txbx>
                      <w:txbxContent>
                        <w:p w14:paraId="7739E15D" w14:textId="77777777" w:rsidR="008B0DEB" w:rsidRDefault="00B65869">
                          <w:pPr>
                            <w:pStyle w:val="Style7"/>
                            <w:shd w:val="clear" w:color="auto" w:fill="auto"/>
                            <w:rPr>
                              <w:sz w:val="15"/>
                              <w:szCs w:val="15"/>
                            </w:rPr>
                          </w:pPr>
                          <w:r>
                            <w:rPr>
                              <w:rFonts w:ascii="Arial" w:eastAsia="Arial" w:hAnsi="Arial" w:cs="Arial"/>
                              <w:i/>
                              <w:iCs/>
                              <w:sz w:val="15"/>
                              <w:szCs w:val="15"/>
                            </w:rPr>
                            <w:t>Dodávka elektřiny v rámci</w:t>
                          </w:r>
                          <w:r>
                            <w:rPr>
                              <w:rFonts w:ascii="Arial" w:eastAsia="Arial" w:hAnsi="Arial" w:cs="Arial"/>
                              <w:sz w:val="15"/>
                              <w:szCs w:val="15"/>
                            </w:rPr>
                            <w:t xml:space="preserve"> SSDE </w:t>
                          </w:r>
                          <w:r>
                            <w:rPr>
                              <w:rFonts w:ascii="Arial" w:eastAsia="Arial" w:hAnsi="Arial" w:cs="Arial"/>
                              <w:i/>
                              <w:iCs/>
                              <w:sz w:val="15"/>
                              <w:szCs w:val="15"/>
                            </w:rPr>
                            <w:t>v napěťové hladině vysokého napět! - postupná fixace ceny - násobiči</w:t>
                          </w:r>
                        </w:p>
                        <w:p w14:paraId="0287B16A" w14:textId="77777777" w:rsidR="008B0DEB" w:rsidRDefault="00B65869">
                          <w:pPr>
                            <w:pStyle w:val="Style7"/>
                            <w:shd w:val="clear" w:color="auto" w:fill="auto"/>
                            <w:rPr>
                              <w:sz w:val="15"/>
                              <w:szCs w:val="15"/>
                            </w:rPr>
                          </w:pPr>
                          <w:proofErr w:type="spellStart"/>
                          <w:r>
                            <w:rPr>
                              <w:rFonts w:ascii="Arial" w:eastAsia="Arial" w:hAnsi="Arial" w:cs="Arial"/>
                              <w:i/>
                              <w:iCs/>
                              <w:sz w:val="15"/>
                              <w:szCs w:val="15"/>
                            </w:rPr>
                            <w:t>fixačni</w:t>
                          </w:r>
                          <w:proofErr w:type="spellEnd"/>
                          <w:r>
                            <w:rPr>
                              <w:rFonts w:ascii="Arial" w:eastAsia="Arial" w:hAnsi="Arial" w:cs="Arial"/>
                              <w:i/>
                              <w:iCs/>
                              <w:sz w:val="15"/>
                              <w:szCs w:val="15"/>
                            </w:rPr>
                            <w:t xml:space="preserve"> koeficient</w:t>
                          </w:r>
                        </w:p>
                      </w:txbxContent>
                    </wps:txbx>
                    <wps:bodyPr wrap="none" lIns="0" tIns="0" rIns="0" bIns="0">
                      <a:spAutoFit/>
                    </wps:bodyPr>
                  </wps:wsp>
                </a:graphicData>
              </a:graphic>
            </wp:anchor>
          </w:drawing>
        </mc:Choice>
        <mc:Fallback>
          <w:pict>
            <v:shapetype w14:anchorId="6351CE11" id="_x0000_t202" coordsize="21600,21600" o:spt="202" path="m,l,21600r21600,l21600,xe">
              <v:stroke joinstyle="miter"/>
              <v:path gradientshapeok="t" o:connecttype="rect"/>
            </v:shapetype>
            <v:shape id="Shape 42" o:spid="_x0000_s1044" type="#_x0000_t202" style="position:absolute;margin-left:69.65pt;margin-top:791.75pt;width:348.7pt;height:14.9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" filled="f" stroked="f">
              <v:textbox style="mso-fit-shape-to-text:t" inset="0,0,0,0">
                <w:txbxContent>
                  <w:p w14:paraId="7739E15D" w14:textId="77777777" w:rsidR="008B0DEB" w:rsidRDefault="00B65869">
                    <w:pPr>
                      <w:pStyle w:val="Style7"/>
                      <w:shd w:val="clear" w:color="auto" w:fill="auto"/>
                      <w:rPr>
                        <w:sz w:val="15"/>
                        <w:szCs w:val="15"/>
                      </w:rPr>
                    </w:pPr>
                    <w:r>
                      <w:rPr>
                        <w:rFonts w:ascii="Arial" w:eastAsia="Arial" w:hAnsi="Arial" w:cs="Arial"/>
                        <w:i/>
                        <w:iCs/>
                        <w:sz w:val="15"/>
                        <w:szCs w:val="15"/>
                      </w:rPr>
                      <w:t>Dodávka elektřiny v rámci</w:t>
                    </w:r>
                    <w:r>
                      <w:rPr>
                        <w:rFonts w:ascii="Arial" w:eastAsia="Arial" w:hAnsi="Arial" w:cs="Arial"/>
                        <w:sz w:val="15"/>
                        <w:szCs w:val="15"/>
                      </w:rPr>
                      <w:t xml:space="preserve"> SSDE </w:t>
                    </w:r>
                    <w:r>
                      <w:rPr>
                        <w:rFonts w:ascii="Arial" w:eastAsia="Arial" w:hAnsi="Arial" w:cs="Arial"/>
                        <w:i/>
                        <w:iCs/>
                        <w:sz w:val="15"/>
                        <w:szCs w:val="15"/>
                      </w:rPr>
                      <w:t>v napěťové hladině vysokého napět! - postupná fixace ceny - násobiči</w:t>
                    </w:r>
                  </w:p>
                  <w:p w14:paraId="0287B16A" w14:textId="77777777" w:rsidR="008B0DEB" w:rsidRDefault="00B65869">
                    <w:pPr>
                      <w:pStyle w:val="Style7"/>
                      <w:shd w:val="clear" w:color="auto" w:fill="auto"/>
                      <w:rPr>
                        <w:sz w:val="15"/>
                        <w:szCs w:val="15"/>
                      </w:rPr>
                    </w:pPr>
                    <w:proofErr w:type="spellStart"/>
                    <w:r>
                      <w:rPr>
                        <w:rFonts w:ascii="Arial" w:eastAsia="Arial" w:hAnsi="Arial" w:cs="Arial"/>
                        <w:i/>
                        <w:iCs/>
                        <w:sz w:val="15"/>
                        <w:szCs w:val="15"/>
                      </w:rPr>
                      <w:t>fixačni</w:t>
                    </w:r>
                    <w:proofErr w:type="spellEnd"/>
                    <w:r>
                      <w:rPr>
                        <w:rFonts w:ascii="Arial" w:eastAsia="Arial" w:hAnsi="Arial" w:cs="Arial"/>
                        <w:i/>
                        <w:iCs/>
                        <w:sz w:val="15"/>
                        <w:szCs w:val="15"/>
                      </w:rPr>
                      <w:t xml:space="preserve"> koeficient</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4C538907" wp14:editId="3BBCB619">
              <wp:simplePos x="0" y="0"/>
              <wp:positionH relativeFrom="page">
                <wp:posOffset>5886450</wp:posOffset>
              </wp:positionH>
              <wp:positionV relativeFrom="page">
                <wp:posOffset>10061575</wp:posOffset>
              </wp:positionV>
              <wp:extent cx="831850" cy="91440"/>
              <wp:effectExtent l="0" t="0" r="0" b="0"/>
              <wp:wrapNone/>
              <wp:docPr id="44" name="Shape 44"/>
              <wp:cNvGraphicFramePr/>
              <a:graphic xmlns:a="http://schemas.openxmlformats.org/drawingml/2006/main">
                <a:graphicData uri="http://schemas.microsoft.com/office/word/2010/wordprocessingShape">
                  <wps:wsp>
                    <wps:cNvSpPr txBox="1"/>
                    <wps:spPr>
                      <a:xfrm>
                        <a:off x="0" y="0"/>
                        <a:ext cx="831850" cy="91440"/>
                      </a:xfrm>
                      <a:prstGeom prst="rect">
                        <a:avLst/>
                      </a:prstGeom>
                      <a:noFill/>
                    </wps:spPr>
                    <wps:txbx>
                      <w:txbxContent>
                        <w:p w14:paraId="69154FCF" w14:textId="77777777" w:rsidR="008B0DEB" w:rsidRDefault="00B65869">
                          <w:pPr>
                            <w:pStyle w:val="Style7"/>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wrap="none" lIns="0" tIns="0" rIns="0" bIns="0">
                      <a:spAutoFit/>
                    </wps:bodyPr>
                  </wps:wsp>
                </a:graphicData>
              </a:graphic>
            </wp:anchor>
          </w:drawing>
        </mc:Choice>
        <mc:Fallback>
          <w:pict>
            <v:shape w14:anchorId="4C538907" id="Shape 44" o:spid="_x0000_s1045" type="#_x0000_t202" style="position:absolute;margin-left:463.5pt;margin-top:792.25pt;width:65.5pt;height:7.2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" filled="f" stroked="f">
              <v:textbox style="mso-fit-shape-to-text:t" inset="0,0,0,0">
                <w:txbxContent>
                  <w:p w14:paraId="69154FCF" w14:textId="77777777" w:rsidR="008B0DEB" w:rsidRDefault="00B65869">
                    <w:pPr>
                      <w:pStyle w:val="Style7"/>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51A2ADC7" wp14:editId="68F19D2F">
              <wp:simplePos x="0" y="0"/>
              <wp:positionH relativeFrom="page">
                <wp:posOffset>881380</wp:posOffset>
              </wp:positionH>
              <wp:positionV relativeFrom="page">
                <wp:posOffset>10039985</wp:posOffset>
              </wp:positionV>
              <wp:extent cx="5845810" cy="0"/>
              <wp:effectExtent l="0" t="0" r="0" b="0"/>
              <wp:wrapNone/>
              <wp:docPr id="46" name="Shape 46"/>
              <wp:cNvGraphicFramePr/>
              <a:graphic xmlns:a="http://schemas.openxmlformats.org/drawingml/2006/main">
                <a:graphicData uri="http://schemas.microsoft.com/office/word/2010/wordprocessingShape">
                  <wps:wsp>
                    <wps:cNvCnPr/>
                    <wps:spPr>
                      <a:xfrm>
                        <a:off x="0" y="0"/>
                        <a:ext cx="5845810"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90.55000000000007pt;width:460.30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BE78" w14:textId="77777777" w:rsidR="008B0DEB" w:rsidRDefault="008B0D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004D" w14:textId="77777777" w:rsidR="008B0DEB" w:rsidRDefault="008B0DEB"/>
  </w:footnote>
  <w:footnote w:type="continuationSeparator" w:id="0">
    <w:p w14:paraId="375724EB" w14:textId="77777777" w:rsidR="008B0DEB" w:rsidRDefault="008B0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6A63" w14:textId="77777777" w:rsidR="008B0DEB" w:rsidRDefault="00B65869">
    <w:pPr>
      <w:spacing w:line="1" w:lineRule="exact"/>
    </w:pPr>
    <w:r>
      <w:rPr>
        <w:noProof/>
      </w:rPr>
      <mc:AlternateContent>
        <mc:Choice Requires="wps">
          <w:drawing>
            <wp:anchor distT="0" distB="0" distL="0" distR="0" simplePos="0" relativeHeight="251655168" behindDoc="1" locked="0" layoutInCell="1" allowOverlap="1" wp14:anchorId="70FA7E98" wp14:editId="54D78028">
              <wp:simplePos x="0" y="0"/>
              <wp:positionH relativeFrom="page">
                <wp:posOffset>1619250</wp:posOffset>
              </wp:positionH>
              <wp:positionV relativeFrom="page">
                <wp:posOffset>560705</wp:posOffset>
              </wp:positionV>
              <wp:extent cx="1009015" cy="167640"/>
              <wp:effectExtent l="0" t="0" r="0" b="0"/>
              <wp:wrapNone/>
              <wp:docPr id="5" name="Shape 5"/>
              <wp:cNvGraphicFramePr/>
              <a:graphic xmlns:a="http://schemas.openxmlformats.org/drawingml/2006/main">
                <a:graphicData uri="http://schemas.microsoft.com/office/word/2010/wordprocessingShape">
                  <wps:wsp>
                    <wps:cNvSpPr txBox="1"/>
                    <wps:spPr>
                      <a:xfrm>
                        <a:off x="0" y="0"/>
                        <a:ext cx="1009015" cy="167640"/>
                      </a:xfrm>
                      <a:prstGeom prst="rect">
                        <a:avLst/>
                      </a:prstGeom>
                      <a:noFill/>
                    </wps:spPr>
                    <wps:txbx>
                      <w:txbxContent>
                        <w:p w14:paraId="5ABF1BDC" w14:textId="77777777" w:rsidR="008B0DEB" w:rsidRDefault="00B65869">
                          <w:pPr>
                            <w:pStyle w:val="Style7"/>
                            <w:shd w:val="clear" w:color="auto" w:fill="auto"/>
                            <w:rPr>
                              <w:sz w:val="10"/>
                              <w:szCs w:val="10"/>
                            </w:rPr>
                          </w:pPr>
                          <w:r>
                            <w:rPr>
                              <w:rFonts w:ascii="Arial" w:eastAsia="Arial" w:hAnsi="Arial" w:cs="Arial"/>
                              <w:b/>
                              <w:bCs/>
                              <w:sz w:val="10"/>
                              <w:szCs w:val="10"/>
                            </w:rPr>
                            <w:t>ČESKOMORAVSKÁ</w:t>
                          </w:r>
                        </w:p>
                        <w:p w14:paraId="709CA9AD" w14:textId="77777777" w:rsidR="008B0DEB" w:rsidRDefault="00B65869">
                          <w:pPr>
                            <w:pStyle w:val="Style7"/>
                            <w:shd w:val="clear" w:color="auto" w:fill="auto"/>
                            <w:rPr>
                              <w:sz w:val="10"/>
                              <w:szCs w:val="10"/>
                            </w:rPr>
                          </w:pPr>
                          <w:r>
                            <w:rPr>
                              <w:rFonts w:ascii="Arial" w:eastAsia="Arial" w:hAnsi="Arial" w:cs="Arial"/>
                              <w:b/>
                              <w:bCs/>
                              <w:sz w:val="10"/>
                              <w:szCs w:val="10"/>
                            </w:rPr>
                            <w:t>KOMODITNÍ BURZA KLADNO</w:t>
                          </w:r>
                        </w:p>
                      </w:txbxContent>
                    </wps:txbx>
                    <wps:bodyPr wrap="none" lIns="0" tIns="0" rIns="0" bIns="0">
                      <a:spAutoFit/>
                    </wps:bodyPr>
                  </wps:wsp>
                </a:graphicData>
              </a:graphic>
            </wp:anchor>
          </w:drawing>
        </mc:Choice>
        <mc:Fallback>
          <w:pict>
            <v:shapetype w14:anchorId="70FA7E98" id="_x0000_t202" coordsize="21600,21600" o:spt="202" path="m,l,21600r21600,l21600,xe">
              <v:stroke joinstyle="miter"/>
              <v:path gradientshapeok="t" o:connecttype="rect"/>
            </v:shapetype>
            <v:shape id="Shape 5" o:spid="_x0000_s1036" type="#_x0000_t202" style="position:absolute;margin-left:127.5pt;margin-top:44.15pt;width:79.45pt;height:13.2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" filled="f" stroked="f">
              <v:textbox style="mso-fit-shape-to-text:t" inset="0,0,0,0">
                <w:txbxContent>
                  <w:p w14:paraId="5ABF1BDC" w14:textId="77777777" w:rsidR="008B0DEB" w:rsidRDefault="00B65869">
                    <w:pPr>
                      <w:pStyle w:val="Style7"/>
                      <w:shd w:val="clear" w:color="auto" w:fill="auto"/>
                      <w:rPr>
                        <w:sz w:val="10"/>
                        <w:szCs w:val="10"/>
                      </w:rPr>
                    </w:pPr>
                    <w:r>
                      <w:rPr>
                        <w:rFonts w:ascii="Arial" w:eastAsia="Arial" w:hAnsi="Arial" w:cs="Arial"/>
                        <w:b/>
                        <w:bCs/>
                        <w:sz w:val="10"/>
                        <w:szCs w:val="10"/>
                      </w:rPr>
                      <w:t>ČESKOMORAVSKÁ</w:t>
                    </w:r>
                  </w:p>
                  <w:p w14:paraId="709CA9AD" w14:textId="77777777" w:rsidR="008B0DEB" w:rsidRDefault="00B65869">
                    <w:pPr>
                      <w:pStyle w:val="Style7"/>
                      <w:shd w:val="clear" w:color="auto" w:fill="auto"/>
                      <w:rPr>
                        <w:sz w:val="10"/>
                        <w:szCs w:val="10"/>
                      </w:rPr>
                    </w:pPr>
                    <w:r>
                      <w:rPr>
                        <w:rFonts w:ascii="Arial" w:eastAsia="Arial" w:hAnsi="Arial" w:cs="Arial"/>
                        <w:b/>
                        <w:bCs/>
                        <w:sz w:val="10"/>
                        <w:szCs w:val="10"/>
                      </w:rPr>
                      <w:t>KOMODITNÍ BURZA KLADNO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767C" w14:textId="77777777" w:rsidR="008B0DEB" w:rsidRDefault="00B65869">
    <w:pPr>
      <w:spacing w:line="1" w:lineRule="exact"/>
    </w:pPr>
    <w:r>
      <w:rPr>
        <w:noProof/>
      </w:rPr>
      <mc:AlternateContent>
        <mc:Choice Requires="wps">
          <w:drawing>
            <wp:anchor distT="0" distB="0" distL="0" distR="0" simplePos="0" relativeHeight="251658240" behindDoc="1" locked="0" layoutInCell="1" allowOverlap="1" wp14:anchorId="69E25C63" wp14:editId="2BFF2459">
              <wp:simplePos x="0" y="0"/>
              <wp:positionH relativeFrom="page">
                <wp:posOffset>1619250</wp:posOffset>
              </wp:positionH>
              <wp:positionV relativeFrom="page">
                <wp:posOffset>560705</wp:posOffset>
              </wp:positionV>
              <wp:extent cx="1009015" cy="167640"/>
              <wp:effectExtent l="0" t="0" r="0" b="0"/>
              <wp:wrapNone/>
              <wp:docPr id="22" name="Shape 22"/>
              <wp:cNvGraphicFramePr/>
              <a:graphic xmlns:a="http://schemas.openxmlformats.org/drawingml/2006/main">
                <a:graphicData uri="http://schemas.microsoft.com/office/word/2010/wordprocessingShape">
                  <wps:wsp>
                    <wps:cNvSpPr txBox="1"/>
                    <wps:spPr>
                      <a:xfrm>
                        <a:off x="0" y="0"/>
                        <a:ext cx="1009015" cy="167640"/>
                      </a:xfrm>
                      <a:prstGeom prst="rect">
                        <a:avLst/>
                      </a:prstGeom>
                      <a:noFill/>
                    </wps:spPr>
                    <wps:txbx>
                      <w:txbxContent>
                        <w:p w14:paraId="35952F29" w14:textId="77777777" w:rsidR="008B0DEB" w:rsidRDefault="00B65869">
                          <w:pPr>
                            <w:pStyle w:val="Style7"/>
                            <w:shd w:val="clear" w:color="auto" w:fill="auto"/>
                            <w:rPr>
                              <w:sz w:val="10"/>
                              <w:szCs w:val="10"/>
                            </w:rPr>
                          </w:pPr>
                          <w:r>
                            <w:rPr>
                              <w:rFonts w:ascii="Arial" w:eastAsia="Arial" w:hAnsi="Arial" w:cs="Arial"/>
                              <w:b/>
                              <w:bCs/>
                              <w:sz w:val="10"/>
                              <w:szCs w:val="10"/>
                            </w:rPr>
                            <w:t>ČESKOMORAVSKÁ</w:t>
                          </w:r>
                        </w:p>
                        <w:p w14:paraId="373EF928" w14:textId="77777777" w:rsidR="008B0DEB" w:rsidRDefault="00B65869">
                          <w:pPr>
                            <w:pStyle w:val="Style7"/>
                            <w:shd w:val="clear" w:color="auto" w:fill="auto"/>
                            <w:rPr>
                              <w:sz w:val="10"/>
                              <w:szCs w:val="10"/>
                            </w:rPr>
                          </w:pPr>
                          <w:r>
                            <w:rPr>
                              <w:rFonts w:ascii="Arial" w:eastAsia="Arial" w:hAnsi="Arial" w:cs="Arial"/>
                              <w:b/>
                              <w:bCs/>
                              <w:sz w:val="10"/>
                              <w:szCs w:val="10"/>
                            </w:rPr>
                            <w:t>KOMODITNÍ BURZA KLADNO</w:t>
                          </w:r>
                        </w:p>
                      </w:txbxContent>
                    </wps:txbx>
                    <wps:bodyPr wrap="none" lIns="0" tIns="0" rIns="0" bIns="0">
                      <a:spAutoFit/>
                    </wps:bodyPr>
                  </wps:wsp>
                </a:graphicData>
              </a:graphic>
            </wp:anchor>
          </w:drawing>
        </mc:Choice>
        <mc:Fallback>
          <w:pict>
            <v:shapetype w14:anchorId="69E25C63" id="_x0000_t202" coordsize="21600,21600" o:spt="202" path="m,l,21600r21600,l21600,xe">
              <v:stroke joinstyle="miter"/>
              <v:path gradientshapeok="t" o:connecttype="rect"/>
            </v:shapetype>
            <v:shape id="Shape 22" o:spid="_x0000_s1039" type="#_x0000_t202" style="position:absolute;margin-left:127.5pt;margin-top:44.15pt;width:79.45pt;height:13.2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" filled="f" stroked="f">
              <v:textbox style="mso-fit-shape-to-text:t" inset="0,0,0,0">
                <w:txbxContent>
                  <w:p w14:paraId="35952F29" w14:textId="77777777" w:rsidR="008B0DEB" w:rsidRDefault="00B65869">
                    <w:pPr>
                      <w:pStyle w:val="Style7"/>
                      <w:shd w:val="clear" w:color="auto" w:fill="auto"/>
                      <w:rPr>
                        <w:sz w:val="10"/>
                        <w:szCs w:val="10"/>
                      </w:rPr>
                    </w:pPr>
                    <w:r>
                      <w:rPr>
                        <w:rFonts w:ascii="Arial" w:eastAsia="Arial" w:hAnsi="Arial" w:cs="Arial"/>
                        <w:b/>
                        <w:bCs/>
                        <w:sz w:val="10"/>
                        <w:szCs w:val="10"/>
                      </w:rPr>
                      <w:t>ČESKOMORAVSKÁ</w:t>
                    </w:r>
                  </w:p>
                  <w:p w14:paraId="373EF928" w14:textId="77777777" w:rsidR="008B0DEB" w:rsidRDefault="00B65869">
                    <w:pPr>
                      <w:pStyle w:val="Style7"/>
                      <w:shd w:val="clear" w:color="auto" w:fill="auto"/>
                      <w:rPr>
                        <w:sz w:val="10"/>
                        <w:szCs w:val="10"/>
                      </w:rPr>
                    </w:pPr>
                    <w:r>
                      <w:rPr>
                        <w:rFonts w:ascii="Arial" w:eastAsia="Arial" w:hAnsi="Arial" w:cs="Arial"/>
                        <w:b/>
                        <w:bCs/>
                        <w:sz w:val="10"/>
                        <w:szCs w:val="10"/>
                      </w:rPr>
                      <w:t>KOMODITNÍ BURZA KLADNO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9A377" w14:textId="77777777" w:rsidR="008B0DEB" w:rsidRDefault="00B65869">
    <w:pPr>
      <w:spacing w:line="1" w:lineRule="exact"/>
    </w:pPr>
    <w:r>
      <w:rPr>
        <w:noProof/>
      </w:rPr>
      <mc:AlternateContent>
        <mc:Choice Requires="wps">
          <w:drawing>
            <wp:anchor distT="0" distB="0" distL="0" distR="0" simplePos="0" relativeHeight="251661312" behindDoc="1" locked="0" layoutInCell="1" allowOverlap="1" wp14:anchorId="080DDFE9" wp14:editId="1753A8D7">
              <wp:simplePos x="0" y="0"/>
              <wp:positionH relativeFrom="page">
                <wp:posOffset>1078865</wp:posOffset>
              </wp:positionH>
              <wp:positionV relativeFrom="page">
                <wp:posOffset>565150</wp:posOffset>
              </wp:positionV>
              <wp:extent cx="1639570" cy="176530"/>
              <wp:effectExtent l="0" t="0" r="0" b="0"/>
              <wp:wrapNone/>
              <wp:docPr id="29" name="Shape 29"/>
              <wp:cNvGraphicFramePr/>
              <a:graphic xmlns:a="http://schemas.openxmlformats.org/drawingml/2006/main">
                <a:graphicData uri="http://schemas.microsoft.com/office/word/2010/wordprocessingShape">
                  <wps:wsp>
                    <wps:cNvSpPr txBox="1"/>
                    <wps:spPr>
                      <a:xfrm>
                        <a:off x="0" y="0"/>
                        <a:ext cx="1639570" cy="176530"/>
                      </a:xfrm>
                      <a:prstGeom prst="rect">
                        <a:avLst/>
                      </a:prstGeom>
                      <a:noFill/>
                    </wps:spPr>
                    <wps:txbx>
                      <w:txbxContent>
                        <w:p w14:paraId="2680170D" w14:textId="0836308B" w:rsidR="008B0DEB" w:rsidRDefault="00B65869">
                          <w:pPr>
                            <w:pStyle w:val="Style7"/>
                            <w:shd w:val="clear" w:color="auto" w:fill="auto"/>
                            <w:tabs>
                              <w:tab w:val="right" w:pos="2266"/>
                            </w:tabs>
                            <w:rPr>
                              <w:sz w:val="10"/>
                              <w:szCs w:val="10"/>
                            </w:rPr>
                          </w:pPr>
                          <w:r>
                            <w:rPr>
                              <w:rFonts w:ascii="Arial" w:eastAsia="Arial" w:hAnsi="Arial" w:cs="Arial"/>
                              <w:b/>
                              <w:bCs/>
                              <w:sz w:val="10"/>
                              <w:szCs w:val="10"/>
                              <w:lang w:val="en-US" w:eastAsia="en-US" w:bidi="en-US"/>
                            </w:rPr>
                            <w:t>'</w:t>
                          </w:r>
                          <w:r>
                            <w:rPr>
                              <w:rFonts w:ascii="Arial" w:eastAsia="Arial" w:hAnsi="Arial" w:cs="Arial"/>
                              <w:b/>
                              <w:bCs/>
                              <w:sz w:val="10"/>
                              <w:szCs w:val="10"/>
                            </w:rPr>
                            <w:t>ČESKOMORAVSKÁ</w:t>
                          </w:r>
                        </w:p>
                        <w:p w14:paraId="1B011DF9" w14:textId="77777777" w:rsidR="008B0DEB" w:rsidRDefault="00B65869">
                          <w:pPr>
                            <w:pStyle w:val="Style7"/>
                            <w:shd w:val="clear" w:color="auto" w:fill="auto"/>
                            <w:rPr>
                              <w:sz w:val="10"/>
                              <w:szCs w:val="10"/>
                            </w:rPr>
                          </w:pPr>
                          <w:r>
                            <w:rPr>
                              <w:rFonts w:ascii="Arial" w:eastAsia="Arial" w:hAnsi="Arial" w:cs="Arial"/>
                              <w:b/>
                              <w:bCs/>
                              <w:sz w:val="10"/>
                              <w:szCs w:val="10"/>
                            </w:rPr>
                            <w:t>KOMODITNÍ BURZA KLADNO</w:t>
                          </w:r>
                        </w:p>
                      </w:txbxContent>
                    </wps:txbx>
                    <wps:bodyPr lIns="0" tIns="0" rIns="0" bIns="0">
                      <a:spAutoFit/>
                    </wps:bodyPr>
                  </wps:wsp>
                </a:graphicData>
              </a:graphic>
            </wp:anchor>
          </w:drawing>
        </mc:Choice>
        <mc:Fallback>
          <w:pict>
            <v:shapetype w14:anchorId="080DDFE9" id="_x0000_t202" coordsize="21600,21600" o:spt="202" path="m,l,21600r21600,l21600,xe">
              <v:stroke joinstyle="miter"/>
              <v:path gradientshapeok="t" o:connecttype="rect"/>
            </v:shapetype>
            <v:shape id="Shape 29" o:spid="_x0000_s1042" type="#_x0000_t202" style="position:absolute;margin-left:84.95pt;margin-top:44.5pt;width:129.1pt;height:13.9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" filled="f" stroked="f">
              <v:textbox style="mso-fit-shape-to-text:t" inset="0,0,0,0">
                <w:txbxContent>
                  <w:p w14:paraId="2680170D" w14:textId="0836308B" w:rsidR="008B0DEB" w:rsidRDefault="00B65869">
                    <w:pPr>
                      <w:pStyle w:val="Style7"/>
                      <w:shd w:val="clear" w:color="auto" w:fill="auto"/>
                      <w:tabs>
                        <w:tab w:val="right" w:pos="2266"/>
                      </w:tabs>
                      <w:rPr>
                        <w:sz w:val="10"/>
                        <w:szCs w:val="10"/>
                      </w:rPr>
                    </w:pPr>
                    <w:r>
                      <w:rPr>
                        <w:rFonts w:ascii="Arial" w:eastAsia="Arial" w:hAnsi="Arial" w:cs="Arial"/>
                        <w:b/>
                        <w:bCs/>
                        <w:sz w:val="10"/>
                        <w:szCs w:val="10"/>
                        <w:lang w:val="en-US" w:eastAsia="en-US" w:bidi="en-US"/>
                      </w:rPr>
                      <w:t>'</w:t>
                    </w:r>
                    <w:r>
                      <w:rPr>
                        <w:rFonts w:ascii="Arial" w:eastAsia="Arial" w:hAnsi="Arial" w:cs="Arial"/>
                        <w:b/>
                        <w:bCs/>
                        <w:sz w:val="10"/>
                        <w:szCs w:val="10"/>
                      </w:rPr>
                      <w:t>ČESKOMORAVSKÁ</w:t>
                    </w:r>
                  </w:p>
                  <w:p w14:paraId="1B011DF9" w14:textId="77777777" w:rsidR="008B0DEB" w:rsidRDefault="00B65869">
                    <w:pPr>
                      <w:pStyle w:val="Style7"/>
                      <w:shd w:val="clear" w:color="auto" w:fill="auto"/>
                      <w:rPr>
                        <w:sz w:val="10"/>
                        <w:szCs w:val="10"/>
                      </w:rPr>
                    </w:pPr>
                    <w:r>
                      <w:rPr>
                        <w:rFonts w:ascii="Arial" w:eastAsia="Arial" w:hAnsi="Arial" w:cs="Arial"/>
                        <w:b/>
                        <w:bCs/>
                        <w:sz w:val="10"/>
                        <w:szCs w:val="10"/>
                      </w:rPr>
                      <w:t>KOMODITNÍ BURZA KLADNO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3C1C" w14:textId="77777777" w:rsidR="008B0DEB" w:rsidRDefault="008B0DE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9556" w14:textId="77777777" w:rsidR="008B0DEB" w:rsidRDefault="008B0D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86F"/>
    <w:multiLevelType w:val="multilevel"/>
    <w:tmpl w:val="970A00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0B65BD"/>
    <w:multiLevelType w:val="multilevel"/>
    <w:tmpl w:val="AAC85312"/>
    <w:lvl w:ilvl="0">
      <w:start w:val="7"/>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3B4ECC"/>
    <w:multiLevelType w:val="multilevel"/>
    <w:tmpl w:val="789EA5D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2927E3"/>
    <w:multiLevelType w:val="multilevel"/>
    <w:tmpl w:val="E9E492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A5491A"/>
    <w:multiLevelType w:val="multilevel"/>
    <w:tmpl w:val="47BC5EE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75534F"/>
    <w:multiLevelType w:val="multilevel"/>
    <w:tmpl w:val="AB92B29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046BE9"/>
    <w:multiLevelType w:val="multilevel"/>
    <w:tmpl w:val="29E6BBB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051B1D"/>
    <w:multiLevelType w:val="multilevel"/>
    <w:tmpl w:val="C19277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7E7DFB"/>
    <w:multiLevelType w:val="multilevel"/>
    <w:tmpl w:val="93DC00C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9A5469"/>
    <w:multiLevelType w:val="multilevel"/>
    <w:tmpl w:val="F8742E0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BA22D2"/>
    <w:multiLevelType w:val="multilevel"/>
    <w:tmpl w:val="279255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F34F8C"/>
    <w:multiLevelType w:val="multilevel"/>
    <w:tmpl w:val="F59E542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9B18DD"/>
    <w:multiLevelType w:val="multilevel"/>
    <w:tmpl w:val="137E2B6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9D585D"/>
    <w:multiLevelType w:val="multilevel"/>
    <w:tmpl w:val="50C04E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127F31"/>
    <w:multiLevelType w:val="multilevel"/>
    <w:tmpl w:val="A5C28D6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E85FD4"/>
    <w:multiLevelType w:val="multilevel"/>
    <w:tmpl w:val="39A0F9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347923"/>
    <w:multiLevelType w:val="multilevel"/>
    <w:tmpl w:val="F3D0001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3911D4"/>
    <w:multiLevelType w:val="multilevel"/>
    <w:tmpl w:val="4FC21D6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D64EE1"/>
    <w:multiLevelType w:val="multilevel"/>
    <w:tmpl w:val="C0D2ED2E"/>
    <w:lvl w:ilvl="0">
      <w:start w:val="5"/>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B94417"/>
    <w:multiLevelType w:val="multilevel"/>
    <w:tmpl w:val="F634F31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6722036">
    <w:abstractNumId w:val="12"/>
  </w:num>
  <w:num w:numId="2" w16cid:durableId="1290555397">
    <w:abstractNumId w:val="19"/>
  </w:num>
  <w:num w:numId="3" w16cid:durableId="2040085344">
    <w:abstractNumId w:val="16"/>
  </w:num>
  <w:num w:numId="4" w16cid:durableId="1481997146">
    <w:abstractNumId w:val="17"/>
  </w:num>
  <w:num w:numId="5" w16cid:durableId="1888839256">
    <w:abstractNumId w:val="18"/>
  </w:num>
  <w:num w:numId="6" w16cid:durableId="345712395">
    <w:abstractNumId w:val="1"/>
  </w:num>
  <w:num w:numId="7" w16cid:durableId="1011103615">
    <w:abstractNumId w:val="8"/>
  </w:num>
  <w:num w:numId="8" w16cid:durableId="28653870">
    <w:abstractNumId w:val="0"/>
  </w:num>
  <w:num w:numId="9" w16cid:durableId="1269892585">
    <w:abstractNumId w:val="4"/>
  </w:num>
  <w:num w:numId="10" w16cid:durableId="880020641">
    <w:abstractNumId w:val="15"/>
  </w:num>
  <w:num w:numId="11" w16cid:durableId="1121000686">
    <w:abstractNumId w:val="5"/>
  </w:num>
  <w:num w:numId="12" w16cid:durableId="879166094">
    <w:abstractNumId w:val="10"/>
  </w:num>
  <w:num w:numId="13" w16cid:durableId="1318992078">
    <w:abstractNumId w:val="13"/>
  </w:num>
  <w:num w:numId="14" w16cid:durableId="2122452122">
    <w:abstractNumId w:val="7"/>
  </w:num>
  <w:num w:numId="15" w16cid:durableId="304628788">
    <w:abstractNumId w:val="6"/>
  </w:num>
  <w:num w:numId="16" w16cid:durableId="1576237966">
    <w:abstractNumId w:val="9"/>
  </w:num>
  <w:num w:numId="17" w16cid:durableId="1633049951">
    <w:abstractNumId w:val="3"/>
  </w:num>
  <w:num w:numId="18" w16cid:durableId="776876935">
    <w:abstractNumId w:val="14"/>
  </w:num>
  <w:num w:numId="19" w16cid:durableId="1260796064">
    <w:abstractNumId w:val="2"/>
  </w:num>
  <w:num w:numId="20" w16cid:durableId="17867259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EB"/>
    <w:rsid w:val="002B7FA6"/>
    <w:rsid w:val="002E4E37"/>
    <w:rsid w:val="00482AA6"/>
    <w:rsid w:val="008B0DEB"/>
    <w:rsid w:val="00922C49"/>
    <w:rsid w:val="00AF1CD0"/>
    <w:rsid w:val="00B65869"/>
    <w:rsid w:val="00EA15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D5A01"/>
  <w15:docId w15:val="{5B916587-2BB6-4B42-A952-42C2A41F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9"/>
      <w:szCs w:val="19"/>
      <w:u w:val="none"/>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44"/>
      <w:szCs w:val="44"/>
      <w:u w:val="none"/>
    </w:rPr>
  </w:style>
  <w:style w:type="character" w:customStyle="1" w:styleId="CharStyle8">
    <w:name w:val="Char Style 8"/>
    <w:basedOn w:val="Standardnpsmoodstavce"/>
    <w:link w:val="Style7"/>
    <w:rPr>
      <w:b w:val="0"/>
      <w:bCs w:val="0"/>
      <w:i w:val="0"/>
      <w:iCs w:val="0"/>
      <w:smallCaps w:val="0"/>
      <w:strike w:val="0"/>
      <w:sz w:val="20"/>
      <w:szCs w:val="20"/>
      <w:u w:val="none"/>
    </w:rPr>
  </w:style>
  <w:style w:type="character" w:customStyle="1" w:styleId="CharStyle12">
    <w:name w:val="Char Style 12"/>
    <w:basedOn w:val="Standardnpsmoodstavce"/>
    <w:link w:val="Style11"/>
    <w:rPr>
      <w:rFonts w:ascii="Arial" w:eastAsia="Arial" w:hAnsi="Arial" w:cs="Arial"/>
      <w:b/>
      <w:bCs/>
      <w:i w:val="0"/>
      <w:iCs w:val="0"/>
      <w:smallCaps w:val="0"/>
      <w:strike w:val="0"/>
      <w:sz w:val="30"/>
      <w:szCs w:val="30"/>
      <w:u w:val="single"/>
    </w:rPr>
  </w:style>
  <w:style w:type="character" w:customStyle="1" w:styleId="CharStyle14">
    <w:name w:val="Char Style 14"/>
    <w:basedOn w:val="Standardnpsmoodstavce"/>
    <w:link w:val="Style13"/>
    <w:rPr>
      <w:rFonts w:ascii="Arial" w:eastAsia="Arial" w:hAnsi="Arial" w:cs="Arial"/>
      <w:b w:val="0"/>
      <w:bCs w:val="0"/>
      <w:i w:val="0"/>
      <w:iCs w:val="0"/>
      <w:smallCaps w:val="0"/>
      <w:strike w:val="0"/>
      <w:sz w:val="19"/>
      <w:szCs w:val="19"/>
      <w:u w:val="none"/>
    </w:rPr>
  </w:style>
  <w:style w:type="character" w:customStyle="1" w:styleId="CharStyle17">
    <w:name w:val="Char Style 17"/>
    <w:basedOn w:val="Standardnpsmoodstavce"/>
    <w:link w:val="Style16"/>
    <w:rPr>
      <w:rFonts w:ascii="Arial" w:eastAsia="Arial" w:hAnsi="Arial" w:cs="Arial"/>
      <w:b/>
      <w:bCs/>
      <w:i w:val="0"/>
      <w:iCs w:val="0"/>
      <w:smallCaps w:val="0"/>
      <w:strike w:val="0"/>
      <w:sz w:val="19"/>
      <w:szCs w:val="19"/>
      <w:u w:val="none"/>
    </w:rPr>
  </w:style>
  <w:style w:type="character" w:customStyle="1" w:styleId="CharStyle19">
    <w:name w:val="Char Style 19"/>
    <w:basedOn w:val="Standardnpsmoodstavce"/>
    <w:link w:val="Style18"/>
    <w:rPr>
      <w:rFonts w:ascii="Arial" w:eastAsia="Arial" w:hAnsi="Arial" w:cs="Arial"/>
      <w:b w:val="0"/>
      <w:bCs w:val="0"/>
      <w:i/>
      <w:iCs/>
      <w:smallCaps w:val="0"/>
      <w:strike w:val="0"/>
      <w:sz w:val="15"/>
      <w:szCs w:val="15"/>
      <w:u w:val="none"/>
    </w:rPr>
  </w:style>
  <w:style w:type="character" w:customStyle="1" w:styleId="CharStyle22">
    <w:name w:val="Char Style 22"/>
    <w:basedOn w:val="Standardnpsmoodstavce"/>
    <w:link w:val="Style21"/>
    <w:rPr>
      <w:rFonts w:ascii="Arial" w:eastAsia="Arial" w:hAnsi="Arial" w:cs="Arial"/>
      <w:b/>
      <w:bCs/>
      <w:i w:val="0"/>
      <w:iCs w:val="0"/>
      <w:smallCaps w:val="0"/>
      <w:strike w:val="0"/>
      <w:sz w:val="19"/>
      <w:szCs w:val="19"/>
      <w:u w:val="single"/>
    </w:rPr>
  </w:style>
  <w:style w:type="character" w:customStyle="1" w:styleId="CharStyle24">
    <w:name w:val="Char Style 24"/>
    <w:basedOn w:val="Standardnpsmoodstavce"/>
    <w:link w:val="Style23"/>
    <w:rPr>
      <w:rFonts w:ascii="Arial" w:eastAsia="Arial" w:hAnsi="Arial" w:cs="Arial"/>
      <w:b w:val="0"/>
      <w:bCs w:val="0"/>
      <w:i w:val="0"/>
      <w:iCs w:val="0"/>
      <w:smallCaps w:val="0"/>
      <w:strike w:val="0"/>
      <w:sz w:val="13"/>
      <w:szCs w:val="13"/>
      <w:u w:val="none"/>
    </w:rPr>
  </w:style>
  <w:style w:type="character" w:customStyle="1" w:styleId="CharStyle30">
    <w:name w:val="Char Style 30"/>
    <w:basedOn w:val="Standardnpsmoodstavce"/>
    <w:link w:val="Style29"/>
    <w:rPr>
      <w:b/>
      <w:bCs/>
      <w:i w:val="0"/>
      <w:iCs w:val="0"/>
      <w:smallCaps w:val="0"/>
      <w:strike w:val="0"/>
      <w:sz w:val="15"/>
      <w:szCs w:val="15"/>
      <w:u w:val="none"/>
    </w:rPr>
  </w:style>
  <w:style w:type="character" w:customStyle="1" w:styleId="CharStyle34">
    <w:name w:val="Char Style 34"/>
    <w:basedOn w:val="Standardnpsmoodstavce"/>
    <w:link w:val="Style33"/>
    <w:rPr>
      <w:rFonts w:ascii="Arial" w:eastAsia="Arial" w:hAnsi="Arial" w:cs="Arial"/>
      <w:b w:val="0"/>
      <w:bCs w:val="0"/>
      <w:i/>
      <w:iCs/>
      <w:smallCaps w:val="0"/>
      <w:strike w:val="0"/>
      <w:sz w:val="34"/>
      <w:szCs w:val="34"/>
      <w:u w:val="none"/>
    </w:rPr>
  </w:style>
  <w:style w:type="character" w:customStyle="1" w:styleId="CharStyle36">
    <w:name w:val="Char Style 36"/>
    <w:basedOn w:val="Standardnpsmoodstavce"/>
    <w:link w:val="Style35"/>
    <w:rPr>
      <w:rFonts w:ascii="Arial" w:eastAsia="Arial" w:hAnsi="Arial" w:cs="Arial"/>
      <w:b w:val="0"/>
      <w:bCs w:val="0"/>
      <w:i/>
      <w:iCs/>
      <w:smallCaps w:val="0"/>
      <w:strike w:val="0"/>
      <w:sz w:val="10"/>
      <w:szCs w:val="10"/>
      <w:u w:val="none"/>
    </w:rPr>
  </w:style>
  <w:style w:type="character" w:customStyle="1" w:styleId="CharStyle38">
    <w:name w:val="Char Style 38"/>
    <w:basedOn w:val="Standardnpsmoodstavce"/>
    <w:link w:val="Style37"/>
    <w:rPr>
      <w:rFonts w:ascii="Arial" w:eastAsia="Arial" w:hAnsi="Arial" w:cs="Arial"/>
      <w:b/>
      <w:bCs/>
      <w:i w:val="0"/>
      <w:iCs w:val="0"/>
      <w:smallCaps w:val="0"/>
      <w:strike w:val="0"/>
      <w:sz w:val="8"/>
      <w:szCs w:val="8"/>
      <w:u w:val="none"/>
    </w:rPr>
  </w:style>
  <w:style w:type="paragraph" w:customStyle="1" w:styleId="Style2">
    <w:name w:val="Style 2"/>
    <w:basedOn w:val="Normln"/>
    <w:link w:val="CharStyle3"/>
    <w:pPr>
      <w:shd w:val="clear" w:color="auto" w:fill="FFFFFF"/>
      <w:spacing w:after="220" w:line="252" w:lineRule="auto"/>
    </w:pPr>
    <w:rPr>
      <w:rFonts w:ascii="Arial" w:eastAsia="Arial" w:hAnsi="Arial" w:cs="Arial"/>
      <w:sz w:val="19"/>
      <w:szCs w:val="19"/>
    </w:rPr>
  </w:style>
  <w:style w:type="paragraph" w:customStyle="1" w:styleId="Style5">
    <w:name w:val="Style 5"/>
    <w:basedOn w:val="Normln"/>
    <w:link w:val="CharStyle6"/>
    <w:pPr>
      <w:shd w:val="clear" w:color="auto" w:fill="FFFFFF"/>
      <w:spacing w:after="820"/>
      <w:ind w:left="8140"/>
      <w:outlineLvl w:val="0"/>
    </w:pPr>
    <w:rPr>
      <w:rFonts w:ascii="Arial" w:eastAsia="Arial" w:hAnsi="Arial" w:cs="Arial"/>
      <w:sz w:val="44"/>
      <w:szCs w:val="44"/>
    </w:rPr>
  </w:style>
  <w:style w:type="paragraph" w:customStyle="1" w:styleId="Style7">
    <w:name w:val="Style 7"/>
    <w:basedOn w:val="Normln"/>
    <w:link w:val="CharStyle8"/>
    <w:pPr>
      <w:shd w:val="clear" w:color="auto" w:fill="FFFFFF"/>
    </w:pPr>
    <w:rPr>
      <w:sz w:val="20"/>
      <w:szCs w:val="20"/>
    </w:rPr>
  </w:style>
  <w:style w:type="paragraph" w:customStyle="1" w:styleId="Style11">
    <w:name w:val="Style 11"/>
    <w:basedOn w:val="Normln"/>
    <w:link w:val="CharStyle12"/>
    <w:pPr>
      <w:shd w:val="clear" w:color="auto" w:fill="FFFFFF"/>
      <w:spacing w:after="60"/>
      <w:ind w:left="1920"/>
      <w:outlineLvl w:val="2"/>
    </w:pPr>
    <w:rPr>
      <w:rFonts w:ascii="Arial" w:eastAsia="Arial" w:hAnsi="Arial" w:cs="Arial"/>
      <w:b/>
      <w:bCs/>
      <w:sz w:val="30"/>
      <w:szCs w:val="30"/>
      <w:u w:val="single"/>
    </w:rPr>
  </w:style>
  <w:style w:type="paragraph" w:customStyle="1" w:styleId="Style13">
    <w:name w:val="Style 13"/>
    <w:basedOn w:val="Normln"/>
    <w:link w:val="CharStyle14"/>
    <w:pPr>
      <w:shd w:val="clear" w:color="auto" w:fill="FFFFFF"/>
      <w:spacing w:after="220" w:line="252" w:lineRule="auto"/>
    </w:pPr>
    <w:rPr>
      <w:rFonts w:ascii="Arial" w:eastAsia="Arial" w:hAnsi="Arial" w:cs="Arial"/>
      <w:sz w:val="19"/>
      <w:szCs w:val="19"/>
    </w:rPr>
  </w:style>
  <w:style w:type="paragraph" w:customStyle="1" w:styleId="Style16">
    <w:name w:val="Style 16"/>
    <w:basedOn w:val="Normln"/>
    <w:link w:val="CharStyle17"/>
    <w:pPr>
      <w:shd w:val="clear" w:color="auto" w:fill="FFFFFF"/>
    </w:pPr>
    <w:rPr>
      <w:rFonts w:ascii="Arial" w:eastAsia="Arial" w:hAnsi="Arial" w:cs="Arial"/>
      <w:b/>
      <w:bCs/>
      <w:sz w:val="19"/>
      <w:szCs w:val="19"/>
    </w:rPr>
  </w:style>
  <w:style w:type="paragraph" w:customStyle="1" w:styleId="Style18">
    <w:name w:val="Style 18"/>
    <w:basedOn w:val="Normln"/>
    <w:link w:val="CharStyle19"/>
    <w:pPr>
      <w:shd w:val="clear" w:color="auto" w:fill="FFFFFF"/>
      <w:spacing w:after="580"/>
      <w:jc w:val="right"/>
    </w:pPr>
    <w:rPr>
      <w:rFonts w:ascii="Arial" w:eastAsia="Arial" w:hAnsi="Arial" w:cs="Arial"/>
      <w:i/>
      <w:iCs/>
      <w:sz w:val="15"/>
      <w:szCs w:val="15"/>
    </w:rPr>
  </w:style>
  <w:style w:type="paragraph" w:customStyle="1" w:styleId="Style21">
    <w:name w:val="Style 21"/>
    <w:basedOn w:val="Normln"/>
    <w:link w:val="CharStyle22"/>
    <w:pPr>
      <w:shd w:val="clear" w:color="auto" w:fill="FFFFFF"/>
      <w:spacing w:after="220" w:line="252" w:lineRule="auto"/>
      <w:ind w:firstLine="240"/>
      <w:outlineLvl w:val="3"/>
    </w:pPr>
    <w:rPr>
      <w:rFonts w:ascii="Arial" w:eastAsia="Arial" w:hAnsi="Arial" w:cs="Arial"/>
      <w:b/>
      <w:bCs/>
      <w:sz w:val="19"/>
      <w:szCs w:val="19"/>
      <w:u w:val="single"/>
    </w:rPr>
  </w:style>
  <w:style w:type="paragraph" w:customStyle="1" w:styleId="Style23">
    <w:name w:val="Style 23"/>
    <w:basedOn w:val="Normln"/>
    <w:link w:val="CharStyle24"/>
    <w:pPr>
      <w:shd w:val="clear" w:color="auto" w:fill="FFFFFF"/>
      <w:ind w:left="2640"/>
    </w:pPr>
    <w:rPr>
      <w:rFonts w:ascii="Arial" w:eastAsia="Arial" w:hAnsi="Arial" w:cs="Arial"/>
      <w:sz w:val="13"/>
      <w:szCs w:val="13"/>
    </w:rPr>
  </w:style>
  <w:style w:type="paragraph" w:customStyle="1" w:styleId="Style29">
    <w:name w:val="Style 29"/>
    <w:basedOn w:val="Normln"/>
    <w:link w:val="CharStyle30"/>
    <w:pPr>
      <w:shd w:val="clear" w:color="auto" w:fill="FFFFFF"/>
    </w:pPr>
    <w:rPr>
      <w:b/>
      <w:bCs/>
      <w:sz w:val="15"/>
      <w:szCs w:val="15"/>
    </w:rPr>
  </w:style>
  <w:style w:type="paragraph" w:customStyle="1" w:styleId="Style33">
    <w:name w:val="Style 33"/>
    <w:basedOn w:val="Normln"/>
    <w:link w:val="CharStyle34"/>
    <w:pPr>
      <w:shd w:val="clear" w:color="auto" w:fill="FFFFFF"/>
      <w:outlineLvl w:val="1"/>
    </w:pPr>
    <w:rPr>
      <w:rFonts w:ascii="Arial" w:eastAsia="Arial" w:hAnsi="Arial" w:cs="Arial"/>
      <w:i/>
      <w:iCs/>
      <w:sz w:val="34"/>
      <w:szCs w:val="34"/>
    </w:rPr>
  </w:style>
  <w:style w:type="paragraph" w:customStyle="1" w:styleId="Style35">
    <w:name w:val="Style 35"/>
    <w:basedOn w:val="Normln"/>
    <w:link w:val="CharStyle36"/>
    <w:pPr>
      <w:shd w:val="clear" w:color="auto" w:fill="FFFFFF"/>
    </w:pPr>
    <w:rPr>
      <w:rFonts w:ascii="Arial" w:eastAsia="Arial" w:hAnsi="Arial" w:cs="Arial"/>
      <w:i/>
      <w:iCs/>
      <w:sz w:val="10"/>
      <w:szCs w:val="10"/>
    </w:rPr>
  </w:style>
  <w:style w:type="paragraph" w:customStyle="1" w:styleId="Style37">
    <w:name w:val="Style 37"/>
    <w:basedOn w:val="Normln"/>
    <w:link w:val="CharStyle38"/>
    <w:pPr>
      <w:shd w:val="clear" w:color="auto" w:fill="FFFFFF"/>
      <w:spacing w:after="80"/>
      <w:ind w:left="520" w:firstLine="70"/>
    </w:pPr>
    <w:rPr>
      <w:rFonts w:ascii="Arial" w:eastAsia="Arial" w:hAnsi="Arial" w:cs="Arial"/>
      <w:b/>
      <w:bCs/>
      <w:sz w:val="8"/>
      <w:szCs w:val="8"/>
    </w:rPr>
  </w:style>
  <w:style w:type="character" w:styleId="Hypertextovodkaz">
    <w:name w:val="Hyperlink"/>
    <w:basedOn w:val="Standardnpsmoodstavce"/>
    <w:uiPriority w:val="99"/>
    <w:unhideWhenUsed/>
    <w:rsid w:val="00EA155A"/>
    <w:rPr>
      <w:color w:val="0563C1" w:themeColor="hyperlink"/>
      <w:u w:val="single"/>
    </w:rPr>
  </w:style>
  <w:style w:type="character" w:styleId="Nevyeenzmnka">
    <w:name w:val="Unresolved Mention"/>
    <w:basedOn w:val="Standardnpsmoodstavce"/>
    <w:uiPriority w:val="99"/>
    <w:semiHidden/>
    <w:unhideWhenUsed/>
    <w:rsid w:val="00EA155A"/>
    <w:rPr>
      <w:color w:val="605E5C"/>
      <w:shd w:val="clear" w:color="auto" w:fill="E1DFDD"/>
    </w:rPr>
  </w:style>
  <w:style w:type="paragraph" w:styleId="Zhlav">
    <w:name w:val="header"/>
    <w:basedOn w:val="Normln"/>
    <w:link w:val="ZhlavChar"/>
    <w:uiPriority w:val="99"/>
    <w:unhideWhenUsed/>
    <w:rsid w:val="00482AA6"/>
    <w:pPr>
      <w:tabs>
        <w:tab w:val="center" w:pos="4536"/>
        <w:tab w:val="right" w:pos="9072"/>
      </w:tabs>
    </w:pPr>
  </w:style>
  <w:style w:type="character" w:customStyle="1" w:styleId="ZhlavChar">
    <w:name w:val="Záhlaví Char"/>
    <w:basedOn w:val="Standardnpsmoodstavce"/>
    <w:link w:val="Zhlav"/>
    <w:uiPriority w:val="99"/>
    <w:rsid w:val="00482AA6"/>
    <w:rPr>
      <w:color w:val="000000"/>
    </w:rPr>
  </w:style>
  <w:style w:type="paragraph" w:styleId="Zpat">
    <w:name w:val="footer"/>
    <w:basedOn w:val="Normln"/>
    <w:link w:val="ZpatChar"/>
    <w:uiPriority w:val="99"/>
    <w:unhideWhenUsed/>
    <w:rsid w:val="00482AA6"/>
    <w:pPr>
      <w:tabs>
        <w:tab w:val="center" w:pos="4536"/>
        <w:tab w:val="right" w:pos="9072"/>
      </w:tabs>
    </w:pPr>
  </w:style>
  <w:style w:type="character" w:customStyle="1" w:styleId="ZpatChar">
    <w:name w:val="Zápatí Char"/>
    <w:basedOn w:val="Standardnpsmoodstavce"/>
    <w:link w:val="Zpat"/>
    <w:uiPriority w:val="99"/>
    <w:rsid w:val="00482AA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mailto:eva.liberska@nm.c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eva.liberska@nm.cz" TargetMode="Externa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yperlink" Target="mailto:eva.liberska@nm.cz"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mailto:eva.liberska@nm.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mailto:eva.liberska@nm.cz" TargetMode="External"/><Relationship Id="rId10" Type="http://schemas.openxmlformats.org/officeDocument/2006/relationships/hyperlink" Target="mailto:Milan.Benes@mkcr.cz" TargetMode="External"/><Relationship Id="rId19" Type="http://schemas.openxmlformats.org/officeDocument/2006/relationships/hyperlink" Target="mailto:eva.liberska@nm.cz" TargetMode="External"/><Relationship Id="rId4" Type="http://schemas.openxmlformats.org/officeDocument/2006/relationships/webSettings" Target="webSettings.xml"/><Relationship Id="rId9" Type="http://schemas.openxmlformats.org/officeDocument/2006/relationships/hyperlink" Target="mailto:Jiri.Koubek@mkcr.cz" TargetMode="External"/><Relationship Id="rId14" Type="http://schemas.openxmlformats.org/officeDocument/2006/relationships/footer" Target="footer3.xml"/><Relationship Id="rId22" Type="http://schemas.openxmlformats.org/officeDocument/2006/relationships/hyperlink" Target="mailto:eva.liberska@nm.cz" TargetMode="Externa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4650</Words>
  <Characters>27436</Characters>
  <Application>Microsoft Office Word</Application>
  <DocSecurity>0</DocSecurity>
  <Lines>228</Lines>
  <Paragraphs>64</Paragraphs>
  <ScaleCrop>false</ScaleCrop>
  <Company/>
  <LinksUpToDate>false</LinksUpToDate>
  <CharactersWithSpaces>32022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Kofroňová Kristýna</dc:creator>
  <cp:lastModifiedBy>Kofroňová Kristýna</cp:lastModifiedBy>
  <cp:revision>8</cp:revision>
  <dcterms:created xsi:type="dcterms:W3CDTF">2023-12-19T16:24:00Z</dcterms:created>
  <dcterms:modified xsi:type="dcterms:W3CDTF">2023-12-19T16:29:00Z</dcterms:modified>
</cp:coreProperties>
</file>