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100F" w14:textId="107CE540" w:rsidR="009E3E0E" w:rsidRDefault="009E3E0E" w:rsidP="009E3E0E">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690443">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47280191" w14:textId="475C7DE6" w:rsidR="009E3E0E" w:rsidRDefault="009E3E0E" w:rsidP="009E3E0E">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Fenix č. </w:t>
      </w:r>
      <w:r w:rsidR="00690443" w:rsidRPr="00690443">
        <w:rPr>
          <w:rFonts w:ascii="Calibri" w:hAnsi="Calibri" w:cs="Calibri"/>
          <w:bCs/>
          <w:kern w:val="28"/>
          <w:sz w:val="32"/>
          <w:szCs w:val="32"/>
        </w:rPr>
        <w:t>F-10-00812</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488D771" w14:textId="0653C1F4" w:rsidR="009E3E0E" w:rsidRPr="0000727D" w:rsidRDefault="002D2240" w:rsidP="002D2240">
      <w:pPr>
        <w:pStyle w:val="Nadpis7"/>
        <w:tabs>
          <w:tab w:val="left" w:pos="2268"/>
        </w:tabs>
        <w:spacing w:before="240" w:after="60"/>
        <w:ind w:left="2268" w:right="-86" w:firstLine="0"/>
        <w:rPr>
          <w:rFonts w:ascii="Calibri" w:hAnsi="Calibri"/>
          <w:b/>
          <w:sz w:val="22"/>
          <w:szCs w:val="22"/>
          <w:highlight w:val="yellow"/>
        </w:rPr>
      </w:pPr>
      <w:r w:rsidRPr="002D2240">
        <w:rPr>
          <w:rFonts w:ascii="Calibri" w:hAnsi="Calibri"/>
          <w:b/>
          <w:sz w:val="22"/>
          <w:szCs w:val="22"/>
        </w:rPr>
        <w:t>Střední průmyslová škola a Střední odborná škola gastronomie a služeb, Most, příspěvková organizace</w:t>
      </w:r>
    </w:p>
    <w:p w14:paraId="00BDD4AF" w14:textId="23FC7C06" w:rsidR="009E3E0E" w:rsidRPr="0000727D" w:rsidRDefault="009E3E0E" w:rsidP="009E3E0E">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2D2240" w:rsidRPr="002D2240">
        <w:rPr>
          <w:rFonts w:ascii="Calibri" w:hAnsi="Calibri"/>
          <w:sz w:val="22"/>
          <w:szCs w:val="22"/>
        </w:rPr>
        <w:t>434 01</w:t>
      </w:r>
      <w:r w:rsidR="002D2240">
        <w:rPr>
          <w:rFonts w:ascii="Calibri" w:hAnsi="Calibri"/>
          <w:sz w:val="22"/>
          <w:szCs w:val="22"/>
        </w:rPr>
        <w:t xml:space="preserve"> </w:t>
      </w:r>
      <w:r w:rsidR="002D2240" w:rsidRPr="002D2240">
        <w:rPr>
          <w:rFonts w:ascii="Calibri" w:hAnsi="Calibri"/>
          <w:sz w:val="22"/>
          <w:szCs w:val="22"/>
        </w:rPr>
        <w:t>Most</w:t>
      </w:r>
      <w:r w:rsidR="002D2240">
        <w:rPr>
          <w:rFonts w:ascii="Calibri" w:hAnsi="Calibri"/>
          <w:sz w:val="22"/>
          <w:szCs w:val="22"/>
        </w:rPr>
        <w:t xml:space="preserve">, </w:t>
      </w:r>
      <w:r w:rsidR="002D2240" w:rsidRPr="002D2240">
        <w:rPr>
          <w:rFonts w:ascii="Calibri" w:hAnsi="Calibri"/>
          <w:sz w:val="22"/>
          <w:szCs w:val="22"/>
        </w:rPr>
        <w:t>Jana Palacha 711/2</w:t>
      </w:r>
    </w:p>
    <w:p w14:paraId="0D94EDC2" w14:textId="0A1FC948" w:rsidR="009E3E0E" w:rsidRPr="0000727D" w:rsidRDefault="009E3E0E" w:rsidP="009E3E0E">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2D2240" w:rsidRPr="002D2240">
        <w:rPr>
          <w:rFonts w:ascii="Calibri" w:hAnsi="Calibri"/>
          <w:sz w:val="22"/>
          <w:szCs w:val="22"/>
        </w:rPr>
        <w:t>Ing. Ivana Hermannová</w:t>
      </w:r>
      <w:r w:rsidR="002D2240">
        <w:rPr>
          <w:rFonts w:ascii="Calibri" w:hAnsi="Calibri"/>
          <w:sz w:val="22"/>
          <w:szCs w:val="22"/>
        </w:rPr>
        <w:t>, ředitelka školy</w:t>
      </w:r>
    </w:p>
    <w:p w14:paraId="2571D717" w14:textId="38580CBF" w:rsidR="009E3E0E" w:rsidRPr="0000727D" w:rsidRDefault="009E3E0E" w:rsidP="009E3E0E">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2D2240" w:rsidRPr="002D2240">
        <w:rPr>
          <w:rFonts w:ascii="Calibri" w:hAnsi="Calibri"/>
          <w:sz w:val="22"/>
          <w:szCs w:val="22"/>
        </w:rPr>
        <w:t>00524905</w:t>
      </w:r>
    </w:p>
    <w:p w14:paraId="1B554165" w14:textId="7B6D18CA" w:rsidR="009E3E0E" w:rsidRPr="0000727D" w:rsidRDefault="009E3E0E" w:rsidP="009E3E0E">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2D2240">
        <w:rPr>
          <w:rFonts w:ascii="Calibri" w:hAnsi="Calibri"/>
          <w:sz w:val="22"/>
          <w:szCs w:val="22"/>
        </w:rPr>
        <w:t>CZ</w:t>
      </w:r>
      <w:r w:rsidR="002D2240" w:rsidRPr="002D2240">
        <w:rPr>
          <w:rFonts w:ascii="Calibri" w:hAnsi="Calibri"/>
          <w:sz w:val="22"/>
          <w:szCs w:val="22"/>
        </w:rPr>
        <w:t>00524905</w:t>
      </w:r>
    </w:p>
    <w:p w14:paraId="30BA8C15" w14:textId="219EC977" w:rsidR="009E3E0E" w:rsidRPr="0000727D" w:rsidRDefault="009E3E0E" w:rsidP="009E3E0E">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2D2240" w:rsidRPr="002D2240">
        <w:rPr>
          <w:rFonts w:ascii="Calibri" w:hAnsi="Calibri"/>
          <w:sz w:val="22"/>
          <w:szCs w:val="22"/>
        </w:rPr>
        <w:t>27833491/0100</w:t>
      </w:r>
      <w:r w:rsidR="002D2240">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0FC12CE"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w:t>
      </w:r>
      <w:r w:rsidR="009E3E0E" w:rsidRPr="00C216EE">
        <w:rPr>
          <w:rFonts w:ascii="Calibri" w:hAnsi="Calibri" w:cs="Calibri"/>
          <w:sz w:val="22"/>
          <w:szCs w:val="22"/>
        </w:rPr>
        <w:t xml:space="preserve">č. </w:t>
      </w:r>
      <w:r w:rsidR="00690443" w:rsidRPr="00690443">
        <w:rPr>
          <w:rFonts w:ascii="Calibri" w:hAnsi="Calibri" w:cs="Calibri"/>
          <w:sz w:val="22"/>
          <w:szCs w:val="22"/>
        </w:rPr>
        <w:t>F-10-00812</w:t>
      </w:r>
      <w:r w:rsidR="009E3E0E" w:rsidRPr="00C216EE">
        <w:rPr>
          <w:rFonts w:ascii="Calibri" w:hAnsi="Calibri" w:cs="Calibri"/>
          <w:sz w:val="22"/>
          <w:szCs w:val="22"/>
        </w:rPr>
        <w:t xml:space="preserve"> ze dne </w:t>
      </w:r>
      <w:r w:rsidR="00690443" w:rsidRPr="00690443">
        <w:rPr>
          <w:rFonts w:ascii="Calibri" w:hAnsi="Calibri" w:cs="Calibri"/>
          <w:sz w:val="22"/>
          <w:szCs w:val="22"/>
        </w:rPr>
        <w:t>16.11.2010</w:t>
      </w:r>
      <w:r w:rsidR="009E3E0E">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E56277">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2281E5EA" w:rsidR="005113BF" w:rsidRDefault="005113BF" w:rsidP="007742E9">
      <w:pPr>
        <w:pStyle w:val="Styl1"/>
        <w:spacing w:before="240" w:after="120"/>
        <w:rPr>
          <w:rFonts w:ascii="Calibri" w:hAnsi="Calibri" w:cs="Calibri"/>
          <w:sz w:val="22"/>
          <w:szCs w:val="22"/>
        </w:rPr>
      </w:pPr>
      <w:r>
        <w:rPr>
          <w:rFonts w:ascii="Calibri" w:hAnsi="Calibri" w:cs="Calibri"/>
          <w:sz w:val="22"/>
          <w:szCs w:val="22"/>
        </w:rPr>
        <w:t xml:space="preserve">Dnem </w:t>
      </w:r>
      <w:r w:rsidR="00EF4D4B">
        <w:rPr>
          <w:rFonts w:ascii="Calibri" w:hAnsi="Calibri" w:cs="Calibri"/>
          <w:sz w:val="22"/>
          <w:szCs w:val="22"/>
        </w:rPr>
        <w:t>0</w:t>
      </w:r>
      <w:r>
        <w:rPr>
          <w:rFonts w:ascii="Calibri" w:hAnsi="Calibri" w:cs="Calibri"/>
          <w:sz w:val="22"/>
          <w:szCs w:val="22"/>
        </w:rPr>
        <w:t>1.</w:t>
      </w:r>
      <w:r w:rsidR="00EF4D4B">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3C74F83E" w:rsidR="000D43FC" w:rsidRPr="00C216EE" w:rsidRDefault="007742E9"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144B8356"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EF4D4B">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1524DC34"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4220735C" w14:textId="77777777" w:rsidR="007742E9" w:rsidRDefault="007742E9" w:rsidP="007742E9">
      <w:pPr>
        <w:pStyle w:val="Styl2"/>
        <w:tabs>
          <w:tab w:val="clear" w:pos="360"/>
        </w:tabs>
        <w:spacing w:before="0"/>
        <w:rPr>
          <w:rFonts w:ascii="Calibri" w:hAnsi="Calibri" w:cs="Calibri"/>
          <w:sz w:val="22"/>
          <w:szCs w:val="22"/>
        </w:rPr>
      </w:pPr>
    </w:p>
    <w:p w14:paraId="670CA074" w14:textId="6E6433D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3D312F40"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779FF1F"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 xml:space="preserve">Proběhne 1 x ročně, v prvním měsíci servisního roku, s výjimkou u případných dokupů dle následujícího bodu </w:t>
      </w:r>
      <w:r w:rsidR="00E11087">
        <w:rPr>
          <w:rFonts w:ascii="Calibri" w:hAnsi="Calibri" w:cs="Calibri"/>
          <w:sz w:val="22"/>
          <w:szCs w:val="22"/>
        </w:rPr>
        <w:t>b</w:t>
      </w:r>
      <w:r w:rsidRPr="007742E9">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V případě rozšíření HELIOS Fenix o další moduly a funkce</w:t>
      </w:r>
      <w:r w:rsidR="006C0BF4" w:rsidRPr="007742E9">
        <w:rPr>
          <w:rFonts w:ascii="Calibri" w:hAnsi="Calibri" w:cs="Calibri"/>
          <w:sz w:val="22"/>
          <w:szCs w:val="22"/>
        </w:rPr>
        <w:t xml:space="preserve"> (</w:t>
      </w:r>
      <w:r w:rsidRPr="007742E9">
        <w:rPr>
          <w:rFonts w:ascii="Calibri" w:hAnsi="Calibri" w:cs="Calibri"/>
          <w:sz w:val="22"/>
          <w:szCs w:val="22"/>
        </w:rPr>
        <w:t>tzv. dokup</w:t>
      </w:r>
      <w:r w:rsidR="006C0BF4" w:rsidRPr="007742E9">
        <w:rPr>
          <w:rFonts w:ascii="Calibri" w:hAnsi="Calibri" w:cs="Calibri"/>
          <w:sz w:val="22"/>
          <w:szCs w:val="22"/>
        </w:rPr>
        <w:t>)</w:t>
      </w:r>
      <w:r w:rsidRPr="007742E9">
        <w:rPr>
          <w:rFonts w:ascii="Calibri" w:hAnsi="Calibri" w:cs="Calibri"/>
          <w:sz w:val="22"/>
          <w:szCs w:val="22"/>
        </w:rPr>
        <w:t xml:space="preserve"> se adekvátně</w:t>
      </w:r>
      <w:r>
        <w:rPr>
          <w:rFonts w:ascii="Calibri" w:hAnsi="Calibri" w:cs="Calibri"/>
          <w:sz w:val="22"/>
          <w:szCs w:val="22"/>
        </w:rPr>
        <w:t xml:space="preserve">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7742E9">
      <w:pPr>
        <w:pStyle w:val="Nzev"/>
        <w:numPr>
          <w:ilvl w:val="0"/>
          <w:numId w:val="3"/>
        </w:numPr>
        <w:tabs>
          <w:tab w:val="clear" w:pos="360"/>
          <w:tab w:val="left" w:pos="1276"/>
        </w:tabs>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5235659C" w14:textId="3F7105CD" w:rsidR="009E3E0E" w:rsidRPr="0002637F" w:rsidRDefault="009E3E0E" w:rsidP="009E3E0E">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r w:rsidRPr="00AE64BB">
        <w:rPr>
          <w:rFonts w:ascii="Calibri" w:hAnsi="Calibri"/>
          <w:b w:val="0"/>
          <w:bCs/>
          <w:sz w:val="22"/>
          <w:szCs w:val="22"/>
        </w:rPr>
        <w:t xml:space="preserve">Objednatel souhlasí se zasíláním daňových dokladů elektronickou formou na e-mail: </w:t>
      </w:r>
      <w:hyperlink r:id="rId12" w:history="1">
        <w:r w:rsidR="00690443" w:rsidRPr="002C7886">
          <w:rPr>
            <w:rStyle w:val="Hypertextovodkaz"/>
            <w:rFonts w:ascii="Calibri" w:hAnsi="Calibri"/>
            <w:b w:val="0"/>
            <w:bCs/>
            <w:sz w:val="22"/>
            <w:szCs w:val="22"/>
          </w:rPr>
          <w:t>olga.cubanova@spsasosgsmost.cz</w:t>
        </w:r>
      </w:hyperlink>
      <w:r w:rsidR="00690443">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7742E9">
      <w:pPr>
        <w:pStyle w:val="Styl1"/>
        <w:numPr>
          <w:ilvl w:val="0"/>
          <w:numId w:val="0"/>
        </w:numPr>
        <w:ind w:left="360" w:hanging="360"/>
        <w:rPr>
          <w:rFonts w:ascii="Calibri" w:hAnsi="Calibri" w:cs="Calibri"/>
          <w:sz w:val="22"/>
          <w:szCs w:val="22"/>
        </w:rPr>
      </w:pPr>
    </w:p>
    <w:p w14:paraId="512DCA7E" w14:textId="316F6B86" w:rsidR="00E21C06" w:rsidRDefault="00E21C0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0A5F01DB"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9D6EB06" w14:textId="77777777" w:rsidR="007742E9" w:rsidRDefault="007742E9" w:rsidP="007742E9">
      <w:pPr>
        <w:pStyle w:val="Styl1"/>
        <w:numPr>
          <w:ilvl w:val="0"/>
          <w:numId w:val="0"/>
        </w:numPr>
        <w:ind w:left="360" w:hanging="360"/>
        <w:rPr>
          <w:rFonts w:ascii="Calibri" w:hAnsi="Calibri" w:cs="Calibri"/>
          <w:sz w:val="22"/>
          <w:szCs w:val="22"/>
        </w:rPr>
      </w:pPr>
    </w:p>
    <w:p w14:paraId="6AEAB412" w14:textId="0E5267A6" w:rsidR="00A76D22" w:rsidRDefault="00A76D22" w:rsidP="007742E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E3E0E" w:rsidRPr="00E44A1B" w14:paraId="6E14ECD8" w14:textId="77777777" w:rsidTr="00081A5D">
        <w:trPr>
          <w:trHeight w:val="379"/>
        </w:trPr>
        <w:tc>
          <w:tcPr>
            <w:tcW w:w="3024" w:type="dxa"/>
            <w:shd w:val="clear" w:color="auto" w:fill="00B0F0"/>
            <w:vAlign w:val="center"/>
          </w:tcPr>
          <w:p w14:paraId="1773B0AF" w14:textId="77777777" w:rsidR="009E3E0E" w:rsidRPr="00F567B8" w:rsidRDefault="009E3E0E" w:rsidP="009E3E0E">
            <w:pPr>
              <w:numPr>
                <w:ilvl w:val="0"/>
                <w:numId w:val="19"/>
              </w:num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4C4DF8A0" w14:textId="77777777" w:rsidR="009E3E0E" w:rsidRPr="00F567B8" w:rsidRDefault="009E3E0E" w:rsidP="00081A5D">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6647DDCD" w14:textId="77777777" w:rsidR="009E3E0E" w:rsidRPr="00F567B8" w:rsidRDefault="009E3E0E" w:rsidP="00081A5D">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9E3E0E" w:rsidRPr="00E44A1B" w14:paraId="049D675C" w14:textId="77777777" w:rsidTr="00081A5D">
        <w:trPr>
          <w:trHeight w:hRule="exact" w:val="397"/>
        </w:trPr>
        <w:tc>
          <w:tcPr>
            <w:tcW w:w="3024" w:type="dxa"/>
            <w:vAlign w:val="center"/>
          </w:tcPr>
          <w:p w14:paraId="33CEFF79" w14:textId="77777777" w:rsidR="009E3E0E" w:rsidRPr="006E3782" w:rsidRDefault="009E3E0E" w:rsidP="00081A5D">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272B991A" w14:textId="77777777" w:rsidR="009E3E0E" w:rsidRPr="006E3782" w:rsidRDefault="009E3E0E" w:rsidP="00081A5D">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4E9D539C" w14:textId="77777777" w:rsidR="009E3E0E" w:rsidRPr="00F567B8" w:rsidRDefault="009E3E0E" w:rsidP="00081A5D">
            <w:pPr>
              <w:pStyle w:val="Odstavecseseznamem"/>
              <w:ind w:left="27"/>
              <w:rPr>
                <w:rFonts w:ascii="Calibri" w:hAnsi="Calibri" w:cs="Calibri"/>
                <w:sz w:val="22"/>
                <w:szCs w:val="22"/>
              </w:rPr>
            </w:pPr>
            <w:r w:rsidRPr="006E3782">
              <w:rPr>
                <w:rFonts w:ascii="Calibri" w:hAnsi="Calibri" w:cs="Calibri"/>
                <w:sz w:val="22"/>
                <w:szCs w:val="22"/>
              </w:rPr>
              <w:t>---</w:t>
            </w:r>
          </w:p>
        </w:tc>
      </w:tr>
    </w:tbl>
    <w:p w14:paraId="4FDDD1FC" w14:textId="77777777" w:rsidR="009E3E0E" w:rsidRDefault="009E3E0E" w:rsidP="009E3E0E">
      <w:pPr>
        <w:spacing w:after="240"/>
        <w:ind w:left="426"/>
        <w:jc w:val="both"/>
        <w:rPr>
          <w:rFonts w:ascii="Calibri" w:hAnsi="Calibri" w:cs="Calibri"/>
          <w:i/>
          <w:szCs w:val="22"/>
        </w:rPr>
      </w:pPr>
      <w:r w:rsidRPr="006E3782">
        <w:rPr>
          <w:rFonts w:ascii="Calibri" w:hAnsi="Calibri" w:cs="Calibri"/>
          <w:i/>
          <w:szCs w:val="22"/>
        </w:rPr>
        <w:t>(Pokud je tabulka ponechána prázdná, nejsou ke dni podpisu smlouvy známi žádní Subdodavatelé – dílčí 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D72E52">
      <w:pPr>
        <w:pStyle w:val="Styl1"/>
        <w:numPr>
          <w:ilvl w:val="0"/>
          <w:numId w:val="0"/>
        </w:numPr>
        <w:spacing w:before="240"/>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10EEAB86" w14:textId="605F6A46" w:rsidR="009E3E0E" w:rsidRDefault="009E3E0E" w:rsidP="009E3E0E">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p>
    <w:p w14:paraId="2F36DDCA" w14:textId="77777777" w:rsidR="009E3E0E" w:rsidRPr="00690443" w:rsidRDefault="009E3E0E" w:rsidP="009E3E0E">
      <w:pPr>
        <w:pStyle w:val="Seznam"/>
        <w:numPr>
          <w:ilvl w:val="0"/>
          <w:numId w:val="1"/>
        </w:numPr>
        <w:spacing w:before="120"/>
        <w:ind w:left="357" w:hanging="357"/>
        <w:jc w:val="both"/>
        <w:rPr>
          <w:rFonts w:ascii="Calibri" w:hAnsi="Calibri" w:cs="Calibri"/>
          <w:sz w:val="22"/>
          <w:szCs w:val="22"/>
        </w:rPr>
      </w:pPr>
      <w:r w:rsidRPr="00690443">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923" w:type="dxa"/>
        <w:tblLayout w:type="fixed"/>
        <w:tblCellMar>
          <w:left w:w="0" w:type="dxa"/>
          <w:right w:w="0" w:type="dxa"/>
        </w:tblCellMar>
        <w:tblLook w:val="01E0" w:firstRow="1" w:lastRow="1" w:firstColumn="1" w:lastColumn="1" w:noHBand="0" w:noVBand="0"/>
      </w:tblPr>
      <w:tblGrid>
        <w:gridCol w:w="4820"/>
        <w:gridCol w:w="5103"/>
      </w:tblGrid>
      <w:tr w:rsidR="009E3E0E" w14:paraId="7284D5B3" w14:textId="77777777" w:rsidTr="00690443">
        <w:tc>
          <w:tcPr>
            <w:tcW w:w="4820" w:type="dxa"/>
          </w:tcPr>
          <w:p w14:paraId="5BF2773D" w14:textId="77777777" w:rsidR="009E3E0E" w:rsidRDefault="009E3E0E" w:rsidP="009E3E0E">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FD55133" w14:textId="77777777" w:rsidR="009E3E0E" w:rsidRDefault="009E3E0E" w:rsidP="009E3E0E">
            <w:pPr>
              <w:widowControl w:val="0"/>
              <w:tabs>
                <w:tab w:val="center" w:pos="2127"/>
                <w:tab w:val="center" w:pos="6379"/>
              </w:tabs>
              <w:rPr>
                <w:rFonts w:ascii="Calibri" w:hAnsi="Calibri"/>
                <w:sz w:val="22"/>
                <w:szCs w:val="22"/>
              </w:rPr>
            </w:pPr>
          </w:p>
          <w:p w14:paraId="3598FCE7" w14:textId="77777777" w:rsidR="009E3E0E" w:rsidRDefault="009E3E0E" w:rsidP="009E3E0E">
            <w:pPr>
              <w:widowControl w:val="0"/>
              <w:tabs>
                <w:tab w:val="center" w:pos="2127"/>
                <w:tab w:val="center" w:pos="6379"/>
              </w:tabs>
              <w:rPr>
                <w:rFonts w:ascii="Calibri" w:hAnsi="Calibri"/>
                <w:sz w:val="22"/>
                <w:szCs w:val="22"/>
              </w:rPr>
            </w:pPr>
          </w:p>
          <w:p w14:paraId="492AE8A2" w14:textId="77777777" w:rsidR="009E3E0E" w:rsidRDefault="009E3E0E" w:rsidP="009E3E0E">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0E2B69F8" w14:textId="77777777" w:rsidR="009E3E0E" w:rsidRDefault="009E3E0E" w:rsidP="009E3E0E">
            <w:pPr>
              <w:widowControl w:val="0"/>
              <w:tabs>
                <w:tab w:val="center" w:pos="2127"/>
                <w:tab w:val="center" w:pos="6379"/>
              </w:tabs>
              <w:rPr>
                <w:rFonts w:ascii="Calibri" w:hAnsi="Calibri"/>
                <w:sz w:val="22"/>
                <w:szCs w:val="22"/>
              </w:rPr>
            </w:pPr>
          </w:p>
          <w:p w14:paraId="328CFDC6" w14:textId="77777777" w:rsidR="009E3E0E" w:rsidRDefault="009E3E0E" w:rsidP="009E3E0E">
            <w:pPr>
              <w:widowControl w:val="0"/>
              <w:tabs>
                <w:tab w:val="center" w:pos="2127"/>
                <w:tab w:val="center" w:pos="6379"/>
              </w:tabs>
              <w:rPr>
                <w:rFonts w:ascii="Calibri" w:hAnsi="Calibri"/>
                <w:sz w:val="22"/>
                <w:szCs w:val="22"/>
              </w:rPr>
            </w:pPr>
          </w:p>
          <w:p w14:paraId="5407466D" w14:textId="77777777" w:rsidR="00690443" w:rsidRDefault="00690443" w:rsidP="009E3E0E">
            <w:pPr>
              <w:widowControl w:val="0"/>
              <w:tabs>
                <w:tab w:val="center" w:pos="2127"/>
                <w:tab w:val="center" w:pos="6379"/>
              </w:tabs>
              <w:rPr>
                <w:rFonts w:ascii="Calibri" w:hAnsi="Calibri"/>
                <w:sz w:val="22"/>
                <w:szCs w:val="22"/>
              </w:rPr>
            </w:pPr>
          </w:p>
          <w:p w14:paraId="65F074FC" w14:textId="77777777" w:rsidR="009E3E0E" w:rsidRDefault="009E3E0E" w:rsidP="009E3E0E">
            <w:pPr>
              <w:widowControl w:val="0"/>
              <w:tabs>
                <w:tab w:val="center" w:pos="2127"/>
                <w:tab w:val="center" w:pos="6379"/>
              </w:tabs>
              <w:rPr>
                <w:rFonts w:ascii="Calibri" w:hAnsi="Calibri"/>
                <w:sz w:val="22"/>
                <w:szCs w:val="22"/>
              </w:rPr>
            </w:pPr>
          </w:p>
          <w:p w14:paraId="54C4E281" w14:textId="77777777" w:rsidR="009E3E0E" w:rsidRDefault="009E3E0E" w:rsidP="009E3E0E">
            <w:pPr>
              <w:widowControl w:val="0"/>
              <w:tabs>
                <w:tab w:val="center" w:pos="2552"/>
                <w:tab w:val="center" w:pos="6804"/>
              </w:tabs>
              <w:rPr>
                <w:rFonts w:ascii="Calibri" w:hAnsi="Calibri"/>
                <w:sz w:val="22"/>
                <w:szCs w:val="22"/>
              </w:rPr>
            </w:pPr>
            <w:r>
              <w:rPr>
                <w:rFonts w:ascii="Calibri" w:hAnsi="Calibri"/>
                <w:sz w:val="22"/>
                <w:szCs w:val="22"/>
              </w:rPr>
              <w:t>…………………………………………………</w:t>
            </w:r>
          </w:p>
          <w:p w14:paraId="20324B7A" w14:textId="77777777" w:rsidR="009E3E0E" w:rsidRDefault="009E3E0E" w:rsidP="009E3E0E">
            <w:pPr>
              <w:widowControl w:val="0"/>
              <w:tabs>
                <w:tab w:val="center" w:pos="2552"/>
                <w:tab w:val="center" w:pos="6804"/>
              </w:tabs>
              <w:rPr>
                <w:rFonts w:ascii="Calibri" w:hAnsi="Calibri"/>
                <w:sz w:val="22"/>
                <w:szCs w:val="22"/>
              </w:rPr>
            </w:pPr>
            <w:r>
              <w:rPr>
                <w:rFonts w:ascii="Calibri" w:hAnsi="Calibri"/>
                <w:sz w:val="22"/>
                <w:szCs w:val="22"/>
              </w:rPr>
              <w:t>Ing. Jiří Hub</w:t>
            </w:r>
          </w:p>
          <w:p w14:paraId="44864E47" w14:textId="77777777" w:rsidR="009E3E0E" w:rsidRDefault="009E3E0E" w:rsidP="009E3E0E">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6F75D427" w14:textId="77777777" w:rsidR="009E3E0E" w:rsidRDefault="009E3E0E" w:rsidP="009E3E0E">
            <w:pPr>
              <w:widowControl w:val="0"/>
              <w:tabs>
                <w:tab w:val="center" w:pos="2127"/>
                <w:tab w:val="center" w:pos="6379"/>
              </w:tabs>
              <w:rPr>
                <w:rFonts w:ascii="Calibri" w:hAnsi="Calibri"/>
                <w:sz w:val="22"/>
                <w:szCs w:val="22"/>
              </w:rPr>
            </w:pPr>
          </w:p>
          <w:p w14:paraId="6A613660" w14:textId="77777777" w:rsidR="009E3E0E" w:rsidRDefault="009E3E0E" w:rsidP="009E3E0E">
            <w:pPr>
              <w:widowControl w:val="0"/>
              <w:tabs>
                <w:tab w:val="center" w:pos="2127"/>
                <w:tab w:val="center" w:pos="6379"/>
              </w:tabs>
              <w:rPr>
                <w:rFonts w:ascii="Calibri" w:hAnsi="Calibri"/>
                <w:sz w:val="22"/>
                <w:szCs w:val="22"/>
              </w:rPr>
            </w:pPr>
          </w:p>
          <w:p w14:paraId="2E6FFF0E" w14:textId="77777777" w:rsidR="009E3E0E" w:rsidRDefault="009E3E0E" w:rsidP="009E3E0E">
            <w:pPr>
              <w:widowControl w:val="0"/>
              <w:tabs>
                <w:tab w:val="center" w:pos="2127"/>
                <w:tab w:val="center" w:pos="6379"/>
              </w:tabs>
              <w:rPr>
                <w:rFonts w:ascii="Calibri" w:hAnsi="Calibri"/>
                <w:sz w:val="22"/>
                <w:szCs w:val="22"/>
              </w:rPr>
            </w:pPr>
          </w:p>
          <w:p w14:paraId="1998916F" w14:textId="77777777" w:rsidR="009E3E0E" w:rsidRDefault="009E3E0E" w:rsidP="009E3E0E">
            <w:pPr>
              <w:widowControl w:val="0"/>
              <w:tabs>
                <w:tab w:val="center" w:pos="2127"/>
                <w:tab w:val="center" w:pos="6379"/>
              </w:tabs>
              <w:rPr>
                <w:rFonts w:ascii="Calibri" w:hAnsi="Calibri"/>
                <w:sz w:val="22"/>
                <w:szCs w:val="22"/>
              </w:rPr>
            </w:pPr>
          </w:p>
          <w:p w14:paraId="21DD966F" w14:textId="0D0FFE88" w:rsidR="009E3E0E" w:rsidRDefault="009E3E0E" w:rsidP="009E3E0E">
            <w:pPr>
              <w:widowControl w:val="0"/>
              <w:tabs>
                <w:tab w:val="center" w:pos="2127"/>
                <w:tab w:val="center" w:pos="6379"/>
              </w:tabs>
              <w:rPr>
                <w:rFonts w:ascii="Calibri" w:hAnsi="Calibri" w:cs="Calibri"/>
                <w:sz w:val="22"/>
                <w:szCs w:val="22"/>
              </w:rPr>
            </w:pPr>
            <w:r>
              <w:rPr>
                <w:rFonts w:ascii="Calibri" w:hAnsi="Calibri"/>
                <w:sz w:val="22"/>
                <w:szCs w:val="22"/>
              </w:rPr>
              <w:t>Smlouvu zpracoval/a: Vendula Odvodyová</w:t>
            </w:r>
          </w:p>
        </w:tc>
        <w:tc>
          <w:tcPr>
            <w:tcW w:w="5103" w:type="dxa"/>
          </w:tcPr>
          <w:p w14:paraId="73BD850F" w14:textId="0DD24666" w:rsidR="009E3E0E" w:rsidRDefault="009E3E0E" w:rsidP="009E3E0E">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690443">
              <w:rPr>
                <w:rFonts w:ascii="Calibri" w:hAnsi="Calibri" w:cs="Arial"/>
                <w:sz w:val="22"/>
                <w:szCs w:val="22"/>
              </w:rPr>
              <w:t>Mostě</w:t>
            </w:r>
            <w:r>
              <w:rPr>
                <w:rFonts w:ascii="Calibri" w:hAnsi="Calibri" w:cs="Arial"/>
                <w:sz w:val="22"/>
                <w:szCs w:val="22"/>
              </w:rPr>
              <w:t xml:space="preserve"> dne ……………………</w:t>
            </w:r>
          </w:p>
          <w:p w14:paraId="48A6960C" w14:textId="77777777" w:rsidR="009E3E0E" w:rsidRDefault="009E3E0E" w:rsidP="009E3E0E">
            <w:pPr>
              <w:widowControl w:val="0"/>
              <w:tabs>
                <w:tab w:val="center" w:pos="2127"/>
                <w:tab w:val="center" w:pos="6379"/>
              </w:tabs>
              <w:rPr>
                <w:rFonts w:ascii="Calibri" w:hAnsi="Calibri"/>
                <w:sz w:val="22"/>
                <w:szCs w:val="22"/>
              </w:rPr>
            </w:pPr>
          </w:p>
          <w:p w14:paraId="39D71F1B" w14:textId="77777777" w:rsidR="009E3E0E" w:rsidRDefault="009E3E0E" w:rsidP="009E3E0E">
            <w:pPr>
              <w:widowControl w:val="0"/>
              <w:tabs>
                <w:tab w:val="center" w:pos="2127"/>
                <w:tab w:val="center" w:pos="6379"/>
              </w:tabs>
              <w:rPr>
                <w:rFonts w:ascii="Calibri" w:hAnsi="Calibri"/>
                <w:sz w:val="22"/>
                <w:szCs w:val="22"/>
              </w:rPr>
            </w:pPr>
          </w:p>
          <w:p w14:paraId="0CD112FF" w14:textId="13D08089" w:rsidR="009E3E0E" w:rsidRDefault="009E3E0E" w:rsidP="009E3E0E">
            <w:pPr>
              <w:widowControl w:val="0"/>
              <w:tabs>
                <w:tab w:val="center" w:pos="2127"/>
                <w:tab w:val="center" w:pos="6379"/>
              </w:tabs>
              <w:rPr>
                <w:rFonts w:ascii="Calibri" w:hAnsi="Calibri"/>
                <w:sz w:val="22"/>
                <w:szCs w:val="22"/>
              </w:rPr>
            </w:pPr>
            <w:r>
              <w:rPr>
                <w:rFonts w:ascii="Calibri" w:hAnsi="Calibri"/>
                <w:sz w:val="22"/>
                <w:szCs w:val="22"/>
              </w:rPr>
              <w:t xml:space="preserve">Za </w:t>
            </w:r>
            <w:r w:rsidR="00690443" w:rsidRPr="00690443">
              <w:rPr>
                <w:rFonts w:ascii="Calibri" w:hAnsi="Calibri"/>
                <w:sz w:val="22"/>
                <w:szCs w:val="22"/>
              </w:rPr>
              <w:t>Střední průmyslov</w:t>
            </w:r>
            <w:r w:rsidR="00690443">
              <w:rPr>
                <w:rFonts w:ascii="Calibri" w:hAnsi="Calibri"/>
                <w:sz w:val="22"/>
                <w:szCs w:val="22"/>
              </w:rPr>
              <w:t>ou</w:t>
            </w:r>
            <w:r w:rsidR="00690443" w:rsidRPr="00690443">
              <w:rPr>
                <w:rFonts w:ascii="Calibri" w:hAnsi="Calibri"/>
                <w:sz w:val="22"/>
                <w:szCs w:val="22"/>
              </w:rPr>
              <w:t xml:space="preserve"> škol</w:t>
            </w:r>
            <w:r w:rsidR="00690443">
              <w:rPr>
                <w:rFonts w:ascii="Calibri" w:hAnsi="Calibri"/>
                <w:sz w:val="22"/>
                <w:szCs w:val="22"/>
              </w:rPr>
              <w:t>u</w:t>
            </w:r>
            <w:r w:rsidR="00690443" w:rsidRPr="00690443">
              <w:rPr>
                <w:rFonts w:ascii="Calibri" w:hAnsi="Calibri"/>
                <w:sz w:val="22"/>
                <w:szCs w:val="22"/>
              </w:rPr>
              <w:t xml:space="preserve"> a Střední odborn</w:t>
            </w:r>
            <w:r w:rsidR="00690443">
              <w:rPr>
                <w:rFonts w:ascii="Calibri" w:hAnsi="Calibri"/>
                <w:sz w:val="22"/>
                <w:szCs w:val="22"/>
              </w:rPr>
              <w:t>ou</w:t>
            </w:r>
            <w:r w:rsidR="00690443" w:rsidRPr="00690443">
              <w:rPr>
                <w:rFonts w:ascii="Calibri" w:hAnsi="Calibri"/>
                <w:sz w:val="22"/>
                <w:szCs w:val="22"/>
              </w:rPr>
              <w:t xml:space="preserve"> škol</w:t>
            </w:r>
            <w:r w:rsidR="00690443">
              <w:rPr>
                <w:rFonts w:ascii="Calibri" w:hAnsi="Calibri"/>
                <w:sz w:val="22"/>
                <w:szCs w:val="22"/>
              </w:rPr>
              <w:t>u</w:t>
            </w:r>
            <w:r w:rsidR="00690443" w:rsidRPr="00690443">
              <w:rPr>
                <w:rFonts w:ascii="Calibri" w:hAnsi="Calibri"/>
                <w:sz w:val="22"/>
                <w:szCs w:val="22"/>
              </w:rPr>
              <w:t xml:space="preserve"> gastronomie a služeb, Most, příspěvkov</w:t>
            </w:r>
            <w:r w:rsidR="00690443">
              <w:rPr>
                <w:rFonts w:ascii="Calibri" w:hAnsi="Calibri"/>
                <w:sz w:val="22"/>
                <w:szCs w:val="22"/>
              </w:rPr>
              <w:t>ou</w:t>
            </w:r>
            <w:r w:rsidR="00690443" w:rsidRPr="00690443">
              <w:rPr>
                <w:rFonts w:ascii="Calibri" w:hAnsi="Calibri"/>
                <w:sz w:val="22"/>
                <w:szCs w:val="22"/>
              </w:rPr>
              <w:t xml:space="preserve"> organizac</w:t>
            </w:r>
            <w:r w:rsidR="00690443">
              <w:rPr>
                <w:rFonts w:ascii="Calibri" w:hAnsi="Calibri"/>
                <w:sz w:val="22"/>
                <w:szCs w:val="22"/>
              </w:rPr>
              <w:t>i</w:t>
            </w:r>
          </w:p>
          <w:p w14:paraId="4BD27F5A" w14:textId="77777777" w:rsidR="009E3E0E" w:rsidRDefault="009E3E0E" w:rsidP="009E3E0E">
            <w:pPr>
              <w:widowControl w:val="0"/>
              <w:tabs>
                <w:tab w:val="center" w:pos="2127"/>
                <w:tab w:val="center" w:pos="6379"/>
              </w:tabs>
              <w:rPr>
                <w:rFonts w:ascii="Calibri" w:hAnsi="Calibri"/>
                <w:sz w:val="22"/>
                <w:szCs w:val="22"/>
              </w:rPr>
            </w:pPr>
          </w:p>
          <w:p w14:paraId="656C7ACE" w14:textId="77777777" w:rsidR="009E3E0E" w:rsidRDefault="009E3E0E" w:rsidP="009E3E0E">
            <w:pPr>
              <w:widowControl w:val="0"/>
              <w:tabs>
                <w:tab w:val="center" w:pos="2127"/>
                <w:tab w:val="center" w:pos="6379"/>
              </w:tabs>
              <w:rPr>
                <w:rFonts w:ascii="Calibri" w:hAnsi="Calibri"/>
                <w:sz w:val="22"/>
                <w:szCs w:val="22"/>
              </w:rPr>
            </w:pPr>
          </w:p>
          <w:p w14:paraId="0DB02C3F" w14:textId="77777777" w:rsidR="009E3E0E" w:rsidRDefault="009E3E0E" w:rsidP="009E3E0E">
            <w:pPr>
              <w:widowControl w:val="0"/>
              <w:tabs>
                <w:tab w:val="center" w:pos="2127"/>
                <w:tab w:val="center" w:pos="6379"/>
              </w:tabs>
              <w:rPr>
                <w:rFonts w:ascii="Calibri" w:hAnsi="Calibri"/>
                <w:sz w:val="22"/>
                <w:szCs w:val="22"/>
              </w:rPr>
            </w:pPr>
          </w:p>
          <w:p w14:paraId="3A9E2695" w14:textId="77777777" w:rsidR="009E3E0E" w:rsidRDefault="009E3E0E" w:rsidP="009E3E0E">
            <w:pPr>
              <w:widowControl w:val="0"/>
              <w:tabs>
                <w:tab w:val="center" w:pos="2552"/>
                <w:tab w:val="center" w:pos="6804"/>
              </w:tabs>
              <w:rPr>
                <w:rFonts w:ascii="Calibri" w:hAnsi="Calibri"/>
                <w:sz w:val="22"/>
                <w:szCs w:val="22"/>
              </w:rPr>
            </w:pPr>
            <w:r>
              <w:rPr>
                <w:rFonts w:ascii="Calibri" w:hAnsi="Calibri"/>
                <w:sz w:val="22"/>
                <w:szCs w:val="22"/>
              </w:rPr>
              <w:t>…………………………………………………………</w:t>
            </w:r>
          </w:p>
          <w:p w14:paraId="2C693E94" w14:textId="77777777" w:rsidR="00690443" w:rsidRDefault="00690443" w:rsidP="009E3E0E">
            <w:pPr>
              <w:widowControl w:val="0"/>
              <w:tabs>
                <w:tab w:val="center" w:pos="2552"/>
                <w:tab w:val="center" w:pos="6804"/>
              </w:tabs>
              <w:rPr>
                <w:rFonts w:ascii="Calibri" w:hAnsi="Calibri"/>
                <w:sz w:val="22"/>
                <w:szCs w:val="22"/>
              </w:rPr>
            </w:pPr>
            <w:r w:rsidRPr="002D2240">
              <w:rPr>
                <w:rFonts w:ascii="Calibri" w:hAnsi="Calibri"/>
                <w:sz w:val="22"/>
                <w:szCs w:val="22"/>
              </w:rPr>
              <w:t>Ing. Ivana Hermannová</w:t>
            </w:r>
          </w:p>
          <w:p w14:paraId="02618701" w14:textId="1592663F" w:rsidR="009E3E0E" w:rsidRDefault="00690443" w:rsidP="009E3E0E">
            <w:pPr>
              <w:widowControl w:val="0"/>
              <w:tabs>
                <w:tab w:val="center" w:pos="2552"/>
                <w:tab w:val="center" w:pos="6804"/>
              </w:tabs>
              <w:rPr>
                <w:rFonts w:ascii="Calibri" w:hAnsi="Calibri" w:cs="Calibri"/>
                <w:sz w:val="22"/>
                <w:szCs w:val="22"/>
              </w:rPr>
            </w:pPr>
            <w:r>
              <w:rPr>
                <w:rFonts w:ascii="Calibri" w:hAnsi="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E3E0E" w14:paraId="47B0CC39" w14:textId="77777777" w:rsidTr="00081A5D">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1FFB49F4" w14:textId="77777777" w:rsidR="009E3E0E" w:rsidRDefault="009E3E0E" w:rsidP="00081A5D">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0650E13F" w14:textId="77777777" w:rsidR="009E3E0E" w:rsidRDefault="009E3E0E" w:rsidP="00081A5D">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7DDEBED" w14:textId="77777777" w:rsidR="009E3E0E" w:rsidRDefault="009E3E0E" w:rsidP="00081A5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E3E0E" w14:paraId="6ADC55A6"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64977A7A" w14:textId="77777777" w:rsidR="009E3E0E" w:rsidRDefault="009E3E0E" w:rsidP="00081A5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2427702" w14:textId="77777777" w:rsidR="009E3E0E" w:rsidRPr="007742E9" w:rsidRDefault="009E3E0E" w:rsidP="00081A5D">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E3E0E" w14:paraId="42D47B10"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1CEBDEA" w14:textId="77777777" w:rsidR="009E3E0E" w:rsidRDefault="009E3E0E" w:rsidP="00081A5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1358702F" w14:textId="77777777" w:rsidR="009E3E0E" w:rsidRPr="007742E9" w:rsidRDefault="009E3E0E" w:rsidP="00081A5D">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E3E0E" w14:paraId="62347D8D"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B49C96F" w14:textId="77777777" w:rsidR="009E3E0E" w:rsidRDefault="009E3E0E" w:rsidP="00081A5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68C17F10" w14:textId="77777777" w:rsidR="009E3E0E" w:rsidRPr="007742E9" w:rsidRDefault="009E3E0E" w:rsidP="00081A5D">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E3E0E" w14:paraId="71EF19A7"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2C163EA" w14:textId="77777777" w:rsidR="009E3E0E" w:rsidRPr="00A53259" w:rsidRDefault="009E3E0E" w:rsidP="00081A5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2022CBBF" w14:textId="77777777" w:rsidR="009E3E0E" w:rsidRPr="007742E9" w:rsidRDefault="009E3E0E" w:rsidP="00081A5D">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E3E0E" w14:paraId="7F7C65D4"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B90127" w14:textId="77777777" w:rsidR="009E3E0E" w:rsidRDefault="009E3E0E" w:rsidP="00081A5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086E032C" w14:textId="77777777" w:rsidR="009E3E0E" w:rsidRPr="007742E9" w:rsidRDefault="009E3E0E" w:rsidP="00081A5D">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E3E0E" w14:paraId="443650E6"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25B74B8" w14:textId="17770F13" w:rsidR="009E3E0E" w:rsidRPr="00A53259" w:rsidRDefault="00F130DD" w:rsidP="00081A5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Sklady</w:t>
            </w:r>
          </w:p>
        </w:tc>
        <w:tc>
          <w:tcPr>
            <w:tcW w:w="1526" w:type="dxa"/>
            <w:tcBorders>
              <w:top w:val="single" w:sz="4" w:space="0" w:color="auto"/>
              <w:left w:val="single" w:sz="4" w:space="0" w:color="auto"/>
              <w:bottom w:val="single" w:sz="4" w:space="0" w:color="auto"/>
              <w:right w:val="single" w:sz="6" w:space="0" w:color="auto"/>
            </w:tcBorders>
            <w:vAlign w:val="center"/>
          </w:tcPr>
          <w:p w14:paraId="699996AD" w14:textId="77777777" w:rsidR="009E3E0E" w:rsidRDefault="009E3E0E" w:rsidP="00081A5D">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E3E0E" w14:paraId="078D2418"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2CA7087" w14:textId="34A6D1CF" w:rsidR="009E3E0E" w:rsidRDefault="00F130DD" w:rsidP="00081A5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5B4BD73D" w14:textId="783CD324" w:rsidR="009E3E0E" w:rsidRPr="007742E9" w:rsidRDefault="00F130DD" w:rsidP="00081A5D">
            <w:pPr>
              <w:spacing w:before="60" w:after="60"/>
              <w:ind w:right="163" w:hanging="49"/>
              <w:jc w:val="right"/>
              <w:rPr>
                <w:rFonts w:ascii="Calibri" w:hAnsi="Calibri" w:cs="Calibri"/>
                <w:sz w:val="22"/>
                <w:szCs w:val="22"/>
              </w:rPr>
            </w:pPr>
            <w:r>
              <w:rPr>
                <w:rFonts w:ascii="Calibri" w:hAnsi="Calibri" w:cs="Calibri"/>
                <w:sz w:val="22"/>
                <w:szCs w:val="22"/>
              </w:rPr>
              <w:t>8 000</w:t>
            </w:r>
          </w:p>
        </w:tc>
      </w:tr>
      <w:tr w:rsidR="009E3E0E" w14:paraId="3A95169C"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CAE5388" w14:textId="0B1179F1" w:rsidR="009E3E0E" w:rsidRDefault="00F130DD" w:rsidP="00081A5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56C765B1" w14:textId="076FB068" w:rsidR="009E3E0E" w:rsidRPr="007742E9" w:rsidRDefault="00F130DD" w:rsidP="00081A5D">
            <w:pPr>
              <w:spacing w:before="60" w:after="60"/>
              <w:ind w:right="163" w:hanging="49"/>
              <w:jc w:val="right"/>
              <w:rPr>
                <w:rFonts w:ascii="Calibri" w:hAnsi="Calibri" w:cs="Calibri"/>
                <w:sz w:val="22"/>
                <w:szCs w:val="22"/>
                <w:lang w:val="en-US"/>
              </w:rPr>
            </w:pPr>
            <w:r>
              <w:rPr>
                <w:rFonts w:ascii="Calibri" w:hAnsi="Calibri" w:cs="Calibri"/>
                <w:sz w:val="22"/>
                <w:szCs w:val="22"/>
                <w:lang w:val="en-US"/>
              </w:rPr>
              <w:t>8 000</w:t>
            </w:r>
          </w:p>
        </w:tc>
      </w:tr>
      <w:tr w:rsidR="009E3E0E" w14:paraId="31E9901B"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4913A50" w14:textId="77777777" w:rsidR="009E3E0E" w:rsidRDefault="009E3E0E" w:rsidP="00081A5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5276C828" w14:textId="684DD9A7" w:rsidR="009E3E0E" w:rsidRDefault="00F130DD" w:rsidP="00081A5D">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16 000,00</w:t>
            </w:r>
          </w:p>
        </w:tc>
      </w:tr>
      <w:tr w:rsidR="009E3E0E" w14:paraId="32EDC00A" w14:textId="77777777" w:rsidTr="00081A5D">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84A3306" w14:textId="77777777" w:rsidR="009E3E0E" w:rsidRDefault="009E3E0E" w:rsidP="00081A5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01945782" w14:textId="313BDC68" w:rsidR="009E3E0E" w:rsidRDefault="00F130DD" w:rsidP="00081A5D">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19 360,00</w:t>
            </w:r>
          </w:p>
        </w:tc>
      </w:tr>
    </w:tbl>
    <w:p w14:paraId="65ED00BF" w14:textId="77777777" w:rsidR="009E3E0E" w:rsidRDefault="009E3E0E" w:rsidP="009E3E0E">
      <w:pPr>
        <w:pStyle w:val="Zhlav"/>
        <w:tabs>
          <w:tab w:val="left" w:pos="708"/>
        </w:tabs>
        <w:rPr>
          <w:rFonts w:ascii="Calibri" w:hAnsi="Calibri" w:cs="Calibri"/>
          <w:sz w:val="22"/>
          <w:szCs w:val="22"/>
        </w:rPr>
      </w:pPr>
    </w:p>
    <w:p w14:paraId="697F6321" w14:textId="634C6255" w:rsidR="007372EE" w:rsidRDefault="007372EE" w:rsidP="007372EE">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70ADC01" w14:textId="64818039" w:rsidR="00F61366" w:rsidRDefault="00F61366" w:rsidP="007372EE">
      <w:pPr>
        <w:pStyle w:val="Zhlav"/>
        <w:tabs>
          <w:tab w:val="left" w:pos="708"/>
        </w:tabs>
        <w:rPr>
          <w:rFonts w:ascii="Calibri" w:hAnsi="Calibri" w:cs="Calibri"/>
          <w:sz w:val="22"/>
          <w:szCs w:val="22"/>
        </w:rPr>
      </w:pPr>
    </w:p>
    <w:p w14:paraId="5720E628" w14:textId="242A6DCA" w:rsidR="007742E9" w:rsidRDefault="007742E9" w:rsidP="007372EE">
      <w:pPr>
        <w:pStyle w:val="Zhlav"/>
        <w:tabs>
          <w:tab w:val="left" w:pos="708"/>
        </w:tabs>
        <w:rPr>
          <w:rFonts w:ascii="Calibri" w:hAnsi="Calibri" w:cs="Calibri"/>
          <w:sz w:val="22"/>
          <w:szCs w:val="22"/>
        </w:rPr>
      </w:pPr>
    </w:p>
    <w:p w14:paraId="0AC2AF62" w14:textId="77777777" w:rsidR="007742E9" w:rsidRDefault="007742E9"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rsidRPr="00F130DD"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Pr="00F130DD" w:rsidRDefault="00E0333A">
            <w:pPr>
              <w:spacing w:before="60" w:after="60"/>
              <w:ind w:left="62"/>
              <w:rPr>
                <w:rFonts w:ascii="Calibri" w:hAnsi="Calibri" w:cs="Calibri"/>
                <w:sz w:val="22"/>
                <w:szCs w:val="22"/>
              </w:rPr>
            </w:pPr>
            <w:r w:rsidRPr="00F130DD">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78482FC" w:rsidR="00E0333A" w:rsidRPr="00F130DD" w:rsidRDefault="00D1798B">
            <w:pPr>
              <w:spacing w:before="60" w:after="60"/>
              <w:ind w:left="62"/>
              <w:jc w:val="center"/>
              <w:rPr>
                <w:rFonts w:ascii="Calibri" w:hAnsi="Calibri" w:cs="Calibri"/>
                <w:sz w:val="22"/>
                <w:szCs w:val="22"/>
              </w:rPr>
            </w:pPr>
            <w:r w:rsidRPr="00F130DD">
              <w:rPr>
                <w:rFonts w:ascii="Calibri" w:hAnsi="Calibri" w:cs="Calibri"/>
                <w:sz w:val="22"/>
                <w:szCs w:val="22"/>
              </w:rPr>
              <w:t>listopad / prosinec 2023</w:t>
            </w:r>
          </w:p>
        </w:tc>
      </w:tr>
      <w:tr w:rsidR="00E0333A" w:rsidRPr="00F130DD"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Pr="00F130DD"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130DD">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5AD2372C" w:rsidR="00E0333A" w:rsidRPr="00F130DD" w:rsidRDefault="00D1798B">
            <w:pPr>
              <w:spacing w:before="60" w:after="60"/>
              <w:ind w:left="-2" w:right="173" w:hanging="6"/>
              <w:jc w:val="right"/>
              <w:rPr>
                <w:rFonts w:ascii="Calibri" w:hAnsi="Calibri" w:cs="Calibri"/>
                <w:b/>
                <w:sz w:val="22"/>
                <w:szCs w:val="22"/>
              </w:rPr>
            </w:pPr>
            <w:r w:rsidRPr="00F130DD">
              <w:rPr>
                <w:rFonts w:ascii="Calibri" w:hAnsi="Calibri" w:cs="Calibri"/>
                <w:b/>
                <w:sz w:val="22"/>
                <w:szCs w:val="22"/>
              </w:rPr>
              <w:t>Dle skutečnosti</w:t>
            </w:r>
          </w:p>
        </w:tc>
      </w:tr>
      <w:tr w:rsidR="00E0333A" w:rsidRPr="00F130DD"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Pr="00F130DD"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130DD">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0F44F9DA" w:rsidR="00E0333A" w:rsidRPr="00F130DD" w:rsidRDefault="00D1798B">
            <w:pPr>
              <w:spacing w:before="60" w:after="60"/>
              <w:ind w:left="-2" w:right="173" w:hanging="6"/>
              <w:jc w:val="right"/>
              <w:rPr>
                <w:rFonts w:ascii="Calibri" w:hAnsi="Calibri" w:cs="Calibri"/>
                <w:b/>
                <w:sz w:val="22"/>
                <w:szCs w:val="22"/>
              </w:rPr>
            </w:pPr>
            <w:r w:rsidRPr="00F130DD">
              <w:rPr>
                <w:rFonts w:ascii="Calibri" w:hAnsi="Calibri" w:cs="Calibri"/>
                <w:b/>
                <w:sz w:val="22"/>
                <w:szCs w:val="22"/>
              </w:rPr>
              <w:t>---</w:t>
            </w:r>
          </w:p>
        </w:tc>
      </w:tr>
      <w:bookmarkEnd w:id="10"/>
      <w:bookmarkEnd w:id="11"/>
    </w:tbl>
    <w:p w14:paraId="3EDD6883" w14:textId="77777777" w:rsidR="00E0333A" w:rsidRPr="00F130DD" w:rsidRDefault="00E0333A" w:rsidP="00E0333A">
      <w:pPr>
        <w:rPr>
          <w:rFonts w:ascii="Calibri" w:hAnsi="Calibri" w:cs="Calibri"/>
          <w:sz w:val="22"/>
          <w:szCs w:val="22"/>
        </w:rPr>
      </w:pPr>
    </w:p>
    <w:p w14:paraId="11FA95C2" w14:textId="77777777" w:rsidR="009E3E0E" w:rsidRDefault="009E3E0E" w:rsidP="009E3E0E">
      <w:pPr>
        <w:pStyle w:val="Zhlav"/>
        <w:tabs>
          <w:tab w:val="left" w:pos="708"/>
        </w:tabs>
        <w:jc w:val="both"/>
        <w:rPr>
          <w:rFonts w:ascii="Calibri" w:hAnsi="Calibri" w:cs="Calibri"/>
          <w:sz w:val="22"/>
          <w:szCs w:val="22"/>
        </w:rPr>
      </w:pPr>
      <w:r w:rsidRPr="00F130DD">
        <w:rPr>
          <w:rFonts w:ascii="Calibri" w:hAnsi="Calibri" w:cs="Calibri"/>
          <w:sz w:val="22"/>
          <w:szCs w:val="22"/>
        </w:rPr>
        <w:t>Ukončení implementace bude uvedeno na Pracovním listu potvrzeném objednatelem.</w:t>
      </w:r>
    </w:p>
    <w:p w14:paraId="6E6E2126" w14:textId="77777777" w:rsidR="009E3E0E" w:rsidRDefault="009E3E0E"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21EB959B" w:rsidR="001F3750" w:rsidRPr="007742E9" w:rsidRDefault="00603615" w:rsidP="007742E9">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F130DD"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01086BEF"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7F024AD5" w:rsidR="00F130DD" w:rsidRDefault="00F130DD" w:rsidP="00F130D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B0B208F" w:rsidR="00F130DD" w:rsidRDefault="00F130DD" w:rsidP="00F130DD">
            <w:pPr>
              <w:ind w:right="220"/>
              <w:jc w:val="right"/>
              <w:rPr>
                <w:rFonts w:ascii="Calibri" w:hAnsi="Calibri" w:cs="Calibri"/>
                <w:sz w:val="22"/>
                <w:szCs w:val="22"/>
              </w:rPr>
            </w:pPr>
            <w:r>
              <w:rPr>
                <w:rFonts w:ascii="Calibri" w:hAnsi="Calibri" w:cs="Calibri"/>
                <w:sz w:val="22"/>
                <w:szCs w:val="22"/>
              </w:rPr>
              <w:t>5 124</w:t>
            </w:r>
          </w:p>
        </w:tc>
      </w:tr>
      <w:tr w:rsidR="00F130DD"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3B214F5F"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15FDC57E" w:rsidR="00F130DD" w:rsidRDefault="00F130DD" w:rsidP="00F130D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D83BCD1" w:rsidR="00F130DD" w:rsidRDefault="00F130DD" w:rsidP="00F130DD">
            <w:pPr>
              <w:ind w:right="220"/>
              <w:jc w:val="right"/>
              <w:rPr>
                <w:rFonts w:ascii="Calibri" w:hAnsi="Calibri" w:cs="Calibri"/>
                <w:sz w:val="22"/>
                <w:szCs w:val="22"/>
              </w:rPr>
            </w:pPr>
            <w:r>
              <w:rPr>
                <w:rFonts w:ascii="Calibri" w:hAnsi="Calibri" w:cs="Calibri"/>
                <w:sz w:val="22"/>
                <w:szCs w:val="22"/>
              </w:rPr>
              <w:t>250</w:t>
            </w:r>
          </w:p>
        </w:tc>
      </w:tr>
      <w:tr w:rsidR="00F130DD"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07EEB50D"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38E2CD8" w:rsidR="00F130DD" w:rsidRDefault="00F130DD" w:rsidP="00F130D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0923BAA7" w:rsidR="00F130DD" w:rsidRDefault="00F130DD" w:rsidP="00F130DD">
            <w:pPr>
              <w:ind w:right="220"/>
              <w:jc w:val="right"/>
              <w:rPr>
                <w:rFonts w:ascii="Calibri" w:hAnsi="Calibri" w:cs="Calibri"/>
                <w:sz w:val="22"/>
                <w:szCs w:val="22"/>
              </w:rPr>
            </w:pPr>
            <w:r>
              <w:rPr>
                <w:rFonts w:ascii="Calibri" w:hAnsi="Calibri" w:cs="Calibri"/>
                <w:sz w:val="22"/>
                <w:szCs w:val="22"/>
              </w:rPr>
              <w:t>1 500</w:t>
            </w:r>
          </w:p>
        </w:tc>
      </w:tr>
      <w:tr w:rsidR="00F130DD"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BA461E0"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405B2B8B" w:rsidR="00F130DD" w:rsidRDefault="00F130DD" w:rsidP="00F130D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1518D65F" w:rsidR="00F130DD" w:rsidRDefault="00F130DD" w:rsidP="00F130DD">
            <w:pPr>
              <w:ind w:right="220"/>
              <w:jc w:val="right"/>
              <w:rPr>
                <w:rFonts w:ascii="Calibri" w:hAnsi="Calibri" w:cs="Calibri"/>
                <w:sz w:val="22"/>
                <w:szCs w:val="22"/>
              </w:rPr>
            </w:pPr>
            <w:r>
              <w:rPr>
                <w:rFonts w:ascii="Calibri" w:hAnsi="Calibri" w:cs="Calibri"/>
                <w:sz w:val="22"/>
                <w:szCs w:val="22"/>
              </w:rPr>
              <w:t>2 000</w:t>
            </w:r>
          </w:p>
        </w:tc>
      </w:tr>
      <w:tr w:rsidR="00F130DD"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1C4BCA62"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04A23B82" w:rsidR="00F130DD" w:rsidRDefault="00F130DD" w:rsidP="00F130D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38E47D05" w:rsidR="00F130DD" w:rsidRDefault="00F130DD" w:rsidP="00F130DD">
            <w:pPr>
              <w:ind w:right="220"/>
              <w:jc w:val="right"/>
              <w:rPr>
                <w:rFonts w:ascii="Calibri" w:hAnsi="Calibri" w:cs="Calibri"/>
                <w:sz w:val="22"/>
                <w:szCs w:val="22"/>
              </w:rPr>
            </w:pPr>
            <w:r>
              <w:rPr>
                <w:rFonts w:ascii="Calibri" w:hAnsi="Calibri" w:cs="Calibri"/>
                <w:sz w:val="22"/>
                <w:szCs w:val="22"/>
              </w:rPr>
              <w:t>2 000</w:t>
            </w:r>
          </w:p>
        </w:tc>
      </w:tr>
      <w:tr w:rsidR="00F130DD" w14:paraId="1E8EB802"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6F2B511" w14:textId="6435F7BF" w:rsidR="00F130DD" w:rsidRPr="00A53259"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Sklady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1918A0" w14:textId="5ED18CB1" w:rsidR="00F130DD" w:rsidRDefault="00F130DD" w:rsidP="00F130D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5D2AEF5" w14:textId="7E5541B8" w:rsidR="00F130DD" w:rsidRDefault="00F130DD" w:rsidP="00F130DD">
            <w:pPr>
              <w:ind w:right="220"/>
              <w:jc w:val="right"/>
              <w:rPr>
                <w:rFonts w:ascii="Calibri" w:hAnsi="Calibri" w:cs="Calibri"/>
                <w:sz w:val="22"/>
                <w:szCs w:val="22"/>
              </w:rPr>
            </w:pPr>
            <w:r>
              <w:rPr>
                <w:rFonts w:ascii="Calibri" w:hAnsi="Calibri" w:cs="Calibri"/>
                <w:sz w:val="22"/>
                <w:szCs w:val="22"/>
              </w:rPr>
              <w:t>2 000</w:t>
            </w:r>
          </w:p>
        </w:tc>
      </w:tr>
      <w:tr w:rsidR="00F130DD" w14:paraId="006D1BD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148EB94" w14:textId="74D279CC"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58234B3" w14:textId="280F516C" w:rsidR="00F130DD" w:rsidRDefault="00F130DD" w:rsidP="00F130DD">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4F2CB01D" w14:textId="617BED97" w:rsidR="00F130DD" w:rsidRDefault="00F130DD" w:rsidP="00F130DD">
            <w:pPr>
              <w:ind w:right="220"/>
              <w:jc w:val="right"/>
              <w:rPr>
                <w:rFonts w:ascii="Calibri" w:hAnsi="Calibri" w:cs="Calibri"/>
                <w:sz w:val="22"/>
                <w:szCs w:val="22"/>
              </w:rPr>
            </w:pPr>
            <w:r>
              <w:rPr>
                <w:rFonts w:ascii="Calibri" w:hAnsi="Calibri" w:cs="Calibri"/>
                <w:sz w:val="22"/>
                <w:szCs w:val="22"/>
              </w:rPr>
              <w:t>2 000</w:t>
            </w:r>
          </w:p>
        </w:tc>
      </w:tr>
      <w:tr w:rsidR="00F130DD" w14:paraId="210089FB"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07E3E2E" w14:textId="2CBA37FA" w:rsidR="00F130DD" w:rsidRDefault="00F130DD" w:rsidP="00F130D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6245568" w14:textId="6EB35E05" w:rsidR="00F130DD" w:rsidRDefault="00F130DD" w:rsidP="00F130DD">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1AED69CC" w14:textId="04B9798A" w:rsidR="00F130DD" w:rsidRDefault="00F130DD" w:rsidP="00F130DD">
            <w:pPr>
              <w:ind w:right="220"/>
              <w:jc w:val="right"/>
              <w:rPr>
                <w:rFonts w:ascii="Calibri" w:hAnsi="Calibri" w:cs="Calibri"/>
                <w:sz w:val="22"/>
                <w:szCs w:val="22"/>
              </w:rPr>
            </w:pPr>
            <w:r>
              <w:rPr>
                <w:rFonts w:ascii="Calibri" w:hAnsi="Calibri" w:cs="Calibri"/>
                <w:sz w:val="22"/>
                <w:szCs w:val="22"/>
              </w:rPr>
              <w:t>2 000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3D713105" w:rsidR="007372EE" w:rsidRDefault="00F130DD">
            <w:pPr>
              <w:spacing w:before="60" w:after="60"/>
              <w:ind w:left="357" w:hanging="357"/>
              <w:jc w:val="center"/>
              <w:rPr>
                <w:rFonts w:ascii="Calibri" w:hAnsi="Calibri" w:cs="Calibri"/>
                <w:sz w:val="22"/>
                <w:szCs w:val="22"/>
              </w:rPr>
            </w:pPr>
            <w:r>
              <w:rPr>
                <w:rFonts w:ascii="Calibri" w:hAnsi="Calibri" w:cs="Calibri"/>
                <w:sz w:val="22"/>
                <w:szCs w:val="22"/>
              </w:rPr>
              <w:t>5</w:t>
            </w:r>
            <w:r w:rsidR="009E3E0E">
              <w:rPr>
                <w:rFonts w:ascii="Calibri" w:hAnsi="Calibri" w:cs="Calibri"/>
                <w:sz w:val="22"/>
                <w:szCs w:val="22"/>
              </w:rPr>
              <w:t xml:space="preserve"> hodin</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25F3795B"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EF4D4B">
              <w:rPr>
                <w:rFonts w:ascii="Calibri" w:hAnsi="Calibri" w:cs="Calibri"/>
                <w:sz w:val="22"/>
                <w:szCs w:val="22"/>
              </w:rPr>
              <w:t>0</w:t>
            </w:r>
            <w:r>
              <w:rPr>
                <w:rFonts w:ascii="Calibri" w:hAnsi="Calibri" w:cs="Calibri"/>
                <w:sz w:val="22"/>
                <w:szCs w:val="22"/>
              </w:rPr>
              <w:t>1.</w:t>
            </w:r>
            <w:r w:rsidR="00EF4D4B">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911F4E3" w:rsidR="00603615" w:rsidRDefault="00603615" w:rsidP="007372EE">
      <w:pPr>
        <w:jc w:val="both"/>
        <w:rPr>
          <w:rFonts w:ascii="Calibri" w:hAnsi="Calibri" w:cs="Calibri"/>
          <w:sz w:val="22"/>
          <w:szCs w:val="22"/>
        </w:rPr>
      </w:pPr>
    </w:p>
    <w:p w14:paraId="40ECACDD" w14:textId="52B072A0" w:rsidR="007742E9" w:rsidRDefault="007742E9" w:rsidP="007372EE">
      <w:pPr>
        <w:jc w:val="both"/>
        <w:rPr>
          <w:rFonts w:ascii="Calibri" w:hAnsi="Calibri" w:cs="Calibri"/>
          <w:sz w:val="22"/>
          <w:szCs w:val="22"/>
        </w:rPr>
      </w:pPr>
    </w:p>
    <w:p w14:paraId="562A43E2" w14:textId="77777777" w:rsidR="007742E9" w:rsidRDefault="007742E9"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02FE5347" w14:textId="2F52C3AE"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35B2765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EF4D4B">
        <w:rPr>
          <w:rFonts w:ascii="Calibri" w:hAnsi="Calibri" w:cs="Calibri"/>
          <w:b/>
          <w:sz w:val="22"/>
          <w:szCs w:val="22"/>
        </w:rPr>
        <w:t>0</w:t>
      </w:r>
      <w:r>
        <w:rPr>
          <w:rFonts w:ascii="Calibri" w:hAnsi="Calibri" w:cs="Calibri"/>
          <w:b/>
          <w:sz w:val="22"/>
          <w:szCs w:val="22"/>
        </w:rPr>
        <w:t>1.</w:t>
      </w:r>
      <w:r w:rsidR="00EF4D4B">
        <w:rPr>
          <w:rFonts w:ascii="Calibri" w:hAnsi="Calibri" w:cs="Calibri"/>
          <w:b/>
          <w:sz w:val="22"/>
          <w:szCs w:val="22"/>
        </w:rPr>
        <w:t>0</w:t>
      </w:r>
      <w:r>
        <w:rPr>
          <w:rFonts w:ascii="Calibri" w:hAnsi="Calibri" w:cs="Calibri"/>
          <w:b/>
          <w:sz w:val="22"/>
          <w:szCs w:val="22"/>
        </w:rPr>
        <w:t>1.202</w:t>
      </w:r>
      <w:r w:rsidR="007742E9">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5B07CF82" w:rsidR="001F3750" w:rsidRDefault="00F130DD" w:rsidP="00D95D6D">
            <w:pPr>
              <w:ind w:right="213"/>
              <w:jc w:val="right"/>
              <w:rPr>
                <w:rFonts w:ascii="Calibri" w:hAnsi="Calibri" w:cs="Calibri"/>
                <w:sz w:val="22"/>
                <w:szCs w:val="22"/>
              </w:rPr>
            </w:pPr>
            <w:r>
              <w:rPr>
                <w:rFonts w:ascii="Calibri" w:hAnsi="Calibri" w:cs="Calibri"/>
                <w:sz w:val="22"/>
                <w:szCs w:val="22"/>
              </w:rPr>
              <w:t>12 874</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44348442" w:rsidR="001F3750" w:rsidRDefault="00F130DD" w:rsidP="00D95D6D">
            <w:pPr>
              <w:ind w:right="213"/>
              <w:jc w:val="right"/>
              <w:rPr>
                <w:rFonts w:ascii="Calibri" w:hAnsi="Calibri" w:cs="Calibri"/>
                <w:sz w:val="22"/>
                <w:szCs w:val="22"/>
              </w:rPr>
            </w:pPr>
            <w:r>
              <w:rPr>
                <w:rFonts w:ascii="Calibri" w:hAnsi="Calibri" w:cs="Calibri"/>
                <w:sz w:val="22"/>
                <w:szCs w:val="22"/>
              </w:rPr>
              <w:t>4 000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2354558" w:rsidR="001F3750" w:rsidRDefault="00F130DD" w:rsidP="00D95D6D">
            <w:pPr>
              <w:ind w:right="213"/>
              <w:jc w:val="right"/>
              <w:rPr>
                <w:rFonts w:ascii="Calibri" w:hAnsi="Calibri" w:cs="Calibri"/>
                <w:sz w:val="22"/>
                <w:szCs w:val="22"/>
              </w:rPr>
            </w:pPr>
            <w:r>
              <w:rPr>
                <w:rFonts w:ascii="Calibri" w:hAnsi="Calibri" w:cs="Calibri"/>
                <w:sz w:val="22"/>
                <w:szCs w:val="22"/>
              </w:rPr>
              <w:t>7 250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8DCD898" w:rsidR="001F3750" w:rsidRDefault="007742E9"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750FB66" w:rsidR="001F3750" w:rsidRDefault="00F130DD" w:rsidP="00D95D6D">
            <w:pPr>
              <w:ind w:right="213"/>
              <w:jc w:val="right"/>
              <w:rPr>
                <w:rFonts w:ascii="Calibri" w:hAnsi="Calibri" w:cs="Calibri"/>
                <w:b/>
                <w:sz w:val="22"/>
                <w:szCs w:val="22"/>
              </w:rPr>
            </w:pPr>
            <w:r>
              <w:rPr>
                <w:rFonts w:ascii="Calibri" w:hAnsi="Calibri" w:cs="Calibri"/>
                <w:b/>
                <w:sz w:val="22"/>
                <w:szCs w:val="22"/>
              </w:rPr>
              <w:t>24 124,00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50B60223" w:rsidR="001F3750" w:rsidRDefault="00F130DD" w:rsidP="00D95D6D">
            <w:pPr>
              <w:ind w:right="213"/>
              <w:jc w:val="right"/>
              <w:rPr>
                <w:rFonts w:ascii="Calibri" w:hAnsi="Calibri" w:cs="Calibri"/>
                <w:b/>
                <w:sz w:val="22"/>
                <w:szCs w:val="22"/>
              </w:rPr>
            </w:pPr>
            <w:r>
              <w:rPr>
                <w:rFonts w:ascii="Calibri" w:hAnsi="Calibri" w:cs="Calibri"/>
                <w:b/>
                <w:sz w:val="22"/>
                <w:szCs w:val="22"/>
              </w:rPr>
              <w:t>29 190,04</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92AF" w14:textId="77777777" w:rsidR="00C460D5" w:rsidRDefault="00C460D5">
      <w:r>
        <w:separator/>
      </w:r>
    </w:p>
  </w:endnote>
  <w:endnote w:type="continuationSeparator" w:id="0">
    <w:p w14:paraId="580B49A6" w14:textId="77777777" w:rsidR="00C460D5" w:rsidRDefault="00C4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751BCB"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EC85" w14:textId="77777777" w:rsidR="00C460D5" w:rsidRDefault="00C460D5">
      <w:r>
        <w:separator/>
      </w:r>
    </w:p>
  </w:footnote>
  <w:footnote w:type="continuationSeparator" w:id="0">
    <w:p w14:paraId="6D6AAA2A" w14:textId="77777777" w:rsidR="00C460D5" w:rsidRDefault="00C4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8982062"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90443" w:rsidRPr="00690443">
                  <w:rPr>
                    <w:rFonts w:ascii="Calibri" w:hAnsi="Calibri"/>
                    <w:i/>
                  </w:rPr>
                  <w:t>F-10-00812</w:t>
                </w:r>
                <w:r w:rsidR="00690443">
                  <w:rPr>
                    <w:rFonts w:ascii="Calibri" w:hAnsi="Calibri"/>
                    <w:i/>
                  </w:rPr>
                  <w:t>-02</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323F2"/>
    <w:rsid w:val="00041D45"/>
    <w:rsid w:val="00043EB7"/>
    <w:rsid w:val="00046C4D"/>
    <w:rsid w:val="00062922"/>
    <w:rsid w:val="000629FA"/>
    <w:rsid w:val="00067555"/>
    <w:rsid w:val="00080C97"/>
    <w:rsid w:val="0008274E"/>
    <w:rsid w:val="00084086"/>
    <w:rsid w:val="00095F73"/>
    <w:rsid w:val="000A0B26"/>
    <w:rsid w:val="000A0D9B"/>
    <w:rsid w:val="000B5C63"/>
    <w:rsid w:val="000C3BBC"/>
    <w:rsid w:val="000C745E"/>
    <w:rsid w:val="000D08F3"/>
    <w:rsid w:val="000D0DAC"/>
    <w:rsid w:val="000D43FC"/>
    <w:rsid w:val="000E3F3C"/>
    <w:rsid w:val="000E4068"/>
    <w:rsid w:val="000E7435"/>
    <w:rsid w:val="000F7444"/>
    <w:rsid w:val="00112C87"/>
    <w:rsid w:val="001150AA"/>
    <w:rsid w:val="00115DEE"/>
    <w:rsid w:val="00121E7D"/>
    <w:rsid w:val="0012305F"/>
    <w:rsid w:val="00125CC2"/>
    <w:rsid w:val="00130694"/>
    <w:rsid w:val="00134BEF"/>
    <w:rsid w:val="00153980"/>
    <w:rsid w:val="001568B5"/>
    <w:rsid w:val="001571B9"/>
    <w:rsid w:val="0016104B"/>
    <w:rsid w:val="00163959"/>
    <w:rsid w:val="001752B0"/>
    <w:rsid w:val="00191331"/>
    <w:rsid w:val="001940AA"/>
    <w:rsid w:val="001953F7"/>
    <w:rsid w:val="001A17E6"/>
    <w:rsid w:val="001A53A6"/>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36962"/>
    <w:rsid w:val="00240293"/>
    <w:rsid w:val="0024474B"/>
    <w:rsid w:val="00246420"/>
    <w:rsid w:val="00251A6E"/>
    <w:rsid w:val="00252998"/>
    <w:rsid w:val="0026170F"/>
    <w:rsid w:val="002624CC"/>
    <w:rsid w:val="00265151"/>
    <w:rsid w:val="002703F2"/>
    <w:rsid w:val="00270983"/>
    <w:rsid w:val="0027240D"/>
    <w:rsid w:val="00272AFC"/>
    <w:rsid w:val="0027546B"/>
    <w:rsid w:val="00275D87"/>
    <w:rsid w:val="00281410"/>
    <w:rsid w:val="00284C56"/>
    <w:rsid w:val="002879F7"/>
    <w:rsid w:val="002949AB"/>
    <w:rsid w:val="002A0921"/>
    <w:rsid w:val="002A5525"/>
    <w:rsid w:val="002B2BE6"/>
    <w:rsid w:val="002B3F5E"/>
    <w:rsid w:val="002B42F8"/>
    <w:rsid w:val="002C0098"/>
    <w:rsid w:val="002C3645"/>
    <w:rsid w:val="002C7BE4"/>
    <w:rsid w:val="002D0CB5"/>
    <w:rsid w:val="002D2240"/>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E3E"/>
    <w:rsid w:val="003B2AE7"/>
    <w:rsid w:val="003B4499"/>
    <w:rsid w:val="003B5487"/>
    <w:rsid w:val="003C47A9"/>
    <w:rsid w:val="003E11D0"/>
    <w:rsid w:val="003E3B5B"/>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4D85"/>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151ED"/>
    <w:rsid w:val="00525B5A"/>
    <w:rsid w:val="005262C7"/>
    <w:rsid w:val="00531828"/>
    <w:rsid w:val="005378AC"/>
    <w:rsid w:val="00537E97"/>
    <w:rsid w:val="0054506D"/>
    <w:rsid w:val="00545414"/>
    <w:rsid w:val="00573A7D"/>
    <w:rsid w:val="00577B45"/>
    <w:rsid w:val="0058407A"/>
    <w:rsid w:val="005961CA"/>
    <w:rsid w:val="005A70B7"/>
    <w:rsid w:val="005C6F83"/>
    <w:rsid w:val="005D15F6"/>
    <w:rsid w:val="005D7BB0"/>
    <w:rsid w:val="005D7C3F"/>
    <w:rsid w:val="005E3847"/>
    <w:rsid w:val="005E798E"/>
    <w:rsid w:val="005F12C0"/>
    <w:rsid w:val="005F4D39"/>
    <w:rsid w:val="005F56FD"/>
    <w:rsid w:val="00601524"/>
    <w:rsid w:val="00603615"/>
    <w:rsid w:val="006042F2"/>
    <w:rsid w:val="00607EFA"/>
    <w:rsid w:val="0061357B"/>
    <w:rsid w:val="00617BD3"/>
    <w:rsid w:val="00617DC1"/>
    <w:rsid w:val="006334FF"/>
    <w:rsid w:val="00647A2D"/>
    <w:rsid w:val="00654361"/>
    <w:rsid w:val="00664670"/>
    <w:rsid w:val="006668F6"/>
    <w:rsid w:val="006701FC"/>
    <w:rsid w:val="006702B5"/>
    <w:rsid w:val="0067203B"/>
    <w:rsid w:val="00681FBC"/>
    <w:rsid w:val="00690443"/>
    <w:rsid w:val="00692679"/>
    <w:rsid w:val="006A7A6A"/>
    <w:rsid w:val="006B3E6D"/>
    <w:rsid w:val="006C0BF4"/>
    <w:rsid w:val="006C4321"/>
    <w:rsid w:val="006C4BF1"/>
    <w:rsid w:val="006C6B1A"/>
    <w:rsid w:val="006D5C2D"/>
    <w:rsid w:val="006E57F6"/>
    <w:rsid w:val="006E5958"/>
    <w:rsid w:val="006E6888"/>
    <w:rsid w:val="006F1FEF"/>
    <w:rsid w:val="006F2C8C"/>
    <w:rsid w:val="006F6CB4"/>
    <w:rsid w:val="00703F6F"/>
    <w:rsid w:val="00734901"/>
    <w:rsid w:val="007372EE"/>
    <w:rsid w:val="00747180"/>
    <w:rsid w:val="00751BCB"/>
    <w:rsid w:val="00752A6F"/>
    <w:rsid w:val="00757FE3"/>
    <w:rsid w:val="0076055D"/>
    <w:rsid w:val="00763186"/>
    <w:rsid w:val="007732E9"/>
    <w:rsid w:val="007742E9"/>
    <w:rsid w:val="0077564A"/>
    <w:rsid w:val="007757B0"/>
    <w:rsid w:val="007843BF"/>
    <w:rsid w:val="0078565B"/>
    <w:rsid w:val="007875D2"/>
    <w:rsid w:val="00795847"/>
    <w:rsid w:val="007A0EE7"/>
    <w:rsid w:val="007A3F57"/>
    <w:rsid w:val="007D3A97"/>
    <w:rsid w:val="007D4846"/>
    <w:rsid w:val="007D6CD1"/>
    <w:rsid w:val="007E1600"/>
    <w:rsid w:val="007E6031"/>
    <w:rsid w:val="007F1796"/>
    <w:rsid w:val="007F4BDF"/>
    <w:rsid w:val="007F7C18"/>
    <w:rsid w:val="00800EB6"/>
    <w:rsid w:val="00811D0D"/>
    <w:rsid w:val="0081629E"/>
    <w:rsid w:val="0082257F"/>
    <w:rsid w:val="00823E8C"/>
    <w:rsid w:val="008266E2"/>
    <w:rsid w:val="00840120"/>
    <w:rsid w:val="00842C5A"/>
    <w:rsid w:val="0084320A"/>
    <w:rsid w:val="00851439"/>
    <w:rsid w:val="00851CD6"/>
    <w:rsid w:val="00866E81"/>
    <w:rsid w:val="0089186E"/>
    <w:rsid w:val="008927DA"/>
    <w:rsid w:val="008A14F3"/>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A07D0"/>
    <w:rsid w:val="009A59B7"/>
    <w:rsid w:val="009B19D2"/>
    <w:rsid w:val="009B61C2"/>
    <w:rsid w:val="009C08D6"/>
    <w:rsid w:val="009C4E1D"/>
    <w:rsid w:val="009D195D"/>
    <w:rsid w:val="009D2FAC"/>
    <w:rsid w:val="009D305C"/>
    <w:rsid w:val="009D6D83"/>
    <w:rsid w:val="009D6F1D"/>
    <w:rsid w:val="009E31A2"/>
    <w:rsid w:val="009E3E0E"/>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6676"/>
    <w:rsid w:val="00A93F8A"/>
    <w:rsid w:val="00A965BE"/>
    <w:rsid w:val="00AA3A9F"/>
    <w:rsid w:val="00AB1267"/>
    <w:rsid w:val="00AB53F0"/>
    <w:rsid w:val="00AB68AC"/>
    <w:rsid w:val="00AC215E"/>
    <w:rsid w:val="00AC25C1"/>
    <w:rsid w:val="00AC3D97"/>
    <w:rsid w:val="00AD704A"/>
    <w:rsid w:val="00AE3505"/>
    <w:rsid w:val="00AF2F24"/>
    <w:rsid w:val="00B009C0"/>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647F"/>
    <w:rsid w:val="00BE6B48"/>
    <w:rsid w:val="00BF223F"/>
    <w:rsid w:val="00C02D89"/>
    <w:rsid w:val="00C06C85"/>
    <w:rsid w:val="00C13E62"/>
    <w:rsid w:val="00C216EE"/>
    <w:rsid w:val="00C26B1C"/>
    <w:rsid w:val="00C44ABD"/>
    <w:rsid w:val="00C460D5"/>
    <w:rsid w:val="00C53457"/>
    <w:rsid w:val="00C61B17"/>
    <w:rsid w:val="00C76365"/>
    <w:rsid w:val="00C869C0"/>
    <w:rsid w:val="00C90F35"/>
    <w:rsid w:val="00C9719A"/>
    <w:rsid w:val="00C974BE"/>
    <w:rsid w:val="00CA49C2"/>
    <w:rsid w:val="00CB4DA7"/>
    <w:rsid w:val="00CB53D4"/>
    <w:rsid w:val="00CB63EC"/>
    <w:rsid w:val="00CC2714"/>
    <w:rsid w:val="00CC5503"/>
    <w:rsid w:val="00CD20AC"/>
    <w:rsid w:val="00CD2F60"/>
    <w:rsid w:val="00CD30A2"/>
    <w:rsid w:val="00CD33F9"/>
    <w:rsid w:val="00CD7C22"/>
    <w:rsid w:val="00CE512F"/>
    <w:rsid w:val="00CE568E"/>
    <w:rsid w:val="00CF76F7"/>
    <w:rsid w:val="00D034E2"/>
    <w:rsid w:val="00D11BCE"/>
    <w:rsid w:val="00D1600D"/>
    <w:rsid w:val="00D1798B"/>
    <w:rsid w:val="00D32D7A"/>
    <w:rsid w:val="00D35F7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DF709F"/>
    <w:rsid w:val="00E0333A"/>
    <w:rsid w:val="00E0798C"/>
    <w:rsid w:val="00E11087"/>
    <w:rsid w:val="00E1451F"/>
    <w:rsid w:val="00E21C06"/>
    <w:rsid w:val="00E22F30"/>
    <w:rsid w:val="00E37E6E"/>
    <w:rsid w:val="00E44A1B"/>
    <w:rsid w:val="00E4543D"/>
    <w:rsid w:val="00E45517"/>
    <w:rsid w:val="00E47FC7"/>
    <w:rsid w:val="00E5627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4D4B"/>
    <w:rsid w:val="00EF6B1A"/>
    <w:rsid w:val="00F05423"/>
    <w:rsid w:val="00F130DD"/>
    <w:rsid w:val="00F14FA8"/>
    <w:rsid w:val="00F25CE8"/>
    <w:rsid w:val="00F33A0E"/>
    <w:rsid w:val="00F355AD"/>
    <w:rsid w:val="00F35C71"/>
    <w:rsid w:val="00F47B13"/>
    <w:rsid w:val="00F504B3"/>
    <w:rsid w:val="00F527C0"/>
    <w:rsid w:val="00F61366"/>
    <w:rsid w:val="00F70F10"/>
    <w:rsid w:val="00F75C0D"/>
    <w:rsid w:val="00F83D6C"/>
    <w:rsid w:val="00F8486C"/>
    <w:rsid w:val="00F85480"/>
    <w:rsid w:val="00F86ED5"/>
    <w:rsid w:val="00F951F6"/>
    <w:rsid w:val="00FB0046"/>
    <w:rsid w:val="00FB5FE8"/>
    <w:rsid w:val="00FB7678"/>
    <w:rsid w:val="00FC2CF6"/>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cubanova@spsasosgsmos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2536</Words>
  <Characters>14966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17468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2023-12-19T13:00:00Z</dcterms:created>
  <dcterms:modified xsi:type="dcterms:W3CDTF">2023-12-19T13:00:00Z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