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4A" w:rsidRDefault="0041034A" w:rsidP="00D67FD8">
      <w:pPr>
        <w:spacing w:after="0"/>
        <w:rPr>
          <w:rFonts w:cs="Calibri"/>
          <w:b/>
        </w:rPr>
      </w:pPr>
      <w:r w:rsidRPr="0041034A">
        <w:rPr>
          <w:rFonts w:cs="Calibri"/>
          <w:b/>
        </w:rPr>
        <w:t>Střední průmyslová škola stavební akademika Stanislava Bechyně, Havlíčkův Brod, Jihlavská 628</w:t>
      </w:r>
    </w:p>
    <w:p w:rsidR="003F0DBE" w:rsidRDefault="00D67FD8" w:rsidP="00D67FD8">
      <w:pPr>
        <w:spacing w:after="0"/>
        <w:rPr>
          <w:rFonts w:cs="Calibri"/>
        </w:rPr>
      </w:pPr>
      <w:r w:rsidRPr="00D67FD8">
        <w:rPr>
          <w:rFonts w:cs="Calibri"/>
        </w:rPr>
        <w:t xml:space="preserve">IČO: </w:t>
      </w:r>
      <w:r w:rsidR="0041034A" w:rsidRPr="0041034A">
        <w:rPr>
          <w:rFonts w:cs="Calibri"/>
        </w:rPr>
        <w:t>60126698</w:t>
      </w:r>
    </w:p>
    <w:p w:rsidR="00D67FD8" w:rsidRPr="00D67FD8" w:rsidRDefault="00D67FD8" w:rsidP="00D67FD8">
      <w:pPr>
        <w:spacing w:after="0"/>
        <w:rPr>
          <w:rFonts w:cs="Calibri"/>
        </w:rPr>
      </w:pPr>
      <w:r w:rsidRPr="00D67FD8">
        <w:rPr>
          <w:rFonts w:cs="Calibri"/>
        </w:rPr>
        <w:t xml:space="preserve">sídlo: </w:t>
      </w:r>
      <w:r w:rsidR="0041034A">
        <w:rPr>
          <w:rFonts w:cs="Calibri"/>
        </w:rPr>
        <w:t>Jihlavská</w:t>
      </w:r>
      <w:r w:rsidR="0041034A" w:rsidRPr="0041034A">
        <w:rPr>
          <w:rFonts w:cs="Calibri"/>
        </w:rPr>
        <w:t xml:space="preserve"> 628, 580</w:t>
      </w:r>
      <w:r w:rsidR="007920F3">
        <w:rPr>
          <w:rFonts w:cs="Calibri"/>
        </w:rPr>
        <w:t xml:space="preserve"> </w:t>
      </w:r>
      <w:r w:rsidR="0041034A" w:rsidRPr="0041034A">
        <w:rPr>
          <w:rFonts w:cs="Calibri"/>
        </w:rPr>
        <w:t>01 Havlíčkův Brod</w:t>
      </w:r>
    </w:p>
    <w:p w:rsidR="00A21D04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r w:rsidR="0041034A" w:rsidRPr="0041034A">
        <w:rPr>
          <w:rFonts w:cs="Calibri"/>
        </w:rPr>
        <w:t>n69unam</w:t>
      </w:r>
    </w:p>
    <w:p w:rsidR="00C8424E" w:rsidRDefault="00A21D04" w:rsidP="00C8424E">
      <w:pPr>
        <w:spacing w:after="0"/>
        <w:rPr>
          <w:rFonts w:cs="Calibri"/>
        </w:rPr>
      </w:pPr>
      <w:r>
        <w:rPr>
          <w:rFonts w:cs="Calibri"/>
        </w:rPr>
        <w:t>zastoupené</w:t>
      </w:r>
      <w:r w:rsidR="00C8424E">
        <w:rPr>
          <w:rFonts w:cs="Calibri"/>
        </w:rPr>
        <w:t>:</w:t>
      </w:r>
      <w:r w:rsidR="00A01309">
        <w:rPr>
          <w:rFonts w:cs="Calibri"/>
        </w:rPr>
        <w:t xml:space="preserve"> </w:t>
      </w:r>
      <w:r w:rsidR="0041034A">
        <w:rPr>
          <w:rFonts w:cs="Calibri"/>
        </w:rPr>
        <w:t xml:space="preserve">Ing. Josefem </w:t>
      </w:r>
      <w:proofErr w:type="spellStart"/>
      <w:r w:rsidR="0041034A">
        <w:rPr>
          <w:rFonts w:cs="Calibri"/>
        </w:rPr>
        <w:t>Charamzou</w:t>
      </w:r>
      <w:proofErr w:type="spellEnd"/>
      <w:r>
        <w:rPr>
          <w:rFonts w:cs="Calibri"/>
        </w:rPr>
        <w:t>, ředitelem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„správce“)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a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  <w:b/>
        </w:rPr>
      </w:pPr>
      <w:r>
        <w:rPr>
          <w:rFonts w:cs="Calibri"/>
          <w:b/>
        </w:rPr>
        <w:t>Projektová kancelář Kraje Vysočina, příspěvková organizace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zapsaná ve veřejném rejstříku vedeném Krajským soudem v Brně,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proofErr w:type="spellStart"/>
      <w:r>
        <w:rPr>
          <w:rFonts w:cs="Calibri"/>
        </w:rPr>
        <w:t>Pr</w:t>
      </w:r>
      <w:proofErr w:type="spellEnd"/>
      <w:r>
        <w:rPr>
          <w:rFonts w:cs="Calibri"/>
        </w:rPr>
        <w:t xml:space="preserve"> 1932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IČO: 71294376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sídlem: Žižkova 1872/89, 586 01 Jihlava 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zastoupená: Ing. Erikou Šteflovou, MBA, ředitelkou</w:t>
      </w:r>
    </w:p>
    <w:p w:rsidR="00225B85" w:rsidRDefault="00C8424E" w:rsidP="00C8424E">
      <w:pPr>
        <w:spacing w:after="0"/>
        <w:rPr>
          <w:rFonts w:cs="Calibri"/>
        </w:rPr>
      </w:pPr>
      <w:r>
        <w:rPr>
          <w:rStyle w:val="apple-converted-space"/>
          <w:rFonts w:cs="Calibri"/>
          <w:bCs/>
          <w:shd w:val="clear" w:color="auto" w:fill="FFFFFF"/>
        </w:rPr>
        <w:t>číslo účtu:</w:t>
      </w:r>
      <w:r>
        <w:rPr>
          <w:rFonts w:cs="Calibri"/>
        </w:rPr>
        <w:t xml:space="preserve"> 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proofErr w:type="spellStart"/>
      <w:r>
        <w:rPr>
          <w:rFonts w:cs="Calibri"/>
        </w:rPr>
        <w:t>westzkg</w:t>
      </w:r>
      <w:proofErr w:type="spellEnd"/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„pověřenec“)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jc w:val="both"/>
        <w:rPr>
          <w:rFonts w:cs="Calibri"/>
        </w:rPr>
      </w:pPr>
      <w:r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>
        <w:rPr>
          <w:rFonts w:cs="Calibri"/>
          <w:b/>
        </w:rPr>
        <w:t xml:space="preserve">smlouvu o poskytování služeb pověřence pro ochranu osobních údajů </w:t>
      </w:r>
      <w:r>
        <w:rPr>
          <w:rFonts w:cs="Calibri"/>
        </w:rPr>
        <w:t>(dále jen „smlouva“):</w:t>
      </w: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1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2. S ohledem na právní formu smluvních stran a nastavení finančních toků se společným zřizovatelem smluvních stran se služba poskytuje bez úplaty.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  <w:r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2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Práva a povinnosti pověřence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Funkci pověřence vykonává Projektová kancelář Kraje Vysočina, příspěvková organizace IČO: 71294376, se sídlem: Žižkova 1872/89, 586 01 Jihlava, zodpovědná osoba je </w:t>
      </w:r>
      <w:proofErr w:type="spellStart"/>
      <w:r w:rsidR="00225B85">
        <w:rPr>
          <w:rFonts w:cs="Calibri"/>
        </w:rPr>
        <w:t>xxxxxxxxxxxxxxxxxxxxxxxxxxxxxxxxxxxxxxxxxx</w:t>
      </w:r>
      <w:proofErr w:type="spellEnd"/>
      <w:r>
        <w:rPr>
          <w:rFonts w:cs="Calibri"/>
        </w:rPr>
        <w:t>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Pověřenec dohlíží na soulad zpracování osobních údajů správcem s právní úpravou v oblasti ochrany osobních údajů a poskytuje správci na vyžádání poradenství ohledně skutečností spojených s ochranou osobních údajů. Pokud má </w:t>
      </w:r>
      <w:r>
        <w:rPr>
          <w:rFonts w:cs="Calibri"/>
        </w:rPr>
        <w:lastRenderedPageBreak/>
        <w:t>správce zpracovatele, je povinen o tom pověřence informovat. V takovém případě dohlíží pověřenec i na soulad 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následující činnosti: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vypracuje na vyžádání správce posudek ohledně posouzení vlivu na ochranu osobních údajů podle čl. 35 odst. 2 nařízení,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spolupracuje s dozorovým úřadem za součinnosti správce, příp. jeho zpracovatele,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se při výkonu své funkce prioritně zaměřuje na problémy v rámci zpracování, které představují vyšší riziko.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C8424E" w:rsidRDefault="00C8424E" w:rsidP="00C8424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284" w:hanging="426"/>
        <w:jc w:val="both"/>
        <w:rPr>
          <w:rFonts w:cs="Calibri"/>
        </w:rPr>
      </w:pPr>
      <w:r>
        <w:rPr>
          <w:rFonts w:cs="Calibri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Článek 3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Práva a povinnosti správce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je povinen zajistit, aby byl pověřenec náležitě a včas zapojen do veškerých záležitostí souvisejících s ochranou osobních údajů správce. Za tímto účelem správce zejména: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pravidelně zve pověřence na jednání či porady, kde dochází k projednávání věcí, které mohou mít dopad na zpracování a ochranu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aktivní součinnost všech svých organizačních složek a zaměstnanců s pověřencem,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informuje pověřence o všech svých krocích a právních jednáních souvisejících se zpracováním a ochranou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pověřenci přístup ke všem dokumentům, kde se nachází osobní údaje,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předloží pověřenci všechny interní předpisy, kde je upravena ochrana osobních údajů, 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vytváří podmínky pro nerušený a efektivní výkon činnosti pověřence,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poskytne pověřenci dostatečný čas a zázemí k zajištění řádného výkonu jeho činnosti,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pokud se odchýlí od názoru pověřence, podloží své rozhodnutí dostatečným písemným odůvodněním a dokumenty,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vyžádá si posudek pověřence v případě posouzení vlivu na ochranu osobních údajů dle čl. 35 nařízení,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není oprávněn sankcionovat pověřence, příp. požadovat po pověřenci náhradu škody, pokud postup pověřence byl v souladu s právními předpisy a touto smlouvou.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C8424E" w:rsidRDefault="00C8424E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C8424E" w:rsidRDefault="00C8424E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4</w:t>
      </w:r>
    </w:p>
    <w:p w:rsidR="00C8424E" w:rsidRDefault="00C8424E" w:rsidP="00C8424E">
      <w:pPr>
        <w:tabs>
          <w:tab w:val="left" w:pos="426"/>
        </w:tabs>
        <w:jc w:val="center"/>
        <w:rPr>
          <w:rFonts w:cs="Calibri"/>
          <w:b/>
        </w:rPr>
      </w:pPr>
      <w:r>
        <w:rPr>
          <w:rFonts w:cs="Calibri"/>
          <w:b/>
        </w:rPr>
        <w:t>Náhrada škody a ukončení smlouvy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lze ukončit vzájemnou písemnou dohodou, v níž bude uveden den ukončení smlouvy.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C8424E" w:rsidRDefault="00C8424E" w:rsidP="00C8424E">
      <w:pPr>
        <w:rPr>
          <w:rFonts w:cs="Calibri"/>
          <w:b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5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Závěrečná ujednání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se sjednává na dobu neurčitou.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je vyhotovena ve dvou stejnopisech, z nichž každá ze smluvních stran obdrží po jednom.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Tato smlouva nabývá platnosti dnem jejího podpisu oběma smluvními stranami a účinnosti dnem 1. </w:t>
      </w:r>
      <w:r w:rsidR="0041034A">
        <w:rPr>
          <w:rFonts w:eastAsia="Times New Roman" w:cs="Calibri"/>
        </w:rPr>
        <w:t>3</w:t>
      </w:r>
      <w:r>
        <w:rPr>
          <w:rFonts w:eastAsia="Times New Roman" w:cs="Calibri"/>
        </w:rPr>
        <w:t>. 20</w:t>
      </w:r>
      <w:r w:rsidR="00D67FD8">
        <w:rPr>
          <w:rFonts w:eastAsia="Times New Roman" w:cs="Calibri"/>
        </w:rPr>
        <w:t>2</w:t>
      </w:r>
      <w:r w:rsidR="00A21D04">
        <w:rPr>
          <w:rFonts w:eastAsia="Times New Roman" w:cs="Calibri"/>
        </w:rPr>
        <w:t>2</w:t>
      </w:r>
      <w:r>
        <w:rPr>
          <w:rFonts w:eastAsia="Times New Roman" w:cs="Calibri"/>
        </w:rPr>
        <w:t>, 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cs="Calibri"/>
        </w:rPr>
        <w:t>Má-li některá ze smluvních stran zřizovatele, odpovídá za to, že jím je oprávněna k uzavření této smlouvy.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BD65E0" w:rsidP="00C8424E">
      <w:pPr>
        <w:spacing w:before="100" w:after="100"/>
        <w:rPr>
          <w:rFonts w:cs="Calibri"/>
        </w:rPr>
      </w:pPr>
      <w:r>
        <w:rPr>
          <w:rFonts w:eastAsia="Times New Roman" w:cs="Calibri"/>
        </w:rPr>
        <w:t>V</w:t>
      </w:r>
      <w:r w:rsidR="00FC1407">
        <w:rPr>
          <w:rFonts w:eastAsia="Times New Roman" w:cs="Calibri"/>
        </w:rPr>
        <w:t> Havlíčkově Brodě</w:t>
      </w:r>
      <w:r w:rsidR="00225B85">
        <w:rPr>
          <w:rFonts w:eastAsia="Times New Roman" w:cs="Calibri"/>
        </w:rPr>
        <w:t xml:space="preserve"> 10. 2. 2022</w:t>
      </w:r>
      <w:r w:rsidR="00C8424E">
        <w:rPr>
          <w:rFonts w:eastAsia="Times New Roman" w:cs="Calibri"/>
        </w:rPr>
        <w:t xml:space="preserve">              </w:t>
      </w:r>
      <w:r w:rsidR="00C8424E">
        <w:rPr>
          <w:rFonts w:eastAsia="Times New Roman" w:cs="Calibri"/>
        </w:rPr>
        <w:tab/>
      </w:r>
      <w:r w:rsidR="00C8424E">
        <w:rPr>
          <w:rFonts w:eastAsia="Times New Roman" w:cs="Calibri"/>
        </w:rPr>
        <w:tab/>
        <w:t xml:space="preserve">       </w:t>
      </w:r>
      <w:r w:rsidR="00C8424E">
        <w:rPr>
          <w:rFonts w:eastAsia="Times New Roman" w:cs="Calibri"/>
        </w:rPr>
        <w:tab/>
        <w:t xml:space="preserve">V Jihlavě </w:t>
      </w:r>
      <w:r w:rsidR="00225B85">
        <w:rPr>
          <w:rFonts w:eastAsia="Times New Roman" w:cs="Calibri"/>
        </w:rPr>
        <w:t>dne 9. 2. 2022</w:t>
      </w:r>
      <w:bookmarkStart w:id="0" w:name="_GoBack"/>
      <w:bookmarkEnd w:id="0"/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cs="Calibri"/>
        </w:rPr>
        <w:t>Za správce: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pověřence:</w:t>
      </w: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eastAsia="Times New Roman" w:cs="Calibri"/>
        </w:rPr>
        <w:t>_____________________________                 </w:t>
      </w:r>
      <w:r w:rsidR="00BF15D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    </w:t>
      </w:r>
      <w:r w:rsidR="00BF15DE">
        <w:rPr>
          <w:rFonts w:eastAsia="Times New Roman" w:cs="Calibri"/>
        </w:rPr>
        <w:t xml:space="preserve">        </w:t>
      </w:r>
      <w:r>
        <w:rPr>
          <w:rFonts w:eastAsia="Times New Roman" w:cs="Calibri"/>
        </w:rPr>
        <w:t>   _____________________________</w:t>
      </w:r>
    </w:p>
    <w:p w:rsidR="00C8424E" w:rsidRDefault="00FC1407" w:rsidP="00C8424E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Ing. Josef </w:t>
      </w:r>
      <w:proofErr w:type="spellStart"/>
      <w:r>
        <w:rPr>
          <w:rFonts w:eastAsia="Times New Roman" w:cs="Calibri"/>
        </w:rPr>
        <w:t>Charamza</w:t>
      </w:r>
      <w:proofErr w:type="spellEnd"/>
      <w:r>
        <w:rPr>
          <w:rFonts w:eastAsia="Times New Roman" w:cs="Calibri"/>
        </w:rPr>
        <w:t>,</w:t>
      </w:r>
      <w:r w:rsidR="00A21D04">
        <w:rPr>
          <w:rFonts w:eastAsia="Times New Roman" w:cs="Calibri"/>
        </w:rPr>
        <w:t xml:space="preserve"> ředitel</w:t>
      </w:r>
      <w:r w:rsidR="00DC15EF">
        <w:rPr>
          <w:rFonts w:eastAsia="Times New Roman" w:cs="Calibri"/>
        </w:rPr>
        <w:tab/>
      </w:r>
      <w:r w:rsidR="00DC15EF">
        <w:rPr>
          <w:rFonts w:eastAsia="Times New Roman" w:cs="Calibri"/>
        </w:rPr>
        <w:tab/>
      </w:r>
      <w:r w:rsidR="00DC15EF">
        <w:rPr>
          <w:rFonts w:eastAsia="Times New Roman" w:cs="Calibri"/>
        </w:rPr>
        <w:tab/>
      </w:r>
      <w:r w:rsidR="00BF15DE">
        <w:rPr>
          <w:rFonts w:eastAsia="Times New Roman" w:cs="Calibri"/>
        </w:rPr>
        <w:t xml:space="preserve">           </w:t>
      </w:r>
      <w:r w:rsidR="00C8424E">
        <w:rPr>
          <w:rFonts w:eastAsia="Times New Roman" w:cs="Calibri"/>
        </w:rPr>
        <w:t>Ing. Erika Šteflová, MBA, ředitelka</w:t>
      </w:r>
    </w:p>
    <w:p w:rsidR="00870D78" w:rsidRDefault="00FC1407" w:rsidP="00870D78">
      <w:pPr>
        <w:spacing w:after="0"/>
        <w:rPr>
          <w:rFonts w:eastAsia="Times New Roman" w:cs="Calibri"/>
        </w:rPr>
      </w:pPr>
      <w:r w:rsidRPr="00FC1407">
        <w:rPr>
          <w:rFonts w:eastAsia="Times New Roman" w:cs="Calibri"/>
        </w:rPr>
        <w:t>Střední průmyslová škola stavební</w:t>
      </w:r>
      <w:r w:rsidR="00573818">
        <w:rPr>
          <w:rFonts w:eastAsia="Times New Roman" w:cs="Calibri"/>
        </w:rPr>
        <w:tab/>
        <w:t xml:space="preserve">          </w:t>
      </w:r>
      <w:r w:rsidR="00870D78">
        <w:rPr>
          <w:rFonts w:eastAsia="Times New Roman" w:cs="Calibri"/>
        </w:rPr>
        <w:tab/>
        <w:t xml:space="preserve">          </w:t>
      </w:r>
      <w:r w:rsidR="00573818">
        <w:rPr>
          <w:rFonts w:eastAsia="Times New Roman" w:cs="Calibri"/>
        </w:rPr>
        <w:t xml:space="preserve"> </w:t>
      </w:r>
      <w:r w:rsidR="00C8424E">
        <w:rPr>
          <w:rFonts w:eastAsia="Times New Roman" w:cs="Calibri"/>
        </w:rPr>
        <w:t xml:space="preserve">Projektová kancelář Kraje Vysočina, </w:t>
      </w:r>
    </w:p>
    <w:p w:rsidR="00A21D04" w:rsidRDefault="00FC1407" w:rsidP="00870D78">
      <w:pPr>
        <w:spacing w:after="0"/>
        <w:rPr>
          <w:rFonts w:eastAsia="Times New Roman" w:cs="Calibri"/>
        </w:rPr>
      </w:pPr>
      <w:r w:rsidRPr="00FC1407">
        <w:rPr>
          <w:rFonts w:eastAsia="Times New Roman" w:cs="Calibri"/>
        </w:rPr>
        <w:t>akademika Stanislava Bechyně,</w:t>
      </w:r>
      <w:r>
        <w:rPr>
          <w:rFonts w:eastAsia="Times New Roman" w:cs="Calibri"/>
        </w:rPr>
        <w:tab/>
      </w:r>
      <w:r w:rsidR="00870D78">
        <w:rPr>
          <w:rFonts w:eastAsia="Times New Roman" w:cs="Calibri"/>
        </w:rPr>
        <w:tab/>
        <w:t xml:space="preserve"> </w:t>
      </w:r>
      <w:r w:rsidR="00870D78">
        <w:rPr>
          <w:rFonts w:eastAsia="Times New Roman" w:cs="Calibri"/>
        </w:rPr>
        <w:tab/>
        <w:t xml:space="preserve">          </w:t>
      </w:r>
      <w:r w:rsidR="00A21D04">
        <w:rPr>
          <w:rFonts w:eastAsia="Times New Roman" w:cs="Calibri"/>
        </w:rPr>
        <w:t xml:space="preserve"> příspěvková organizace</w:t>
      </w:r>
    </w:p>
    <w:p w:rsidR="00C8424E" w:rsidRDefault="00FC1407" w:rsidP="00DC15EF">
      <w:pPr>
        <w:rPr>
          <w:rFonts w:eastAsia="Times New Roman" w:cs="Calibri"/>
        </w:rPr>
      </w:pPr>
      <w:r w:rsidRPr="00FC1407">
        <w:rPr>
          <w:rFonts w:eastAsia="Times New Roman" w:cs="Calibri"/>
        </w:rPr>
        <w:t>Havlíčkův Brod, Jihlavská 628</w:t>
      </w:r>
    </w:p>
    <w:p w:rsidR="00042FC8" w:rsidRDefault="00042FC8" w:rsidP="00042FC8">
      <w:pPr>
        <w:rPr>
          <w:rFonts w:eastAsia="Times New Roman" w:cs="Calibri"/>
        </w:rPr>
      </w:pPr>
      <w:r w:rsidRPr="00763BBB">
        <w:rPr>
          <w:rFonts w:eastAsia="Times New Roman" w:cs="Calibri"/>
          <w:strike/>
        </w:rPr>
        <w:t xml:space="preserve">(podepsáno </w:t>
      </w:r>
      <w:proofErr w:type="gramStart"/>
      <w:r w:rsidRPr="00763BBB">
        <w:rPr>
          <w:rFonts w:eastAsia="Times New Roman" w:cs="Calibri"/>
          <w:strike/>
        </w:rPr>
        <w:t>elektronicky)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        </w:t>
      </w:r>
      <w:r w:rsidRPr="00763BBB">
        <w:rPr>
          <w:rFonts w:eastAsia="Times New Roman" w:cs="Calibri"/>
          <w:strike/>
        </w:rPr>
        <w:t>(podepsáno</w:t>
      </w:r>
      <w:proofErr w:type="gramEnd"/>
      <w:r w:rsidRPr="00763BBB">
        <w:rPr>
          <w:rFonts w:eastAsia="Times New Roman" w:cs="Calibri"/>
          <w:strike/>
        </w:rPr>
        <w:t xml:space="preserve"> elektronicky)</w:t>
      </w:r>
    </w:p>
    <w:p w:rsidR="00042FC8" w:rsidRDefault="00042FC8" w:rsidP="00DC15EF">
      <w:pPr>
        <w:rPr>
          <w:rFonts w:eastAsia="Times New Roman" w:cs="Calibri"/>
        </w:rPr>
      </w:pPr>
    </w:p>
    <w:p w:rsidR="00C8424E" w:rsidRDefault="00C8424E" w:rsidP="00C8424E">
      <w:pPr>
        <w:tabs>
          <w:tab w:val="left" w:pos="6410"/>
        </w:tabs>
        <w:rPr>
          <w:rFonts w:cs="Calibri"/>
        </w:rPr>
      </w:pPr>
      <w:r>
        <w:rPr>
          <w:rFonts w:cs="Calibri"/>
        </w:rPr>
        <w:tab/>
      </w:r>
    </w:p>
    <w:p w:rsidR="00C8424E" w:rsidRDefault="00C8424E" w:rsidP="00C8424E">
      <w:pPr>
        <w:rPr>
          <w:rFonts w:cstheme="minorHAnsi"/>
          <w:sz w:val="20"/>
          <w:szCs w:val="20"/>
        </w:rPr>
      </w:pPr>
    </w:p>
    <w:p w:rsidR="00C8424E" w:rsidRDefault="00C8424E" w:rsidP="00C8424E">
      <w:pPr>
        <w:rPr>
          <w:rFonts w:cs="Times New Roman"/>
        </w:rPr>
      </w:pPr>
    </w:p>
    <w:p w:rsidR="003019C7" w:rsidRDefault="003019C7" w:rsidP="00DA16EB">
      <w:pPr>
        <w:rPr>
          <w:rFonts w:cstheme="minorHAnsi"/>
          <w:sz w:val="20"/>
          <w:szCs w:val="20"/>
        </w:rPr>
      </w:pPr>
    </w:p>
    <w:p w:rsidR="003019C7" w:rsidRDefault="003019C7" w:rsidP="003019C7">
      <w:pPr>
        <w:rPr>
          <w:rFonts w:cstheme="minorHAnsi"/>
          <w:sz w:val="20"/>
          <w:szCs w:val="20"/>
        </w:rPr>
      </w:pPr>
    </w:p>
    <w:p w:rsidR="00632624" w:rsidRPr="00A2348D" w:rsidRDefault="00632624" w:rsidP="003A42A8">
      <w:pPr>
        <w:rPr>
          <w:rFonts w:cstheme="minorHAnsi"/>
          <w:sz w:val="20"/>
          <w:szCs w:val="20"/>
        </w:rPr>
      </w:pPr>
    </w:p>
    <w:sectPr w:rsidR="00632624" w:rsidRPr="00A2348D" w:rsidSect="00EE78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77" w:right="720" w:bottom="1702" w:left="720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67" w:rsidRDefault="009C7B67" w:rsidP="0016507F">
      <w:pPr>
        <w:spacing w:after="0" w:line="240" w:lineRule="auto"/>
      </w:pPr>
      <w:r>
        <w:separator/>
      </w:r>
    </w:p>
  </w:endnote>
  <w:endnote w:type="continuationSeparator" w:id="0">
    <w:p w:rsidR="009C7B67" w:rsidRDefault="009C7B67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225B85">
      <w:rPr>
        <w:rFonts w:cstheme="minorHAnsi"/>
        <w:noProof/>
        <w:color w:val="767171" w:themeColor="background2" w:themeShade="80"/>
      </w:rPr>
      <w:t>1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225B85">
      <w:rPr>
        <w:rFonts w:cstheme="minorHAnsi"/>
        <w:noProof/>
        <w:color w:val="767171" w:themeColor="background2" w:themeShade="80"/>
      </w:rPr>
      <w:t>5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67" w:rsidRDefault="009C7B67" w:rsidP="0016507F">
      <w:pPr>
        <w:spacing w:after="0" w:line="240" w:lineRule="auto"/>
      </w:pPr>
      <w:r>
        <w:separator/>
      </w:r>
    </w:p>
  </w:footnote>
  <w:footnote w:type="continuationSeparator" w:id="0">
    <w:p w:rsidR="009C7B67" w:rsidRDefault="009C7B67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225B85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225B85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53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225B85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5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E"/>
    <w:rsid w:val="000039A8"/>
    <w:rsid w:val="00042FC8"/>
    <w:rsid w:val="00090F0C"/>
    <w:rsid w:val="000E3339"/>
    <w:rsid w:val="00112BCC"/>
    <w:rsid w:val="00117A76"/>
    <w:rsid w:val="0016507F"/>
    <w:rsid w:val="00172FF9"/>
    <w:rsid w:val="00177C20"/>
    <w:rsid w:val="00180D3C"/>
    <w:rsid w:val="0019724D"/>
    <w:rsid w:val="001A18DC"/>
    <w:rsid w:val="001A478A"/>
    <w:rsid w:val="001D4C5C"/>
    <w:rsid w:val="00225B85"/>
    <w:rsid w:val="002444AF"/>
    <w:rsid w:val="002778F9"/>
    <w:rsid w:val="002C1F42"/>
    <w:rsid w:val="002E2A6A"/>
    <w:rsid w:val="003019C7"/>
    <w:rsid w:val="0031626D"/>
    <w:rsid w:val="00340B0E"/>
    <w:rsid w:val="0036479F"/>
    <w:rsid w:val="003A42A8"/>
    <w:rsid w:val="003C5C91"/>
    <w:rsid w:val="003F0DBE"/>
    <w:rsid w:val="0041034A"/>
    <w:rsid w:val="0043078E"/>
    <w:rsid w:val="00537116"/>
    <w:rsid w:val="005653B9"/>
    <w:rsid w:val="00573818"/>
    <w:rsid w:val="00597A93"/>
    <w:rsid w:val="005E0AEB"/>
    <w:rsid w:val="005E36D9"/>
    <w:rsid w:val="005E7187"/>
    <w:rsid w:val="005E72DA"/>
    <w:rsid w:val="00612D4F"/>
    <w:rsid w:val="00632624"/>
    <w:rsid w:val="006501D5"/>
    <w:rsid w:val="006B058B"/>
    <w:rsid w:val="007445B2"/>
    <w:rsid w:val="0076231E"/>
    <w:rsid w:val="00763BBB"/>
    <w:rsid w:val="00777C0A"/>
    <w:rsid w:val="007847CC"/>
    <w:rsid w:val="007920F3"/>
    <w:rsid w:val="00793ACE"/>
    <w:rsid w:val="00817E3D"/>
    <w:rsid w:val="00841567"/>
    <w:rsid w:val="00870D78"/>
    <w:rsid w:val="00880E1A"/>
    <w:rsid w:val="00883B81"/>
    <w:rsid w:val="00896DCE"/>
    <w:rsid w:val="008A1159"/>
    <w:rsid w:val="008C0291"/>
    <w:rsid w:val="00931B03"/>
    <w:rsid w:val="009C7B67"/>
    <w:rsid w:val="009D6198"/>
    <w:rsid w:val="00A005E1"/>
    <w:rsid w:val="00A01309"/>
    <w:rsid w:val="00A15EFA"/>
    <w:rsid w:val="00A21D04"/>
    <w:rsid w:val="00A2348D"/>
    <w:rsid w:val="00A63385"/>
    <w:rsid w:val="00A777B4"/>
    <w:rsid w:val="00A86072"/>
    <w:rsid w:val="00AA3803"/>
    <w:rsid w:val="00B109A7"/>
    <w:rsid w:val="00B62510"/>
    <w:rsid w:val="00B756E8"/>
    <w:rsid w:val="00B82081"/>
    <w:rsid w:val="00BD65E0"/>
    <w:rsid w:val="00BF15DE"/>
    <w:rsid w:val="00C8424E"/>
    <w:rsid w:val="00C869B6"/>
    <w:rsid w:val="00CA679D"/>
    <w:rsid w:val="00CD5572"/>
    <w:rsid w:val="00D270ED"/>
    <w:rsid w:val="00D32FFE"/>
    <w:rsid w:val="00D67FD8"/>
    <w:rsid w:val="00D77DF5"/>
    <w:rsid w:val="00D95A0E"/>
    <w:rsid w:val="00DA16EB"/>
    <w:rsid w:val="00DC15EF"/>
    <w:rsid w:val="00EB1D06"/>
    <w:rsid w:val="00EB6DAE"/>
    <w:rsid w:val="00EE74E0"/>
    <w:rsid w:val="00EE7884"/>
    <w:rsid w:val="00F24C0D"/>
    <w:rsid w:val="00F35B80"/>
    <w:rsid w:val="00F458E5"/>
    <w:rsid w:val="00F47FD8"/>
    <w:rsid w:val="00F52708"/>
    <w:rsid w:val="00F56A03"/>
    <w:rsid w:val="00F756FC"/>
    <w:rsid w:val="00F87F60"/>
    <w:rsid w:val="00FA332C"/>
    <w:rsid w:val="00FA63C0"/>
    <w:rsid w:val="00FC140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DEE574"/>
  <w15:chartTrackingRefBased/>
  <w15:docId w15:val="{5CD549BA-7F91-4132-B01E-8CC73E05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C8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0C04E-4B3A-43E5-A9C2-71AEDE244E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CE7F12-3421-4FA5-BF93-519FA566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1769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3</cp:revision>
  <cp:lastPrinted>2022-01-27T07:45:00Z</cp:lastPrinted>
  <dcterms:created xsi:type="dcterms:W3CDTF">2023-12-18T12:39:00Z</dcterms:created>
  <dcterms:modified xsi:type="dcterms:W3CDTF">2023-12-18T12:40:00Z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