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F3" w:rsidRDefault="00CF09F3" w:rsidP="00AA7E68">
      <w:pPr>
        <w:spacing w:after="0"/>
        <w:rPr>
          <w:rFonts w:cs="Calibri"/>
          <w:b/>
        </w:rPr>
      </w:pPr>
      <w:r w:rsidRPr="00CF09F3">
        <w:rPr>
          <w:rFonts w:cs="Calibri"/>
          <w:b/>
        </w:rPr>
        <w:t>Domov Kamélie Křižanov, příspěvková organizace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IČO: </w:t>
      </w:r>
      <w:r w:rsidR="00CF09F3" w:rsidRPr="00CF09F3">
        <w:rPr>
          <w:rFonts w:cs="Calibri"/>
        </w:rPr>
        <w:t>71184473</w:t>
      </w:r>
    </w:p>
    <w:p w:rsidR="00471FAB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sídlo: </w:t>
      </w:r>
      <w:r w:rsidR="00CF09F3" w:rsidRPr="00CF09F3">
        <w:rPr>
          <w:rFonts w:cs="Calibri"/>
        </w:rPr>
        <w:t>Zámek 1, 59451 Křižanov</w:t>
      </w:r>
    </w:p>
    <w:p w:rsidR="00CF09F3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r w:rsidR="00CF09F3" w:rsidRPr="00CF09F3">
        <w:rPr>
          <w:rFonts w:cs="Calibri"/>
        </w:rPr>
        <w:t>b7ts5dt</w:t>
      </w:r>
    </w:p>
    <w:p w:rsidR="00471FAB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zastoupený: </w:t>
      </w:r>
      <w:r w:rsidR="00810B63">
        <w:rPr>
          <w:rFonts w:cs="Calibri"/>
        </w:rPr>
        <w:t xml:space="preserve">Mgr. </w:t>
      </w:r>
      <w:r w:rsidR="00CF09F3">
        <w:rPr>
          <w:rFonts w:cs="Calibri"/>
        </w:rPr>
        <w:t>Silvií Tomšíkovou, MBA, ředitelkou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(dále jen „správce“)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a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spacing w:after="0"/>
        <w:rPr>
          <w:rFonts w:cs="Calibri"/>
          <w:b/>
        </w:rPr>
      </w:pPr>
      <w:r w:rsidRPr="00F21192">
        <w:rPr>
          <w:rFonts w:cs="Calibri"/>
          <w:b/>
        </w:rPr>
        <w:t>Projektová kancelář Kraje Vysočina, příspěvková organizace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zapsaná ve veřejném rejstříku vedeném Krajským soudem v Brně, </w:t>
      </w:r>
      <w:proofErr w:type="spellStart"/>
      <w:r w:rsidRPr="00F21192">
        <w:rPr>
          <w:rFonts w:cs="Calibri"/>
        </w:rPr>
        <w:t>sp</w:t>
      </w:r>
      <w:proofErr w:type="spellEnd"/>
      <w:r w:rsidRPr="00F21192">
        <w:rPr>
          <w:rFonts w:cs="Calibri"/>
        </w:rPr>
        <w:t xml:space="preserve">. zn. </w:t>
      </w:r>
      <w:proofErr w:type="spellStart"/>
      <w:r w:rsidRPr="00F21192">
        <w:rPr>
          <w:rFonts w:cs="Calibri"/>
        </w:rPr>
        <w:t>Pr</w:t>
      </w:r>
      <w:proofErr w:type="spellEnd"/>
      <w:r w:rsidRPr="00F21192">
        <w:rPr>
          <w:rFonts w:cs="Calibri"/>
        </w:rPr>
        <w:t xml:space="preserve"> 1932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IČO: 71294376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sídlem: Žižkova 1872/89, 586 01 Jihlava 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zastoupená: Ing. Erikou Šteflovou, MBA, ředitelkou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Style w:val="apple-converted-space"/>
          <w:rFonts w:cs="Calibri"/>
          <w:bCs/>
          <w:shd w:val="clear" w:color="auto" w:fill="FFFFFF"/>
        </w:rPr>
        <w:t>číslo účtu:</w:t>
      </w:r>
      <w:r w:rsidRPr="00F21192">
        <w:rPr>
          <w:rFonts w:cs="Calibri"/>
        </w:rPr>
        <w:t xml:space="preserve"> 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proofErr w:type="spellStart"/>
      <w:r w:rsidRPr="00F21192">
        <w:rPr>
          <w:rFonts w:cs="Calibri"/>
        </w:rPr>
        <w:t>westzkg</w:t>
      </w:r>
      <w:proofErr w:type="spellEnd"/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(dále jen „pověřenec“)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rPr>
          <w:rFonts w:cs="Calibri"/>
        </w:rPr>
      </w:pPr>
    </w:p>
    <w:p w:rsidR="00AA7E68" w:rsidRPr="00F21192" w:rsidRDefault="00AA7E68" w:rsidP="00AA7E68">
      <w:pPr>
        <w:jc w:val="both"/>
        <w:rPr>
          <w:rFonts w:cs="Calibri"/>
        </w:rPr>
      </w:pPr>
      <w:r w:rsidRPr="00F21192">
        <w:rPr>
          <w:rFonts w:cs="Calibri"/>
        </w:rPr>
        <w:t xml:space="preserve">uzavírají v souladu s čl. 37 odst. 6 nařízení Evropského parlamentu a Rady (EU) č. 2016/679 ze dne 27. dubna 2016 o ochraně fyzických osob v souvislosti se zpracováním osobních údajů a o volném pohybu těchto údajů a o zrušení směrnice 95/46/ES, ve znění pozdějších předpisů, a dle § 1746 odst. 2 zákona č. 89/2012 Sb., občanský zákoník, ve znění pozdějších předpisů, tuto </w:t>
      </w:r>
      <w:r w:rsidRPr="00F21192">
        <w:rPr>
          <w:rFonts w:cs="Calibri"/>
          <w:b/>
        </w:rPr>
        <w:t xml:space="preserve">smlouvu o poskytování služeb pověřence pro ochranu osobních údajů </w:t>
      </w:r>
      <w:r w:rsidRPr="00F21192">
        <w:rPr>
          <w:rFonts w:cs="Calibri"/>
        </w:rPr>
        <w:t>(dále jen „smlouva“):</w:t>
      </w:r>
    </w:p>
    <w:p w:rsidR="00AA7E68" w:rsidRPr="00F21192" w:rsidRDefault="00AA7E68" w:rsidP="00AA7E68">
      <w:pPr>
        <w:jc w:val="center"/>
        <w:rPr>
          <w:rFonts w:cs="Calibri"/>
          <w:b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Článek 1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Předmět smlouvy</w:t>
      </w:r>
    </w:p>
    <w:p w:rsidR="00AA7E68" w:rsidRPr="00F21192" w:rsidRDefault="00AA7E68" w:rsidP="00AA7E68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1. Pověřenec se zavazuje vykonávat pro správce funkci pověřence pro ochranu osobních údajů podle čl. 37 a násl. nařízení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:rsidR="00AA7E68" w:rsidRPr="00F21192" w:rsidRDefault="00AA7E68" w:rsidP="00AA7E68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2. S ohledem na právní formu smluvních stran a nastavení finančních toků se společným zřizovatelem smluvních stran se služba poskytuje bez úplaty.</w:t>
      </w:r>
    </w:p>
    <w:p w:rsidR="00AA7E68" w:rsidRPr="00F21192" w:rsidRDefault="00AA7E68" w:rsidP="00AA7E68">
      <w:pPr>
        <w:ind w:left="284" w:hanging="284"/>
        <w:jc w:val="both"/>
        <w:rPr>
          <w:rFonts w:cs="Calibri"/>
        </w:rPr>
      </w:pPr>
      <w:r w:rsidRPr="00F21192">
        <w:rPr>
          <w:rFonts w:cs="Calibri"/>
        </w:rPr>
        <w:t>3. Správce si je vědom, že v souladu s nařízením pověřenec nenese za zpracování osobních údajů prováděná správcem či jeho zpracovatelem odpovědnost, tj. odpovědnost v plném rozsahu za zpracování osobních údajů v souladu s právní úpravou nese pouze správce a jeho případný zpracovatel.</w:t>
      </w:r>
    </w:p>
    <w:p w:rsidR="00AA7E68" w:rsidRPr="00F21192" w:rsidRDefault="00AA7E68" w:rsidP="00AA7E68">
      <w:pPr>
        <w:ind w:left="284" w:hanging="284"/>
        <w:jc w:val="both"/>
        <w:rPr>
          <w:rFonts w:cs="Calibri"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lastRenderedPageBreak/>
        <w:t>Článek 2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pověřence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Funkci pověřence vykonává Projektová kancelář Kraje Vysočina, příspěvková organizace IČO: 71294376, se sídlem: Žižkova 1872/89, 586 01 Jihlava, zodpovědná osoba je </w:t>
      </w:r>
      <w:proofErr w:type="spellStart"/>
      <w:r w:rsidR="008B678E">
        <w:rPr>
          <w:rFonts w:cs="Calibri"/>
        </w:rPr>
        <w:t>xxxxxxxxxxxxxxxxxxxxxxxxxxxxxxxxxxxxxxxxxx</w:t>
      </w:r>
      <w:proofErr w:type="spellEnd"/>
      <w:r w:rsidRPr="00F21192">
        <w:rPr>
          <w:rFonts w:cs="Calibri"/>
        </w:rPr>
        <w:t>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dohlíží na soulad zpracování osobních údajů správcem s právní úpravou v oblasti ochrany osobních údajů a poskytuje správci na vyžádání poradenství ohledně skutečností spojených s ochranou osobních údajů. Pokud má správce zpracovatele, je povinen o tom pověřence informovat. V takovém případě dohlíží pověřenec i na soulad zpracování osobních údajů správce s právní úpravou ochrany osobních údajů zpracovatelem. Pověřenec je rovněž kontaktním místem pro subjekty osobních údajů a Úřad pro ochranu osobních údajů, IČO 70837627, Pplk. Sochora 27, 170 00 Praha 7 (dále jen „dozorový úřad“) ohledně záležitostí týkajících se zpracování osobních údajů. Přijaté žádosti či stížnosti subjektů osobních údajů předá pověřenec bez zbytečného odkladu k vyřízení správci. Správce je oprávněn řešení předmětu žádostí či stížností konzultovat s pověřencem.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provádí následující činnosti: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informace a poradenství správci a jeho zpracovateli ohledně zpracování osobních údajů správce za účelem zajištění souladu tohoto zpracování s právní úpravou oblasti ochrany osobních údajů,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prověřuje způsob zpracování osobních údajů správce správcem a jeho případným zpracovatelem a ověřuje, zda tento způsob je v souladu s nařízením a další právní úpravou v oblasti ochrany osobních údajů; v případě zjištění nesouladu bez zbytečného odkladu informuje správce, příp. rovněž jeho zpracovatele, pokud se to týká osobních údajů správce zpracovávaných rovněž zpracovatelem, a doporučí jim opatření k odstranění nesouladu,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vypracuje na vyžádání správce posudek ohledně posouzení vlivu na ochranu osobních údajů podle čl. 35 odst. 2 nařízení,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spolupracuje s dozorovým úřadem za součinnosti správce, příp. jeho zpracovatele,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působí jako kontaktní místo pro dozorový úřad v záležitostech týkajících se zpracování osobních údajů správce včetně předchozí konzultace podle čl. 36 nařízení a případné vedení konzultací v jakékoli jiné věci,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na vyžádání poradenství správci při vyřizování stížností subjektů osobních údajů a vypracování záznamů o činnostech zpracování dle čl. 30 nařízení.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se při výkonu své funkce prioritně zaměřuje na problémy v rámci zpracování, které představují vyšší riziko.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sleduje vývoj právní úpravy v oblasti ochrany osobních údajů, a pokud shledá nutnost provedení změn v rámci zpracování a ochrany osobních údajů správce, bez zbytečného odkladu o tom písemně informuje správce, příp. jeho zpracovatele.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je v rámci výkonu své funkce nezávislý, nesmí být ve střetu zájmů, co se týče předmětu jeho činnosti, a ohledně jeho úkolů mu správce ani jiná osoba nesmí ukládat žádné pokyny. Pověřenec funguje jako samostatný poradní orgán, není povinen se řídit jakýmkoliv zájmem správce (např. obchodním) a pokud zjistí, že správce či jeho zpracovatel postupuje v rozporu s požadavky právní úpravy ochrany osobních údajů, učiní v rámci svých pravomocí odpovídající kroky, zejména bezodkladně informuje správce a požádá o přijetí nápravných opatření.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nesmí plnit povinnosti, které dle závazné právní úpravy plní správce či jeho zpracovatel, zejména nesmí určovat nebo závazně schvalovat účely nebo prostředky zpracování.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Pověřenec provádí výkon činností prostřednictvím svých zaměstnanců, kteří disponují dostatečnými odbornými znalostmi a praxí v oblasti ochrany osobních údajů, jsou schopni a oprávněni plnit úkoly pověřence a nejsou ve střetu zájmů při výkonu činností souvisejících s předmětem této smlouvy.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souhlasí s tím, že správce, příp. jeho zpracovatel, zveřejní kontaktní údaje pověřence a sdělí je dozorovému úřadu.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284" w:hanging="426"/>
        <w:jc w:val="both"/>
        <w:rPr>
          <w:rFonts w:cs="Calibri"/>
        </w:rPr>
      </w:pPr>
      <w:r w:rsidRPr="00F21192">
        <w:rPr>
          <w:rFonts w:cs="Calibri"/>
        </w:rPr>
        <w:t>Pověřenec má povinnost mlčenlivosti, tj. není oprávněn skutečnosti, které získal v souvislosti s plněním předmětu této smlouvy, sdělovat jakýmkoliv způsobem neoprávněným třetím osobám. Za sdělení je považováno, i pokud se neoprávněná třetí osoba dostane k těmto informacím v důsledku nedbalosti pověřence. Povinnost mlčenlivosti je pověřenec povinen zajistit i u svých zaměstnanců, kteří budou plnit úkoly související s předmětem této smlouvy.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>Článek 3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správce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je povinen zajistit, aby byl pověřenec náležitě a včas zapojen do veškerých záležitostí souvisejících s ochranou osobních údajů správce. Za tímto účelem správce zejména: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pravidelně zve pověřence na jednání či porady, kde dochází k projednávání věcí, které mohou mít dopad na zpracování a ochranu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aktivní součinnost všech svých organizačních složek a zaměstnanců s pověřencem,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informuje pověřence o všech svých krocích a právních jednáních souvisejících se zpracováním a ochranou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pověřenci přístup ke všem dokumentům, kde se nachází osobní údaje,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 umožní pověřenci přístup do sekce GDPR svého profilu na Portále příspěvkových organizací Kraje Vysočina, s právy, které pověřenci umožní editaci zde zveřejněných dokumentů a záznamů,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 xml:space="preserve">předloží pověřenci všechny interní předpisy, kde je upravena ochrana osobních údajů, 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nově uzavíraných smluv či jiných právních jednání, které se dotýkají ochrany osobních údajů, konzultuje s pověřencem jejich obsah, za účelem zjištění, zda jsou dostatečně plněny povinnosti dle nařízení a souvisejících právních předpisů v oblasti ochrany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vytváří podmínky pro nerušený a efektivní výkon činnosti pověřence,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poskytne pověřenci dostatečný čas a zázemí k zajištění řádného výkonu jeho činnosti,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přítomnost pověřence, pokud má přijmout rozhodnutí s následky pro ochranu osobních údajů – v tomto případě poskytne pověřenci rovněž dostatečný čas a dokumenty k tomu, aby se pověřenec k příslušnému rozhodnutí mohl vyjádřit před jeho přijetím,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hrozby či samotného porušení zabezpečení ochrany osobních údajů okamžitě provede konzultaci s pověřencem za účelem přijetí opatření k nápravě,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pokud se odchýlí od názoru pověřence, podloží své rozhodnutí dostatečným písemným odůvodněním a dokumenty,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vyžádá si posudek pověřence v případě posouzení vlivu na ochranu osobních údajů dle čl. 35 nařízení,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zpracovatele zajistí, že zpracovatel bude postupovat v souladu s povinnostmi správce dle této smlouvy, včetně povinnosti aktivní součinnosti s pověřencem.</w:t>
      </w: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Správce není oprávněn sankcionovat pověřence, příp. požadovat po pověřenci náhradu škody, pokud postup pověřence byl v souladu s právními předpisy a touto smlouvou.</w:t>
      </w: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zajistí, aby všichni jeho zaměstnanci a zpracovatelé byli informování o osobě pověřence a poskytne jim jeho kontaktní údaje.</w:t>
      </w:r>
    </w:p>
    <w:p w:rsidR="00AA7E68" w:rsidRPr="00F21192" w:rsidRDefault="00AA7E68" w:rsidP="00AA7E68">
      <w:pPr>
        <w:pStyle w:val="Odstavecseseznamem"/>
        <w:spacing w:after="0"/>
        <w:ind w:left="284"/>
        <w:jc w:val="both"/>
        <w:rPr>
          <w:rFonts w:cs="Calibri"/>
        </w:rPr>
      </w:pPr>
    </w:p>
    <w:p w:rsidR="00AA7E68" w:rsidRPr="00F21192" w:rsidRDefault="00AA7E68" w:rsidP="00AA7E68">
      <w:pPr>
        <w:tabs>
          <w:tab w:val="left" w:pos="426"/>
        </w:tabs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Čl. 4</w:t>
      </w:r>
    </w:p>
    <w:p w:rsidR="00AA7E68" w:rsidRPr="00F21192" w:rsidRDefault="00AA7E68" w:rsidP="00AA7E68">
      <w:pPr>
        <w:tabs>
          <w:tab w:val="left" w:pos="426"/>
        </w:tabs>
        <w:jc w:val="center"/>
        <w:rPr>
          <w:rFonts w:cs="Calibri"/>
          <w:b/>
        </w:rPr>
      </w:pPr>
      <w:r w:rsidRPr="00F21192">
        <w:rPr>
          <w:rFonts w:cs="Calibri"/>
          <w:b/>
        </w:rPr>
        <w:t>Náhrada škody a ukončení smlouvy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Každá ze smluvních stran nese odpovědnost vůči druhé smluvní straně za porušení povinností, které jí plynou z této smlouvy či z právních předpisů. Ukončení této smlouvy nemá vliv na uplatnění nároku na náhradu škody, není-li dle platné a účinné právní úpravy tento nárok promlčen.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lze ukončit vzájemnou písemnou dohodou, v níž bude uveden den ukončení smlouvy.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je možné ukončit rovněž jednostranně písemnou výpovědí bez udání důvodu. V takovém případě činí výpovědní doba jeden měsíc následující po měsíci, kdy byla výpověď doručena druhé smluvní straně. Pouze v tomto případě ukončení smlouvy pověřenec dokončí činnosti, které nesnesou odkladu.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Pokud některá ze smluvních stran zjistí, že druhá smluvní strana neplní povinnosti dle této smlouvy, je příslušná smluvní strana oprávněna zaslat porušující smluvní straně písemnou výpověď této smlouvy s uvedením povinností, které smluvní strana neplní. V takovém případě nabývá výpověď účinnosti dnem doručení výpovědi druhé smluvní straně.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V případě ukončení smlouvy si smluvní strany předají dokumentaci, která v důsledku plnění této smlouvy vznikla a náleží příslušné smluvní straně, ale v době ukončení této smlouvy se nachází u druhé smluvní strany. Pověřenec současně předá správci písemný seznam rozpracovaných úkolů, u nichž uvede, do kdy je nutné je dokončit.</w:t>
      </w:r>
    </w:p>
    <w:p w:rsidR="00AA7E68" w:rsidRPr="00F21192" w:rsidRDefault="00AA7E68" w:rsidP="00AA7E68">
      <w:pPr>
        <w:rPr>
          <w:rFonts w:cs="Calibri"/>
          <w:b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Čl. 5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Závěrečná ujednání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Je-li v této smlouvě uveden pojem „osobní údaje správce“, míní se tím osobní údaje, které správce zpracovává.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Tato smlouva se sjednává na dobu neurčitou.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Tato smlouva je vyhotovena ve dvou stejnopisech, z nichž každá ze smluvních stran obdrží po jednom.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Práva a povinnosti smluvních stran neupravené touto smlouvou se řídí právními předpisy České republiky, zejména zákonem č. 89/2012 Sb., občanský zákoník, ve znění pozdějších předpisů. 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Tato smlouva může být měněna pouze písemnými a vzestupně číslovanými dodatky uzavřenými oběma smluvními stranami.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Smluvní strany souhlasí s uveřejněním celého obsahu této smlouvy a jejich změn, či doplnění, včetně dohod, které tuto smlouvu mění, doplňují, nahrazují či ruší, v registru smluv, vznikla-li povinnost uveřejnění dle zákona č. 340/2015 Sb., o zvláštních podmínkách účinnosti některých smluv, uveřejňování těchto smluv a o registru smluv, ve znění pozdějších předpisů. Uveřejnění provede pověřenec. 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Tato smlouva nabývá platnosti dnem jejího podpisu oběma smluvními stranami a účinnosti dnem 1. </w:t>
      </w:r>
      <w:r w:rsidR="00FC387B">
        <w:rPr>
          <w:rFonts w:eastAsia="Times New Roman" w:cs="Calibri"/>
        </w:rPr>
        <w:t>6</w:t>
      </w:r>
      <w:r w:rsidRPr="00F21192">
        <w:rPr>
          <w:rFonts w:eastAsia="Times New Roman" w:cs="Calibri"/>
        </w:rPr>
        <w:t>. 202</w:t>
      </w:r>
      <w:r w:rsidR="00FC387B">
        <w:rPr>
          <w:rFonts w:eastAsia="Times New Roman" w:cs="Calibri"/>
        </w:rPr>
        <w:t>1</w:t>
      </w:r>
      <w:r w:rsidRPr="00F21192">
        <w:rPr>
          <w:rFonts w:eastAsia="Times New Roman" w:cs="Calibri"/>
        </w:rPr>
        <w:t>, za podmínky, že dle zákona uvedeného v předchozím odstavci nevznikla povinnost uveřejnění v registru smluv. Pokud tato povinnost vznikla, nabývá tato smlouva účinnosti dnem jejího uveřejnění v registru smluv, není-li ve smlouvě sjednáno pozdější datum nabytí účinnosti.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Má-li některá ze smluvních stran zřizovatele, odpovídá za to, že jím je oprávněna k uzavření této smlouvy.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Smluvní strany po přečtení této smlouvy prohlašují, že souhlasí s jejím obsahem a že tato smlouva byla sepsána na základě jejich pravé a svobodné vůle, nikoliv v tísni, ani pod nátlakem, ani za nápadně nevýhodných podmínek, na důkaz čehož připojují podpisy svých oprávněných zástupců.</w:t>
      </w:r>
    </w:p>
    <w:p w:rsidR="00AA7E68" w:rsidRPr="00F21192" w:rsidRDefault="00AA7E68" w:rsidP="00AA7E6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AA7E68" w:rsidRPr="00F21192" w:rsidRDefault="00AA7E68" w:rsidP="00AA7E6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AA7E68" w:rsidRPr="00F21192" w:rsidRDefault="00AA7E68" w:rsidP="00AA7E6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AA7E68" w:rsidRPr="00F21192" w:rsidRDefault="008B678E" w:rsidP="00AA7E68">
      <w:pPr>
        <w:spacing w:before="100" w:after="100"/>
        <w:rPr>
          <w:rFonts w:cs="Calibri"/>
        </w:rPr>
      </w:pPr>
      <w:r>
        <w:rPr>
          <w:rFonts w:cs="Calibri"/>
        </w:rPr>
        <w:t>V Křižanově dne 2. 6. 2021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 Jihlavě dne 28. 5. 2021</w:t>
      </w:r>
      <w:bookmarkStart w:id="0" w:name="_GoBack"/>
      <w:bookmarkEnd w:id="0"/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  <w:r w:rsidRPr="00F21192">
        <w:rPr>
          <w:rFonts w:cs="Calibri"/>
        </w:rPr>
        <w:t>Za správce:</w:t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="00CF09F3">
        <w:rPr>
          <w:rFonts w:cs="Calibri"/>
        </w:rPr>
        <w:t xml:space="preserve">   </w:t>
      </w:r>
      <w:r w:rsidRPr="00F21192">
        <w:rPr>
          <w:rFonts w:cs="Calibri"/>
        </w:rPr>
        <w:t>Za pověřence:</w:t>
      </w: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  <w:r w:rsidRPr="00F21192">
        <w:rPr>
          <w:rFonts w:eastAsia="Times New Roman" w:cs="Calibri"/>
        </w:rPr>
        <w:t>_____________________________                       </w:t>
      </w:r>
      <w:r w:rsidR="00471FAB">
        <w:rPr>
          <w:rFonts w:eastAsia="Times New Roman" w:cs="Calibri"/>
        </w:rPr>
        <w:tab/>
      </w:r>
      <w:r w:rsidR="00CF09F3">
        <w:rPr>
          <w:rFonts w:eastAsia="Times New Roman" w:cs="Calibri"/>
        </w:rPr>
        <w:t xml:space="preserve">   </w:t>
      </w:r>
      <w:r w:rsidRPr="00F21192">
        <w:rPr>
          <w:rFonts w:eastAsia="Times New Roman" w:cs="Calibri"/>
        </w:rPr>
        <w:t> _____________________________</w:t>
      </w:r>
    </w:p>
    <w:p w:rsidR="00471FAB" w:rsidRDefault="00810B63" w:rsidP="00AA7E68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Mgr. </w:t>
      </w:r>
      <w:r w:rsidR="00CF09F3">
        <w:rPr>
          <w:rFonts w:eastAsia="Times New Roman" w:cs="Calibri"/>
        </w:rPr>
        <w:t>Silvie Tomšíková, MBA, ředitelka</w:t>
      </w:r>
      <w:r w:rsidR="00AA7E68" w:rsidRPr="00F21192">
        <w:rPr>
          <w:rFonts w:eastAsia="Times New Roman" w:cs="Calibri"/>
        </w:rPr>
        <w:t xml:space="preserve"> </w:t>
      </w:r>
      <w:r w:rsidR="00AA7E68" w:rsidRPr="00F21192">
        <w:rPr>
          <w:rFonts w:eastAsia="Times New Roman" w:cs="Calibri"/>
        </w:rPr>
        <w:tab/>
      </w:r>
      <w:r w:rsidR="00AA7E68" w:rsidRPr="00F21192">
        <w:rPr>
          <w:rFonts w:eastAsia="Times New Roman" w:cs="Calibri"/>
        </w:rPr>
        <w:tab/>
      </w:r>
      <w:r w:rsidR="00471FAB">
        <w:rPr>
          <w:rFonts w:eastAsia="Times New Roman" w:cs="Calibri"/>
        </w:rPr>
        <w:tab/>
      </w:r>
      <w:r w:rsidR="00CF09F3">
        <w:rPr>
          <w:rFonts w:eastAsia="Times New Roman" w:cs="Calibri"/>
        </w:rPr>
        <w:t xml:space="preserve">   </w:t>
      </w:r>
      <w:r w:rsidR="00AA7E68" w:rsidRPr="00F21192">
        <w:rPr>
          <w:rFonts w:eastAsia="Times New Roman" w:cs="Calibri"/>
        </w:rPr>
        <w:t>Ing. Erika Šteflová, MBA, ředitelka</w:t>
      </w:r>
    </w:p>
    <w:p w:rsidR="00AA7E68" w:rsidRPr="00F21192" w:rsidRDefault="00810B63" w:rsidP="00AA7E68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D</w:t>
      </w:r>
      <w:r w:rsidR="00CF09F3">
        <w:rPr>
          <w:rFonts w:eastAsia="Times New Roman" w:cs="Calibri"/>
        </w:rPr>
        <w:t xml:space="preserve">omov </w:t>
      </w:r>
      <w:r w:rsidR="00CF09F3" w:rsidRPr="00CF09F3">
        <w:rPr>
          <w:rFonts w:eastAsia="Times New Roman" w:cs="Calibri"/>
        </w:rPr>
        <w:t>Kamélie Křižanov, příspěvková organizace</w:t>
      </w:r>
      <w:r w:rsidR="00CF09F3">
        <w:rPr>
          <w:rFonts w:eastAsia="Times New Roman" w:cs="Calibri"/>
        </w:rPr>
        <w:tab/>
        <w:t xml:space="preserve">   </w:t>
      </w:r>
      <w:r w:rsidR="00AA7E68" w:rsidRPr="00F21192">
        <w:rPr>
          <w:rFonts w:eastAsia="Times New Roman" w:cs="Calibri"/>
        </w:rPr>
        <w:t>Projektová kancelář Kraje Vysočina, příspěvková organizace</w:t>
      </w:r>
    </w:p>
    <w:p w:rsidR="00AA7E68" w:rsidRPr="00F21192" w:rsidRDefault="00471FAB" w:rsidP="00AA7E68">
      <w:pPr>
        <w:jc w:val="both"/>
        <w:rPr>
          <w:rFonts w:cs="Calibri"/>
        </w:rPr>
      </w:pPr>
      <w:r>
        <w:rPr>
          <w:rFonts w:cs="Calibri"/>
        </w:rPr>
        <w:t>Podepsáno elektronicky</w:t>
      </w:r>
      <w:r>
        <w:rPr>
          <w:rFonts w:cs="Calibri"/>
        </w:rPr>
        <w:tab/>
      </w:r>
      <w:r>
        <w:rPr>
          <w:rFonts w:cs="Calibri"/>
        </w:rPr>
        <w:tab/>
      </w:r>
      <w:r w:rsidR="00CF09F3">
        <w:rPr>
          <w:rFonts w:cs="Calibri"/>
        </w:rPr>
        <w:tab/>
      </w:r>
      <w:r w:rsidR="00CF09F3">
        <w:rPr>
          <w:rFonts w:cs="Calibri"/>
        </w:rPr>
        <w:tab/>
        <w:t xml:space="preserve">   </w:t>
      </w:r>
      <w:r w:rsidR="00A67122">
        <w:rPr>
          <w:rFonts w:cs="Calibri"/>
        </w:rPr>
        <w:t>P</w:t>
      </w:r>
      <w:r>
        <w:rPr>
          <w:rFonts w:cs="Calibri"/>
        </w:rPr>
        <w:t>odepsáno elektronicky</w:t>
      </w:r>
    </w:p>
    <w:p w:rsidR="00AA7E68" w:rsidRPr="00F21192" w:rsidRDefault="00AA7E68" w:rsidP="00AA7E68">
      <w:pPr>
        <w:rPr>
          <w:rFonts w:cs="Calibri"/>
        </w:rPr>
      </w:pPr>
    </w:p>
    <w:p w:rsidR="00AA7E68" w:rsidRPr="00F21192" w:rsidRDefault="00AA7E68" w:rsidP="00AA7E68">
      <w:pPr>
        <w:tabs>
          <w:tab w:val="left" w:pos="6410"/>
        </w:tabs>
        <w:rPr>
          <w:rFonts w:cs="Calibri"/>
        </w:rPr>
      </w:pPr>
      <w:r>
        <w:rPr>
          <w:rFonts w:cs="Calibri"/>
        </w:rPr>
        <w:tab/>
      </w:r>
    </w:p>
    <w:p w:rsidR="004312CF" w:rsidRPr="00282521" w:rsidRDefault="004312CF" w:rsidP="003A42A8">
      <w:pPr>
        <w:rPr>
          <w:rFonts w:cstheme="minorHAnsi"/>
          <w:sz w:val="20"/>
          <w:szCs w:val="20"/>
        </w:rPr>
      </w:pPr>
    </w:p>
    <w:sectPr w:rsidR="004312CF" w:rsidRPr="00282521" w:rsidSect="004312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77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7B" w:rsidRDefault="00FC387B" w:rsidP="0016507F">
      <w:pPr>
        <w:spacing w:after="0" w:line="240" w:lineRule="auto"/>
      </w:pPr>
      <w:r>
        <w:separator/>
      </w:r>
    </w:p>
  </w:endnote>
  <w:endnote w:type="continuationSeparator" w:id="0">
    <w:p w:rsidR="00FC387B" w:rsidRDefault="00FC387B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19724D" w:rsidP="0019724D">
    <w:pPr>
      <w:pStyle w:val="Zpat"/>
    </w:pPr>
  </w:p>
  <w:p w:rsidR="0019724D" w:rsidRDefault="0019724D" w:rsidP="0019724D">
    <w:pPr>
      <w:pStyle w:val="Zpat"/>
      <w:ind w:firstLine="2124"/>
    </w:pPr>
  </w:p>
  <w:p w:rsidR="0019724D" w:rsidRDefault="0019724D" w:rsidP="0019724D">
    <w:pPr>
      <w:pStyle w:val="Zpat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8B678E">
      <w:rPr>
        <w:noProof/>
      </w:rPr>
      <w:t>5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B678E">
      <w:rPr>
        <w:noProof/>
      </w:rPr>
      <w:t>5</w:t>
    </w:r>
    <w:r>
      <w:rPr>
        <w:noProof/>
      </w:rPr>
      <w:fldChar w:fldCharType="end"/>
    </w:r>
  </w:p>
  <w:p w:rsidR="0019724D" w:rsidRDefault="0019724D" w:rsidP="0019724D">
    <w:pPr>
      <w:pStyle w:val="Zpat"/>
    </w:pPr>
  </w:p>
  <w:p w:rsidR="0019724D" w:rsidRDefault="0019724D" w:rsidP="004312CF">
    <w:pPr>
      <w:pStyle w:val="Zpat"/>
      <w:jc w:val="center"/>
    </w:pPr>
  </w:p>
  <w:p w:rsidR="0016507F" w:rsidRPr="0019724D" w:rsidRDefault="004312CF" w:rsidP="0019724D">
    <w:pPr>
      <w:pStyle w:val="Zpat"/>
    </w:pPr>
    <w:r>
      <w:rPr>
        <w:noProof/>
        <w:lang w:eastAsia="cs-CZ"/>
      </w:rPr>
      <w:drawing>
        <wp:inline distT="0" distB="0" distL="0" distR="0" wp14:anchorId="5B621D87" wp14:editId="459FE0E6">
          <wp:extent cx="6645910" cy="430061"/>
          <wp:effectExtent l="0" t="0" r="2540" b="8255"/>
          <wp:docPr id="2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30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EB1D06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4520546D" wp14:editId="05284BFB">
          <wp:extent cx="7055995" cy="456863"/>
          <wp:effectExtent l="0" t="0" r="0" b="63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995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7B" w:rsidRDefault="00FC387B" w:rsidP="0016507F">
      <w:pPr>
        <w:spacing w:after="0" w:line="240" w:lineRule="auto"/>
      </w:pPr>
      <w:r>
        <w:separator/>
      </w:r>
    </w:p>
  </w:footnote>
  <w:footnote w:type="continuationSeparator" w:id="0">
    <w:p w:rsidR="00FC387B" w:rsidRDefault="00FC387B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8B678E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4312CF" w:rsidP="004312CF">
    <w:pPr>
      <w:jc w:val="both"/>
      <w:rPr>
        <w:lang w:val="en-US"/>
      </w:rPr>
    </w:pPr>
    <w:r>
      <w:rPr>
        <w:noProof/>
        <w:lang w:eastAsia="cs-CZ"/>
      </w:rPr>
      <w:drawing>
        <wp:inline distT="0" distB="0" distL="0" distR="0" wp14:anchorId="3C367045" wp14:editId="0F7DDF1C">
          <wp:extent cx="3636000" cy="343313"/>
          <wp:effectExtent l="0" t="0" r="0" b="0"/>
          <wp:docPr id="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8B678E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6248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45076ECD" wp14:editId="608D01BA">
          <wp:extent cx="3636000" cy="343313"/>
          <wp:effectExtent l="0" t="0" r="0" b="0"/>
          <wp:docPr id="3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7B"/>
    <w:rsid w:val="00090F0C"/>
    <w:rsid w:val="000C2A6B"/>
    <w:rsid w:val="000E3339"/>
    <w:rsid w:val="00112BCC"/>
    <w:rsid w:val="00117A76"/>
    <w:rsid w:val="0016507F"/>
    <w:rsid w:val="00172FF9"/>
    <w:rsid w:val="00177C20"/>
    <w:rsid w:val="00180D3C"/>
    <w:rsid w:val="0019724D"/>
    <w:rsid w:val="001A18DC"/>
    <w:rsid w:val="001A478A"/>
    <w:rsid w:val="001D4C5C"/>
    <w:rsid w:val="00267131"/>
    <w:rsid w:val="002778F9"/>
    <w:rsid w:val="00282521"/>
    <w:rsid w:val="002C1F42"/>
    <w:rsid w:val="003144F4"/>
    <w:rsid w:val="0031626D"/>
    <w:rsid w:val="00340B0E"/>
    <w:rsid w:val="0035457E"/>
    <w:rsid w:val="00375240"/>
    <w:rsid w:val="003A42A8"/>
    <w:rsid w:val="0043078E"/>
    <w:rsid w:val="004312CF"/>
    <w:rsid w:val="00471FAB"/>
    <w:rsid w:val="00537116"/>
    <w:rsid w:val="00597A93"/>
    <w:rsid w:val="005E0AEB"/>
    <w:rsid w:val="005E7187"/>
    <w:rsid w:val="005E72DA"/>
    <w:rsid w:val="00612D4F"/>
    <w:rsid w:val="00694143"/>
    <w:rsid w:val="006B058B"/>
    <w:rsid w:val="007445B2"/>
    <w:rsid w:val="00777C0A"/>
    <w:rsid w:val="00793ACE"/>
    <w:rsid w:val="007F33C7"/>
    <w:rsid w:val="00810B63"/>
    <w:rsid w:val="00817E3D"/>
    <w:rsid w:val="00841567"/>
    <w:rsid w:val="00880E1A"/>
    <w:rsid w:val="00883B81"/>
    <w:rsid w:val="00896DCE"/>
    <w:rsid w:val="008A1159"/>
    <w:rsid w:val="008B678E"/>
    <w:rsid w:val="008C4F91"/>
    <w:rsid w:val="00931B03"/>
    <w:rsid w:val="009D6198"/>
    <w:rsid w:val="00A005E1"/>
    <w:rsid w:val="00A15EFA"/>
    <w:rsid w:val="00A67122"/>
    <w:rsid w:val="00A777B4"/>
    <w:rsid w:val="00AA3803"/>
    <w:rsid w:val="00AA50D4"/>
    <w:rsid w:val="00AA7E68"/>
    <w:rsid w:val="00AD3B33"/>
    <w:rsid w:val="00AD5203"/>
    <w:rsid w:val="00B109A7"/>
    <w:rsid w:val="00B46B34"/>
    <w:rsid w:val="00B62510"/>
    <w:rsid w:val="00C869B6"/>
    <w:rsid w:val="00CA679D"/>
    <w:rsid w:val="00CF09F3"/>
    <w:rsid w:val="00D270ED"/>
    <w:rsid w:val="00D77DF5"/>
    <w:rsid w:val="00D95A0E"/>
    <w:rsid w:val="00EB1D06"/>
    <w:rsid w:val="00EB6DAE"/>
    <w:rsid w:val="00EE74E0"/>
    <w:rsid w:val="00F24C0D"/>
    <w:rsid w:val="00F458E5"/>
    <w:rsid w:val="00F47FD8"/>
    <w:rsid w:val="00F52708"/>
    <w:rsid w:val="00F56A03"/>
    <w:rsid w:val="00F756FC"/>
    <w:rsid w:val="00F87F60"/>
    <w:rsid w:val="00FC387B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18DB0A"/>
  <w15:chartTrackingRefBased/>
  <w15:docId w15:val="{9AD58550-3898-4B4A-BEFE-6608441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Odstavecseseznamem">
    <w:name w:val="List Paragraph"/>
    <w:basedOn w:val="Normln"/>
    <w:link w:val="OdstavecseseznamemChar"/>
    <w:uiPriority w:val="34"/>
    <w:qFormat/>
    <w:rsid w:val="00AA7E6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A7E6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AA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0C04E-4B3A-43E5-A9C2-71AEDE244E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A6AA77-137D-4392-AFAE-300068A7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1744</Words>
  <Characters>10294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Hartmanová Jana</dc:creator>
  <cp:keywords/>
  <dc:description/>
  <cp:lastModifiedBy>Lédlová Lenka</cp:lastModifiedBy>
  <cp:revision>3</cp:revision>
  <cp:lastPrinted>2021-05-27T11:54:00Z</cp:lastPrinted>
  <dcterms:created xsi:type="dcterms:W3CDTF">2023-12-18T12:45:00Z</dcterms:created>
  <dcterms:modified xsi:type="dcterms:W3CDTF">2023-12-18T12:46:00Z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