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8371" w:tblpY="781"/>
        <w:tblOverlap w:val="never"/>
        <w:tblW w:w="2727" w:type="dxa"/>
        <w:tblLook w:val="04A0" w:firstRow="1" w:lastRow="0" w:firstColumn="1" w:lastColumn="0" w:noHBand="0" w:noVBand="1"/>
      </w:tblPr>
      <w:tblGrid>
        <w:gridCol w:w="5134"/>
      </w:tblGrid>
      <w:tr w:rsidR="00816D3E" w14:paraId="2C94DD98" w14:textId="77777777" w:rsidTr="00816D3E">
        <w:trPr>
          <w:cantSplit/>
          <w:trHeight w:val="270"/>
        </w:trPr>
        <w:tc>
          <w:tcPr>
            <w:tcW w:w="2727" w:type="dxa"/>
            <w:shd w:val="clear" w:color="auto" w:fill="auto"/>
          </w:tcPr>
          <w:p w14:paraId="489C6291" w14:textId="77777777" w:rsidR="00816D3E" w:rsidRPr="003D4A87" w:rsidRDefault="00816D3E" w:rsidP="00816D3E">
            <w:pPr>
              <w:pStyle w:val="PID"/>
              <w:framePr w:hSpace="0" w:wrap="auto" w:vAnchor="margin" w:hAnchor="text" w:xAlign="left" w:yAlign="inline"/>
              <w:rPr>
                <w:rStyle w:val="BezmezerChar"/>
              </w:rPr>
            </w:pPr>
            <w:r>
              <w:t>*</w:t>
            </w:r>
            <w:r>
              <w:fldChar w:fldCharType="begin">
                <w:ffData>
                  <w:name w:val="ssl_pid"/>
                  <w:enabled/>
                  <w:calcOnExit w:val="0"/>
                  <w:statusText w:type="text" w:val="MSWField: id_spisu_car"/>
                  <w:textInput>
                    <w:default w:val="MHMPXPNCBA22"/>
                  </w:textInput>
                </w:ffData>
              </w:fldChar>
            </w:r>
            <w:bookmarkStart w:id="0" w:name="ssl_pid"/>
            <w:r>
              <w:instrText xml:space="preserve"> FORMTEXT </w:instrText>
            </w:r>
            <w:r>
              <w:fldChar w:fldCharType="separate"/>
            </w:r>
            <w:r>
              <w:rPr>
                <w:noProof/>
              </w:rPr>
              <w:t>MHMPXPNCBA22</w:t>
            </w:r>
            <w:r>
              <w:fldChar w:fldCharType="end"/>
            </w:r>
            <w:bookmarkEnd w:id="0"/>
            <w:r>
              <w:t>*</w:t>
            </w:r>
          </w:p>
          <w:p w14:paraId="327E266C" w14:textId="77777777" w:rsidR="00816D3E" w:rsidRPr="009E019D" w:rsidRDefault="00816D3E" w:rsidP="00816D3E">
            <w:pPr>
              <w:pStyle w:val="PID2"/>
              <w:framePr w:hSpace="0" w:wrap="auto" w:vAnchor="margin" w:hAnchor="text" w:xAlign="left" w:yAlign="inline"/>
              <w:suppressOverlap w:val="0"/>
              <w:rPr>
                <w:rFonts w:cs="Times New Roman"/>
                <w:szCs w:val="22"/>
              </w:rPr>
            </w:pPr>
            <w:r w:rsidRPr="009E019D">
              <w:rPr>
                <w:rFonts w:cs="Times New Roman"/>
                <w:szCs w:val="22"/>
              </w:rPr>
              <w:fldChar w:fldCharType="begin">
                <w:ffData>
                  <w:name w:val="ssl_pid1"/>
                  <w:enabled/>
                  <w:calcOnExit w:val="0"/>
                  <w:statusText w:type="text" w:val="MSWField: id_spisu"/>
                  <w:textInput>
                    <w:default w:val="MHMPXPNCBA22"/>
                  </w:textInput>
                </w:ffData>
              </w:fldChar>
            </w:r>
            <w:bookmarkStart w:id="1" w:name="ssl_pid1"/>
            <w:r w:rsidRPr="009E019D">
              <w:rPr>
                <w:rFonts w:cs="Times New Roman"/>
                <w:szCs w:val="22"/>
              </w:rPr>
              <w:instrText xml:space="preserve"> FORMTEXT </w:instrText>
            </w:r>
            <w:r w:rsidRPr="009E019D">
              <w:rPr>
                <w:rFonts w:cs="Times New Roman"/>
                <w:szCs w:val="22"/>
              </w:rPr>
            </w:r>
            <w:r w:rsidRPr="009E019D">
              <w:rPr>
                <w:rFonts w:cs="Times New Roman"/>
                <w:szCs w:val="22"/>
              </w:rPr>
              <w:fldChar w:fldCharType="separate"/>
            </w:r>
            <w:r w:rsidRPr="009E019D">
              <w:rPr>
                <w:rFonts w:cs="Times New Roman"/>
                <w:noProof/>
                <w:szCs w:val="22"/>
              </w:rPr>
              <w:t>MHMPXPNCBA22</w:t>
            </w:r>
            <w:r w:rsidRPr="009E019D">
              <w:rPr>
                <w:rFonts w:cs="Times New Roman"/>
                <w:szCs w:val="22"/>
              </w:rPr>
              <w:fldChar w:fldCharType="end"/>
            </w:r>
            <w:bookmarkEnd w:id="1"/>
          </w:p>
        </w:tc>
      </w:tr>
    </w:tbl>
    <w:p w14:paraId="5B0CAA0A" w14:textId="731B0360" w:rsidR="00354425" w:rsidRDefault="00DB1741" w:rsidP="00816D3E">
      <w:pPr>
        <w:spacing w:after="0" w:line="259" w:lineRule="auto"/>
        <w:ind w:left="40" w:right="0" w:firstLine="0"/>
        <w:jc w:val="left"/>
      </w:pPr>
      <w:r>
        <w:rPr>
          <w:color w:val="666666"/>
          <w:sz w:val="20"/>
        </w:rPr>
        <w:t xml:space="preserve"> </w:t>
      </w:r>
    </w:p>
    <w:p w14:paraId="0FE42E5B" w14:textId="77777777" w:rsidR="00354425" w:rsidRDefault="00DB1741">
      <w:pPr>
        <w:spacing w:after="95" w:line="259" w:lineRule="auto"/>
        <w:ind w:left="0" w:right="5" w:firstLine="0"/>
        <w:jc w:val="right"/>
      </w:pPr>
      <w:r>
        <w:rPr>
          <w:sz w:val="20"/>
        </w:rPr>
        <w:t xml:space="preserve">Stejnopis č.: </w:t>
      </w:r>
    </w:p>
    <w:p w14:paraId="3FD3220A" w14:textId="0F724D6F" w:rsidR="00354425" w:rsidRPr="00816D3E" w:rsidRDefault="00DB1741">
      <w:pPr>
        <w:spacing w:after="0" w:line="259" w:lineRule="auto"/>
        <w:ind w:left="0" w:right="4" w:firstLine="0"/>
        <w:jc w:val="center"/>
        <w:rPr>
          <w:sz w:val="40"/>
          <w:szCs w:val="40"/>
        </w:rPr>
      </w:pPr>
      <w:r w:rsidRPr="00816D3E">
        <w:rPr>
          <w:b/>
          <w:color w:val="000000"/>
          <w:sz w:val="40"/>
          <w:szCs w:val="40"/>
        </w:rPr>
        <w:t xml:space="preserve">DODATEK </w:t>
      </w:r>
      <w:r w:rsidR="00816D3E" w:rsidRPr="00816D3E">
        <w:rPr>
          <w:b/>
          <w:color w:val="000000"/>
          <w:sz w:val="40"/>
          <w:szCs w:val="40"/>
        </w:rPr>
        <w:t>č</w:t>
      </w:r>
      <w:r w:rsidRPr="00816D3E">
        <w:rPr>
          <w:b/>
          <w:color w:val="000000"/>
          <w:sz w:val="40"/>
          <w:szCs w:val="40"/>
        </w:rPr>
        <w:t xml:space="preserve">. 1  </w:t>
      </w:r>
    </w:p>
    <w:p w14:paraId="17A6AFD6" w14:textId="61252FC2" w:rsidR="00E00E69" w:rsidRDefault="006F78AB" w:rsidP="006F78AB">
      <w:pPr>
        <w:spacing w:after="0" w:line="276" w:lineRule="auto"/>
        <w:ind w:left="381" w:right="261" w:firstLine="0"/>
        <w:jc w:val="center"/>
        <w:rPr>
          <w:b/>
          <w:color w:val="000000"/>
          <w:sz w:val="28"/>
        </w:rPr>
      </w:pPr>
      <w:r>
        <w:rPr>
          <w:b/>
          <w:color w:val="000000"/>
          <w:sz w:val="28"/>
        </w:rPr>
        <w:t>k</w:t>
      </w:r>
    </w:p>
    <w:p w14:paraId="21CDB054" w14:textId="3F151506" w:rsidR="00354425" w:rsidRPr="00E00E69" w:rsidRDefault="00B23056" w:rsidP="006F78AB">
      <w:pPr>
        <w:spacing w:after="0" w:line="276" w:lineRule="auto"/>
        <w:ind w:left="381" w:right="261" w:firstLine="0"/>
        <w:jc w:val="center"/>
        <w:rPr>
          <w:sz w:val="40"/>
          <w:szCs w:val="40"/>
        </w:rPr>
      </w:pPr>
      <w:r>
        <w:rPr>
          <w:b/>
          <w:color w:val="000000"/>
          <w:sz w:val="40"/>
          <w:szCs w:val="40"/>
        </w:rPr>
        <w:t xml:space="preserve">RÁMCOVÉ </w:t>
      </w:r>
      <w:r w:rsidR="006F78AB" w:rsidRPr="00E00E69">
        <w:rPr>
          <w:b/>
          <w:color w:val="000000"/>
          <w:sz w:val="40"/>
          <w:szCs w:val="40"/>
        </w:rPr>
        <w:t>SMLOUVĚ O DÍLO</w:t>
      </w:r>
      <w:r w:rsidR="00DB1741" w:rsidRPr="00E00E69">
        <w:rPr>
          <w:b/>
          <w:color w:val="000000"/>
          <w:sz w:val="40"/>
          <w:szCs w:val="40"/>
        </w:rPr>
        <w:t xml:space="preserve"> </w:t>
      </w:r>
    </w:p>
    <w:p w14:paraId="6AF2400F" w14:textId="686DB562" w:rsidR="00354425" w:rsidRPr="00816D3E" w:rsidRDefault="00DB1741">
      <w:pPr>
        <w:spacing w:after="21" w:line="259" w:lineRule="auto"/>
        <w:ind w:left="0" w:firstLine="0"/>
        <w:jc w:val="center"/>
        <w:rPr>
          <w:b/>
          <w:bCs/>
          <w:sz w:val="28"/>
          <w:szCs w:val="24"/>
        </w:rPr>
      </w:pPr>
      <w:r w:rsidRPr="00816D3E">
        <w:rPr>
          <w:b/>
          <w:bCs/>
          <w:sz w:val="28"/>
          <w:szCs w:val="24"/>
        </w:rPr>
        <w:t>č. DIL/</w:t>
      </w:r>
      <w:r w:rsidR="006F78AB" w:rsidRPr="00816D3E">
        <w:rPr>
          <w:b/>
          <w:bCs/>
          <w:sz w:val="28"/>
          <w:szCs w:val="24"/>
        </w:rPr>
        <w:t>2</w:t>
      </w:r>
      <w:r w:rsidR="00B23056" w:rsidRPr="00816D3E">
        <w:rPr>
          <w:b/>
          <w:bCs/>
          <w:sz w:val="28"/>
          <w:szCs w:val="24"/>
        </w:rPr>
        <w:t>9</w:t>
      </w:r>
      <w:r w:rsidRPr="00816D3E">
        <w:rPr>
          <w:b/>
          <w:bCs/>
          <w:sz w:val="28"/>
          <w:szCs w:val="24"/>
        </w:rPr>
        <w:t>/0</w:t>
      </w:r>
      <w:r w:rsidR="00B23056" w:rsidRPr="00816D3E">
        <w:rPr>
          <w:b/>
          <w:bCs/>
          <w:sz w:val="28"/>
          <w:szCs w:val="24"/>
        </w:rPr>
        <w:t>3</w:t>
      </w:r>
      <w:r w:rsidRPr="00816D3E">
        <w:rPr>
          <w:b/>
          <w:bCs/>
          <w:sz w:val="28"/>
          <w:szCs w:val="24"/>
        </w:rPr>
        <w:t>/</w:t>
      </w:r>
      <w:r w:rsidRPr="00816D3E">
        <w:rPr>
          <w:rFonts w:ascii="Times New Roman" w:eastAsia="Times New Roman" w:hAnsi="Times New Roman" w:cs="Times New Roman"/>
          <w:b/>
          <w:bCs/>
          <w:sz w:val="22"/>
          <w:szCs w:val="24"/>
        </w:rPr>
        <w:t xml:space="preserve"> </w:t>
      </w:r>
      <w:r w:rsidRPr="00816D3E">
        <w:rPr>
          <w:b/>
          <w:bCs/>
          <w:sz w:val="28"/>
          <w:szCs w:val="24"/>
        </w:rPr>
        <w:t>0</w:t>
      </w:r>
      <w:r w:rsidR="006F78AB" w:rsidRPr="00816D3E">
        <w:rPr>
          <w:b/>
          <w:bCs/>
          <w:sz w:val="28"/>
          <w:szCs w:val="24"/>
        </w:rPr>
        <w:t>0</w:t>
      </w:r>
      <w:r w:rsidR="00B23056" w:rsidRPr="00816D3E">
        <w:rPr>
          <w:b/>
          <w:bCs/>
          <w:sz w:val="28"/>
          <w:szCs w:val="24"/>
        </w:rPr>
        <w:t>4363</w:t>
      </w:r>
      <w:r w:rsidRPr="00816D3E">
        <w:rPr>
          <w:b/>
          <w:bCs/>
          <w:sz w:val="28"/>
          <w:szCs w:val="24"/>
        </w:rPr>
        <w:t>/202</w:t>
      </w:r>
      <w:r w:rsidR="00B23056" w:rsidRPr="00816D3E">
        <w:rPr>
          <w:b/>
          <w:bCs/>
          <w:sz w:val="28"/>
          <w:szCs w:val="24"/>
        </w:rPr>
        <w:t>0</w:t>
      </w:r>
    </w:p>
    <w:p w14:paraId="6A906C78" w14:textId="77777777" w:rsidR="00354425" w:rsidRDefault="00DB1741">
      <w:pPr>
        <w:spacing w:line="250" w:lineRule="auto"/>
        <w:jc w:val="center"/>
      </w:pPr>
      <w:r>
        <w:t>(dále jen „</w:t>
      </w:r>
      <w:r>
        <w:rPr>
          <w:b/>
        </w:rPr>
        <w:t>Dodatek</w:t>
      </w:r>
      <w:r>
        <w:t xml:space="preserve">“) </w:t>
      </w:r>
    </w:p>
    <w:p w14:paraId="419E1C86" w14:textId="77777777" w:rsidR="00354425" w:rsidRDefault="00DB1741">
      <w:pPr>
        <w:spacing w:line="250" w:lineRule="auto"/>
        <w:ind w:right="0"/>
        <w:jc w:val="center"/>
      </w:pPr>
      <w:r>
        <w:t xml:space="preserve">který dnešního dne, měsíce a roku ve smyslu ustanovení § 2586 a násl. zák. č. 89/2012 Sb., občanský zákoník, ve znění pozdějších předpisů, uzavřely tyto: </w:t>
      </w:r>
    </w:p>
    <w:p w14:paraId="1942FA68" w14:textId="77777777" w:rsidR="00A807AD" w:rsidRDefault="00A807AD">
      <w:pPr>
        <w:spacing w:line="250" w:lineRule="auto"/>
        <w:ind w:right="4"/>
        <w:jc w:val="center"/>
      </w:pPr>
    </w:p>
    <w:p w14:paraId="7B5567D7" w14:textId="083D097A" w:rsidR="00354425" w:rsidRDefault="00DB1741">
      <w:pPr>
        <w:spacing w:line="250" w:lineRule="auto"/>
        <w:ind w:right="4"/>
        <w:jc w:val="center"/>
      </w:pPr>
      <w:r>
        <w:t>Smluvní strany</w:t>
      </w:r>
    </w:p>
    <w:p w14:paraId="167DA8C8" w14:textId="77777777" w:rsidR="00354425" w:rsidRDefault="00DB1741">
      <w:pPr>
        <w:spacing w:after="0" w:line="259" w:lineRule="auto"/>
        <w:ind w:left="50" w:right="0" w:firstLine="0"/>
        <w:jc w:val="center"/>
      </w:pPr>
      <w:r>
        <w:t xml:space="preserve"> </w:t>
      </w:r>
    </w:p>
    <w:p w14:paraId="1AFB5EA1" w14:textId="77777777" w:rsidR="00816D3E" w:rsidRDefault="00DB1741">
      <w:pPr>
        <w:spacing w:after="2" w:line="256" w:lineRule="auto"/>
        <w:ind w:left="-5" w:right="1030"/>
        <w:jc w:val="left"/>
      </w:pPr>
      <w:r>
        <w:rPr>
          <w:b/>
        </w:rPr>
        <w:t xml:space="preserve">Hlavní město Praha </w:t>
      </w:r>
    </w:p>
    <w:p w14:paraId="6DC0B5EE" w14:textId="04931E3B" w:rsidR="00354425" w:rsidRDefault="00354425">
      <w:pPr>
        <w:spacing w:after="2" w:line="256" w:lineRule="auto"/>
        <w:ind w:left="-5" w:right="1030"/>
        <w:jc w:val="left"/>
      </w:pPr>
    </w:p>
    <w:p w14:paraId="15104AEC" w14:textId="77777777" w:rsidR="00354425" w:rsidRDefault="00DB1741">
      <w:pPr>
        <w:ind w:left="-5" w:right="0"/>
      </w:pPr>
      <w:r>
        <w:t xml:space="preserve">se sídlem: Mariánské nám. 2/2, 110 01 Praha 1 </w:t>
      </w:r>
    </w:p>
    <w:p w14:paraId="704019F5" w14:textId="77777777" w:rsidR="00A807AD" w:rsidRDefault="00DB1741">
      <w:pPr>
        <w:ind w:left="-5" w:right="7327"/>
      </w:pPr>
      <w:r>
        <w:t xml:space="preserve">IČO: 00064581 </w:t>
      </w:r>
    </w:p>
    <w:p w14:paraId="2D170319" w14:textId="32012047" w:rsidR="00354425" w:rsidRDefault="00DB1741">
      <w:pPr>
        <w:ind w:left="-5" w:right="7327"/>
      </w:pPr>
      <w:r>
        <w:t xml:space="preserve">DIČ: CZ00064581 </w:t>
      </w:r>
    </w:p>
    <w:p w14:paraId="66DE94DF" w14:textId="7232A999" w:rsidR="00354425" w:rsidRDefault="00DB1741">
      <w:pPr>
        <w:ind w:left="-5" w:right="0"/>
      </w:pPr>
      <w:r>
        <w:t xml:space="preserve">zastoupené: </w:t>
      </w:r>
      <w:proofErr w:type="spellStart"/>
      <w:r w:rsidR="00215818">
        <w:t>xxxxx</w:t>
      </w:r>
      <w:proofErr w:type="spellEnd"/>
      <w:r w:rsidR="00B23056">
        <w:t xml:space="preserve">, ředitelem odboru dopravy </w:t>
      </w:r>
    </w:p>
    <w:p w14:paraId="4C5EBB90" w14:textId="09806278" w:rsidR="006F78AB" w:rsidRDefault="00DB1741">
      <w:pPr>
        <w:ind w:left="-5" w:right="2135"/>
      </w:pPr>
      <w:r>
        <w:t>bankovní spojení: PPF banka a.s.</w:t>
      </w:r>
      <w:r w:rsidR="00B23056">
        <w:t>, Evropská 2690/17, 160 41 Praha 6</w:t>
      </w:r>
    </w:p>
    <w:p w14:paraId="04021119" w14:textId="77C778E9" w:rsidR="00354425" w:rsidRDefault="00DB1741">
      <w:pPr>
        <w:ind w:left="-5" w:right="2135"/>
      </w:pPr>
      <w:r>
        <w:t xml:space="preserve">účtu: </w:t>
      </w:r>
      <w:r w:rsidRPr="00B23056">
        <w:t>2</w:t>
      </w:r>
      <w:r w:rsidR="00B23056" w:rsidRPr="00B23056">
        <w:t>7</w:t>
      </w:r>
      <w:r w:rsidRPr="00B23056">
        <w:t>-5157998/6000</w:t>
      </w:r>
      <w:r>
        <w:t xml:space="preserve"> </w:t>
      </w:r>
    </w:p>
    <w:p w14:paraId="3ADDF203" w14:textId="78702680" w:rsidR="00354425" w:rsidRDefault="00DB1741" w:rsidP="00A807AD">
      <w:pPr>
        <w:spacing w:after="0" w:line="259" w:lineRule="auto"/>
        <w:ind w:left="0" w:right="0" w:firstLine="0"/>
        <w:jc w:val="left"/>
      </w:pPr>
      <w:r>
        <w:t xml:space="preserve">na straně jedné (dále jen pod označením </w:t>
      </w:r>
      <w:r>
        <w:rPr>
          <w:b/>
          <w:i/>
        </w:rPr>
        <w:t xml:space="preserve">„objednatel“ </w:t>
      </w:r>
      <w:r>
        <w:t xml:space="preserve">nebo </w:t>
      </w:r>
      <w:r>
        <w:rPr>
          <w:b/>
          <w:i/>
        </w:rPr>
        <w:t>„HMP</w:t>
      </w:r>
      <w:r>
        <w:rPr>
          <w:i/>
        </w:rPr>
        <w:t>“</w:t>
      </w:r>
      <w:r>
        <w:t xml:space="preserve">) </w:t>
      </w:r>
    </w:p>
    <w:p w14:paraId="6F9A2E29" w14:textId="77777777" w:rsidR="00354425" w:rsidRDefault="00DB1741">
      <w:pPr>
        <w:spacing w:after="0" w:line="259" w:lineRule="auto"/>
        <w:ind w:left="0" w:right="0" w:firstLine="0"/>
        <w:jc w:val="left"/>
      </w:pPr>
      <w:r>
        <w:t xml:space="preserve"> </w:t>
      </w:r>
    </w:p>
    <w:p w14:paraId="08E9C945" w14:textId="77777777" w:rsidR="00354425" w:rsidRDefault="00DB1741">
      <w:pPr>
        <w:spacing w:after="0" w:line="259" w:lineRule="auto"/>
        <w:ind w:left="-5" w:right="0"/>
        <w:jc w:val="left"/>
      </w:pPr>
      <w:r>
        <w:t xml:space="preserve">a </w:t>
      </w:r>
    </w:p>
    <w:p w14:paraId="0BDAFE9D" w14:textId="77777777" w:rsidR="00354425" w:rsidRDefault="00DB1741">
      <w:pPr>
        <w:spacing w:after="0" w:line="259" w:lineRule="auto"/>
        <w:ind w:left="0" w:right="0" w:firstLine="0"/>
        <w:jc w:val="left"/>
      </w:pPr>
      <w:r>
        <w:t xml:space="preserve"> </w:t>
      </w:r>
    </w:p>
    <w:p w14:paraId="6B667665" w14:textId="77777777" w:rsidR="00354425" w:rsidRDefault="00DB1741">
      <w:pPr>
        <w:ind w:left="-5" w:right="5039"/>
      </w:pPr>
      <w:r>
        <w:rPr>
          <w:b/>
        </w:rPr>
        <w:t xml:space="preserve">Technologie hlavního města Prahy, a.s. </w:t>
      </w:r>
      <w:r>
        <w:t xml:space="preserve">se sídlem: Dělnická 213/12, 170 00 Praha 7 </w:t>
      </w:r>
    </w:p>
    <w:p w14:paraId="5E5ED455" w14:textId="77777777" w:rsidR="00B23056" w:rsidRDefault="00DB1741">
      <w:pPr>
        <w:spacing w:after="0" w:line="240" w:lineRule="auto"/>
        <w:ind w:left="0" w:right="437" w:firstLine="0"/>
        <w:jc w:val="left"/>
      </w:pPr>
      <w:r>
        <w:t xml:space="preserve">IČO: 25672541 </w:t>
      </w:r>
    </w:p>
    <w:p w14:paraId="07FDC784" w14:textId="77777777" w:rsidR="00B23056" w:rsidRDefault="00DB1741">
      <w:pPr>
        <w:spacing w:after="0" w:line="240" w:lineRule="auto"/>
        <w:ind w:left="0" w:right="437" w:firstLine="0"/>
        <w:jc w:val="left"/>
      </w:pPr>
      <w:r>
        <w:t xml:space="preserve">DIČ: CZ25672541 </w:t>
      </w:r>
    </w:p>
    <w:p w14:paraId="43712F6D" w14:textId="7704A368" w:rsidR="00A807AD" w:rsidRDefault="00DB1741">
      <w:pPr>
        <w:spacing w:after="0" w:line="240" w:lineRule="auto"/>
        <w:ind w:left="0" w:right="437" w:firstLine="0"/>
        <w:jc w:val="left"/>
      </w:pPr>
      <w:r>
        <w:t xml:space="preserve">společnost zapsaná v obchodním rejstříku vedeném Městským soudem v Praze pod </w:t>
      </w:r>
      <w:proofErr w:type="spellStart"/>
      <w:r>
        <w:t>sp</w:t>
      </w:r>
      <w:proofErr w:type="spellEnd"/>
      <w:r>
        <w:t xml:space="preserve">. zn. B 5402 </w:t>
      </w:r>
    </w:p>
    <w:p w14:paraId="5E81D183" w14:textId="354F8068" w:rsidR="00A807AD" w:rsidRDefault="00DB1741">
      <w:pPr>
        <w:spacing w:after="0" w:line="240" w:lineRule="auto"/>
        <w:ind w:left="0" w:right="437" w:firstLine="0"/>
        <w:jc w:val="left"/>
      </w:pPr>
      <w:r>
        <w:t xml:space="preserve">zastoupena: </w:t>
      </w:r>
      <w:r w:rsidR="00A807AD">
        <w:tab/>
      </w:r>
      <w:r>
        <w:t xml:space="preserve">Tomášem Jílkem, předsedou představenstva společnosti </w:t>
      </w:r>
    </w:p>
    <w:p w14:paraId="4EDA9133" w14:textId="77777777" w:rsidR="00A807AD" w:rsidRDefault="00DB1741" w:rsidP="00A807AD">
      <w:pPr>
        <w:spacing w:after="0" w:line="240" w:lineRule="auto"/>
        <w:ind w:left="708" w:right="437" w:firstLine="708"/>
        <w:jc w:val="left"/>
      </w:pPr>
      <w:r>
        <w:t>Ing. Tomášem Novotným, místopředsedou představenstva společnosti</w:t>
      </w:r>
      <w:r w:rsidR="00A807AD">
        <w:t xml:space="preserve"> </w:t>
      </w:r>
    </w:p>
    <w:p w14:paraId="54D8E4B8" w14:textId="4BA332A4" w:rsidR="00354425" w:rsidRDefault="00DB1741" w:rsidP="00A807AD">
      <w:pPr>
        <w:spacing w:after="0" w:line="240" w:lineRule="auto"/>
        <w:ind w:right="437"/>
        <w:jc w:val="left"/>
      </w:pPr>
      <w:r>
        <w:t xml:space="preserve">bankovní spojení: Komerční banka, a.s. </w:t>
      </w:r>
    </w:p>
    <w:p w14:paraId="1FCB5391" w14:textId="77777777" w:rsidR="00354425" w:rsidRDefault="00DB1741">
      <w:pPr>
        <w:pStyle w:val="Nadpis1"/>
        <w:ind w:left="-5"/>
        <w:jc w:val="left"/>
      </w:pPr>
      <w:r>
        <w:rPr>
          <w:b w:val="0"/>
        </w:rPr>
        <w:t xml:space="preserve">číslo účtu: 115-5836140217/0100 </w:t>
      </w:r>
    </w:p>
    <w:p w14:paraId="0A60C5A3" w14:textId="77777777" w:rsidR="00A807AD" w:rsidRDefault="00DB1741" w:rsidP="00A807AD">
      <w:pPr>
        <w:spacing w:after="22" w:line="259" w:lineRule="auto"/>
        <w:ind w:left="0" w:right="0" w:firstLine="0"/>
        <w:jc w:val="left"/>
      </w:pPr>
      <w:r>
        <w:t xml:space="preserve">na straně druhé (dále jen pod označením </w:t>
      </w:r>
      <w:r>
        <w:rPr>
          <w:b/>
          <w:i/>
        </w:rPr>
        <w:t xml:space="preserve">„zhotovitel“ </w:t>
      </w:r>
      <w:r>
        <w:t xml:space="preserve">nebo </w:t>
      </w:r>
      <w:r>
        <w:rPr>
          <w:b/>
          <w:i/>
        </w:rPr>
        <w:t>„THMP</w:t>
      </w:r>
      <w:r>
        <w:rPr>
          <w:i/>
        </w:rPr>
        <w:t>“</w:t>
      </w:r>
      <w:r>
        <w:t xml:space="preserve">) </w:t>
      </w:r>
    </w:p>
    <w:p w14:paraId="013B319B" w14:textId="77777777" w:rsidR="006F78AB" w:rsidRDefault="006F78AB" w:rsidP="00A807AD">
      <w:pPr>
        <w:spacing w:after="22" w:line="259" w:lineRule="auto"/>
        <w:ind w:left="0" w:right="0" w:firstLine="0"/>
        <w:jc w:val="left"/>
      </w:pPr>
    </w:p>
    <w:p w14:paraId="63FDC950" w14:textId="085BAADD" w:rsidR="006F78AB" w:rsidRDefault="00DB1741" w:rsidP="00A807AD">
      <w:pPr>
        <w:spacing w:after="22" w:line="259" w:lineRule="auto"/>
        <w:ind w:left="0" w:right="0" w:firstLine="0"/>
        <w:jc w:val="left"/>
      </w:pPr>
      <w:r>
        <w:t>(objednatel a zhotovitel dále společně též jako „</w:t>
      </w:r>
      <w:r>
        <w:rPr>
          <w:b/>
        </w:rPr>
        <w:t>Smluvní strany</w:t>
      </w:r>
      <w:r>
        <w:t>“ nebo každá samostatně též jako „</w:t>
      </w:r>
      <w:r>
        <w:rPr>
          <w:b/>
        </w:rPr>
        <w:t>Smluvní strana</w:t>
      </w:r>
      <w:r>
        <w:t>“)</w:t>
      </w:r>
    </w:p>
    <w:p w14:paraId="2292C744" w14:textId="77777777" w:rsidR="00354425" w:rsidRDefault="00DB1741">
      <w:pPr>
        <w:tabs>
          <w:tab w:val="center" w:pos="4459"/>
          <w:tab w:val="center" w:pos="4957"/>
        </w:tabs>
        <w:spacing w:after="2" w:line="259" w:lineRule="auto"/>
        <w:ind w:left="0" w:right="0" w:firstLine="0"/>
        <w:jc w:val="left"/>
      </w:pPr>
      <w:r>
        <w:rPr>
          <w:color w:val="000000"/>
          <w:sz w:val="22"/>
        </w:rPr>
        <w:lastRenderedPageBreak/>
        <w:tab/>
      </w:r>
      <w:r>
        <w:rPr>
          <w:b/>
        </w:rPr>
        <w:t>I.</w:t>
      </w:r>
      <w:r>
        <w:rPr>
          <w:rFonts w:ascii="Arial" w:eastAsia="Arial" w:hAnsi="Arial" w:cs="Arial"/>
          <w:b/>
        </w:rPr>
        <w:t xml:space="preserve"> </w:t>
      </w:r>
      <w:r>
        <w:rPr>
          <w:rFonts w:ascii="Arial" w:eastAsia="Arial" w:hAnsi="Arial" w:cs="Arial"/>
          <w:b/>
        </w:rPr>
        <w:tab/>
      </w:r>
      <w:r>
        <w:rPr>
          <w:b/>
        </w:rPr>
        <w:t xml:space="preserve"> </w:t>
      </w:r>
    </w:p>
    <w:p w14:paraId="73F32DAD" w14:textId="77777777" w:rsidR="00354425" w:rsidRDefault="00DB1741">
      <w:pPr>
        <w:pStyle w:val="Nadpis1"/>
        <w:ind w:right="322"/>
      </w:pPr>
      <w:r>
        <w:t xml:space="preserve">Základní pojmy </w:t>
      </w:r>
    </w:p>
    <w:p w14:paraId="11054189" w14:textId="6A6E4F97" w:rsidR="00354425" w:rsidRDefault="00DB1741" w:rsidP="006F78AB">
      <w:pPr>
        <w:spacing w:after="13" w:line="259" w:lineRule="auto"/>
        <w:ind w:left="3553" w:right="0" w:firstLine="0"/>
        <w:jc w:val="left"/>
      </w:pPr>
      <w:r>
        <w:rPr>
          <w:b/>
        </w:rPr>
        <w:t xml:space="preserve"> </w:t>
      </w:r>
      <w:r>
        <w:rPr>
          <w:rFonts w:ascii="Arial" w:eastAsia="Arial" w:hAnsi="Arial" w:cs="Arial"/>
          <w:b/>
        </w:rPr>
        <w:tab/>
      </w:r>
      <w:r>
        <w:t xml:space="preserve"> </w:t>
      </w:r>
    </w:p>
    <w:p w14:paraId="11AFCCB6" w14:textId="1B7466DA" w:rsidR="00354425" w:rsidRDefault="00DB1741">
      <w:pPr>
        <w:ind w:left="693" w:right="0" w:hanging="708"/>
      </w:pPr>
      <w:r w:rsidRPr="001E3DFD">
        <w:rPr>
          <w:bCs/>
        </w:rPr>
        <w:t>1.</w:t>
      </w:r>
      <w:r w:rsidR="00F7170E">
        <w:rPr>
          <w:bCs/>
        </w:rPr>
        <w:t>1</w:t>
      </w:r>
      <w:r w:rsidRPr="001E3DFD">
        <w:rPr>
          <w:bCs/>
        </w:rPr>
        <w:t>.</w:t>
      </w:r>
      <w:r>
        <w:rPr>
          <w:rFonts w:ascii="Arial" w:eastAsia="Arial" w:hAnsi="Arial" w:cs="Arial"/>
          <w:b/>
        </w:rPr>
        <w:t xml:space="preserve"> </w:t>
      </w:r>
      <w:r w:rsidR="00105CC2">
        <w:rPr>
          <w:rFonts w:ascii="Arial" w:eastAsia="Arial" w:hAnsi="Arial" w:cs="Arial"/>
          <w:b/>
        </w:rPr>
        <w:t xml:space="preserve">   </w:t>
      </w:r>
      <w:r>
        <w:t xml:space="preserve">Pojmy </w:t>
      </w:r>
      <w:r w:rsidR="00FC0250">
        <w:t>použité</w:t>
      </w:r>
      <w:r>
        <w:t xml:space="preserve"> v tomto Dodatku mají tentýž význam, který je jim přisuzován v</w:t>
      </w:r>
      <w:r w:rsidR="005857D8">
        <w:t xml:space="preserve"> RÁMCOVÉ</w:t>
      </w:r>
      <w:r>
        <w:t xml:space="preserve"> </w:t>
      </w:r>
      <w:r w:rsidR="006F78AB">
        <w:t>SMLOUVĚ O DÍLO</w:t>
      </w:r>
      <w:r>
        <w:t xml:space="preserve"> č. DIL/</w:t>
      </w:r>
      <w:r w:rsidR="006F78AB">
        <w:t>2</w:t>
      </w:r>
      <w:r w:rsidR="00B23056">
        <w:t>9</w:t>
      </w:r>
      <w:r>
        <w:t>/0</w:t>
      </w:r>
      <w:r w:rsidR="00B23056">
        <w:t>3</w:t>
      </w:r>
      <w:r>
        <w:t>/0</w:t>
      </w:r>
      <w:r w:rsidR="006F78AB">
        <w:t>0</w:t>
      </w:r>
      <w:r w:rsidR="00B23056">
        <w:t>4363</w:t>
      </w:r>
      <w:r>
        <w:t>/202</w:t>
      </w:r>
      <w:r w:rsidR="00B23056">
        <w:t>0</w:t>
      </w:r>
      <w:r w:rsidR="00F7170E">
        <w:t xml:space="preserve"> (dále jen „</w:t>
      </w:r>
      <w:r w:rsidR="00F7170E" w:rsidRPr="00F7170E">
        <w:rPr>
          <w:b/>
          <w:bCs/>
        </w:rPr>
        <w:t>Smlouva</w:t>
      </w:r>
      <w:r w:rsidR="00F7170E">
        <w:t xml:space="preserve">“) </w:t>
      </w:r>
      <w:r>
        <w:t xml:space="preserve">ze dne </w:t>
      </w:r>
      <w:r w:rsidR="00B23056">
        <w:t>25</w:t>
      </w:r>
      <w:r w:rsidR="006F78AB">
        <w:t>.</w:t>
      </w:r>
      <w:r w:rsidR="00B23056">
        <w:t>9</w:t>
      </w:r>
      <w:r w:rsidR="006F78AB">
        <w:t>.202</w:t>
      </w:r>
      <w:r w:rsidR="00B23056">
        <w:t>0</w:t>
      </w:r>
      <w:r w:rsidR="006F78AB">
        <w:t>.</w:t>
      </w:r>
    </w:p>
    <w:p w14:paraId="204D0E7A" w14:textId="77777777" w:rsidR="00354425" w:rsidRDefault="00DB1741">
      <w:pPr>
        <w:spacing w:after="56" w:line="259" w:lineRule="auto"/>
        <w:ind w:left="708" w:right="0" w:firstLine="0"/>
        <w:jc w:val="left"/>
      </w:pPr>
      <w:r>
        <w:t xml:space="preserve"> </w:t>
      </w:r>
    </w:p>
    <w:p w14:paraId="4731262D" w14:textId="004FE95E" w:rsidR="00354425" w:rsidRDefault="00DB1741">
      <w:pPr>
        <w:tabs>
          <w:tab w:val="center" w:pos="4567"/>
        </w:tabs>
        <w:ind w:left="-15" w:right="0" w:firstLine="0"/>
        <w:jc w:val="left"/>
      </w:pPr>
      <w:r w:rsidRPr="001E3DFD">
        <w:rPr>
          <w:bCs/>
        </w:rPr>
        <w:t>1.</w:t>
      </w:r>
      <w:r w:rsidR="00F7170E">
        <w:rPr>
          <w:bCs/>
        </w:rPr>
        <w:t>2</w:t>
      </w:r>
      <w:r w:rsidRPr="001E3DFD">
        <w:rPr>
          <w:bCs/>
        </w:rPr>
        <w:t>.</w:t>
      </w:r>
      <w:r>
        <w:rPr>
          <w:rFonts w:ascii="Arial" w:eastAsia="Arial" w:hAnsi="Arial" w:cs="Arial"/>
          <w:b/>
        </w:rPr>
        <w:t xml:space="preserve"> </w:t>
      </w:r>
      <w:r>
        <w:rPr>
          <w:rFonts w:ascii="Arial" w:eastAsia="Arial" w:hAnsi="Arial" w:cs="Arial"/>
          <w:b/>
        </w:rPr>
        <w:tab/>
      </w:r>
      <w:r>
        <w:t xml:space="preserve">Definice některých dalších pojmů mohou být obsaženy v textu tohoto Dodatku. </w:t>
      </w:r>
    </w:p>
    <w:p w14:paraId="46E29870" w14:textId="77777777" w:rsidR="00221943" w:rsidRDefault="00221943">
      <w:pPr>
        <w:tabs>
          <w:tab w:val="center" w:pos="4567"/>
        </w:tabs>
        <w:ind w:left="-15" w:right="0" w:firstLine="0"/>
        <w:jc w:val="left"/>
      </w:pPr>
    </w:p>
    <w:p w14:paraId="6383A44E" w14:textId="2F115E63" w:rsidR="00354425" w:rsidRDefault="00354425" w:rsidP="00816D3E">
      <w:pPr>
        <w:spacing w:after="20" w:line="259" w:lineRule="auto"/>
        <w:ind w:left="0" w:right="0" w:firstLine="0"/>
        <w:jc w:val="left"/>
      </w:pPr>
    </w:p>
    <w:p w14:paraId="4C432BBD" w14:textId="77777777" w:rsidR="00354425" w:rsidRDefault="00DB1741">
      <w:pPr>
        <w:tabs>
          <w:tab w:val="center" w:pos="4492"/>
          <w:tab w:val="center" w:pos="4957"/>
        </w:tabs>
        <w:spacing w:after="2" w:line="259" w:lineRule="auto"/>
        <w:ind w:left="0" w:right="0" w:firstLine="0"/>
        <w:jc w:val="left"/>
      </w:pPr>
      <w:r>
        <w:rPr>
          <w:color w:val="000000"/>
          <w:sz w:val="22"/>
        </w:rPr>
        <w:tab/>
      </w:r>
      <w:r>
        <w:rPr>
          <w:b/>
        </w:rPr>
        <w:t>II.</w:t>
      </w:r>
      <w:r>
        <w:rPr>
          <w:rFonts w:ascii="Arial" w:eastAsia="Arial" w:hAnsi="Arial" w:cs="Arial"/>
          <w:b/>
        </w:rPr>
        <w:t xml:space="preserve"> </w:t>
      </w:r>
      <w:r>
        <w:rPr>
          <w:rFonts w:ascii="Arial" w:eastAsia="Arial" w:hAnsi="Arial" w:cs="Arial"/>
          <w:b/>
        </w:rPr>
        <w:tab/>
      </w:r>
      <w:r>
        <w:rPr>
          <w:b/>
        </w:rPr>
        <w:t xml:space="preserve"> </w:t>
      </w:r>
    </w:p>
    <w:p w14:paraId="47F1BE9D" w14:textId="77777777" w:rsidR="00354425" w:rsidRDefault="00DB1741">
      <w:pPr>
        <w:pStyle w:val="Nadpis1"/>
        <w:ind w:right="254"/>
      </w:pPr>
      <w:r>
        <w:t xml:space="preserve">Úvodní ustanovení  </w:t>
      </w:r>
    </w:p>
    <w:p w14:paraId="202A556B" w14:textId="77777777" w:rsidR="00354425" w:rsidRDefault="00DB1741">
      <w:pPr>
        <w:spacing w:after="0" w:line="259" w:lineRule="auto"/>
        <w:ind w:left="3545" w:right="0" w:firstLine="0"/>
        <w:jc w:val="left"/>
      </w:pPr>
      <w:r>
        <w:rPr>
          <w:b/>
        </w:rPr>
        <w:t xml:space="preserve"> </w:t>
      </w:r>
    </w:p>
    <w:p w14:paraId="131BAF2F" w14:textId="77777777" w:rsidR="00354425" w:rsidRDefault="00DB1741">
      <w:pPr>
        <w:pStyle w:val="Nadpis2"/>
        <w:spacing w:after="253"/>
        <w:ind w:left="718" w:right="0"/>
      </w:pPr>
      <w:r>
        <w:t xml:space="preserve">Vzhledem k tomu, že </w:t>
      </w:r>
    </w:p>
    <w:p w14:paraId="281C523A" w14:textId="705AEA13" w:rsidR="00354425" w:rsidRDefault="00DB1741" w:rsidP="00105CC2">
      <w:pPr>
        <w:spacing w:after="286"/>
        <w:ind w:left="693" w:right="0" w:hanging="693"/>
      </w:pPr>
      <w:r w:rsidRPr="001E3DFD">
        <w:rPr>
          <w:bCs/>
        </w:rPr>
        <w:t>2.1.</w:t>
      </w:r>
      <w:r>
        <w:rPr>
          <w:rFonts w:ascii="Arial" w:eastAsia="Arial" w:hAnsi="Arial" w:cs="Arial"/>
          <w:b/>
        </w:rPr>
        <w:t xml:space="preserve"> </w:t>
      </w:r>
      <w:r w:rsidR="00105CC2">
        <w:rPr>
          <w:rFonts w:ascii="Arial" w:eastAsia="Arial" w:hAnsi="Arial" w:cs="Arial"/>
          <w:b/>
        </w:rPr>
        <w:t xml:space="preserve">   </w:t>
      </w:r>
      <w:r>
        <w:t xml:space="preserve">HMP je veřejnoprávní korporací, jejíž postavení jako kraje a obce upravuje </w:t>
      </w:r>
      <w:r w:rsidR="00421493">
        <w:t>z</w:t>
      </w:r>
      <w:r w:rsidR="00F7170E">
        <w:t>ákon č. 131/2000 Sb. o hlavním městě Praze</w:t>
      </w:r>
      <w:r w:rsidR="00421493">
        <w:t>, ve znění pozdějších předpisů</w:t>
      </w:r>
      <w:r w:rsidR="00F7170E">
        <w:t xml:space="preserve"> (dále jen „</w:t>
      </w:r>
      <w:r w:rsidR="00F7170E" w:rsidRPr="00CC15DC">
        <w:rPr>
          <w:b/>
          <w:bCs/>
        </w:rPr>
        <w:t>Zákon</w:t>
      </w:r>
      <w:r w:rsidR="00F7170E">
        <w:t>“)</w:t>
      </w:r>
      <w:r>
        <w:t xml:space="preserve"> V souladu s tímto Zákonem má HMP vlastní majetek, vlastní příjmy vymezené tímto nebo zvláštním zákonem a </w:t>
      </w:r>
      <w:proofErr w:type="gramStart"/>
      <w:r>
        <w:t>hospodaří</w:t>
      </w:r>
      <w:proofErr w:type="gramEnd"/>
      <w:r>
        <w:t xml:space="preserve"> za podmínek stanovených tímto nebo zvláštním zákonem podle vlastního rozpočtu.  </w:t>
      </w:r>
    </w:p>
    <w:p w14:paraId="35F26699" w14:textId="60B7393F" w:rsidR="00354425" w:rsidRDefault="00DB1741" w:rsidP="00E00E69">
      <w:pPr>
        <w:ind w:left="693" w:right="0" w:hanging="708"/>
      </w:pPr>
      <w:r w:rsidRPr="001E3DFD">
        <w:rPr>
          <w:bCs/>
        </w:rPr>
        <w:t>2.2.</w:t>
      </w:r>
      <w:r>
        <w:rPr>
          <w:rFonts w:ascii="Arial" w:eastAsia="Arial" w:hAnsi="Arial" w:cs="Arial"/>
          <w:b/>
        </w:rPr>
        <w:t xml:space="preserve"> </w:t>
      </w:r>
      <w:r w:rsidR="00105CC2">
        <w:rPr>
          <w:rFonts w:ascii="Arial" w:eastAsia="Arial" w:hAnsi="Arial" w:cs="Arial"/>
          <w:b/>
        </w:rPr>
        <w:t xml:space="preserve">   </w:t>
      </w:r>
      <w:r>
        <w:t xml:space="preserve">Zhotovitel je subjektem, který naplňuje podmínky uvedené v ustanovení § 11 odst. 1 ZZVZ, neboť je společností, která byla založena pro plnění úkolů, které ji byly svěřeny HMP, a které představují více než 80 % celkové činnosti zhotovitele. HMP ovládá zhotovitele obdobně jako své vnitřní organizační jednotky a v takto ovládané osobě </w:t>
      </w:r>
      <w:r w:rsidR="00E00E69">
        <w:t xml:space="preserve">nemá </w:t>
      </w:r>
      <w:r>
        <w:t xml:space="preserve">majetkovou účast jiná osoba než HMP. Podmínky uvedené v ustanovení § 11 odst. 1 ZZVZ se zhotovitel zavazuje splňovat po celou dobu trvání </w:t>
      </w:r>
      <w:r w:rsidR="00E00E69">
        <w:t xml:space="preserve">Smlouvy a </w:t>
      </w:r>
      <w:r>
        <w:t xml:space="preserve">tohoto Dodatku. </w:t>
      </w:r>
    </w:p>
    <w:p w14:paraId="4DB31C66" w14:textId="77777777" w:rsidR="00E00E69" w:rsidRDefault="00E00E69" w:rsidP="00E00E69">
      <w:pPr>
        <w:ind w:left="693" w:right="0" w:hanging="708"/>
      </w:pPr>
    </w:p>
    <w:p w14:paraId="2F56CD2E" w14:textId="3C641997" w:rsidR="00354425" w:rsidRDefault="00DB1741" w:rsidP="001E3DFD">
      <w:pPr>
        <w:spacing w:after="277" w:line="276" w:lineRule="auto"/>
        <w:ind w:left="709" w:right="-12" w:hanging="724"/>
      </w:pPr>
      <w:r w:rsidRPr="001E3DFD">
        <w:rPr>
          <w:bCs/>
        </w:rPr>
        <w:t>2.3</w:t>
      </w:r>
      <w:r>
        <w:rPr>
          <w:b/>
        </w:rPr>
        <w:t>.</w:t>
      </w:r>
      <w:r w:rsidR="001E3DFD">
        <w:rPr>
          <w:rFonts w:ascii="Arial" w:eastAsia="Arial" w:hAnsi="Arial" w:cs="Arial"/>
          <w:b/>
        </w:rPr>
        <w:tab/>
      </w:r>
      <w:r w:rsidR="006F78AB">
        <w:t>S</w:t>
      </w:r>
      <w:r>
        <w:t xml:space="preserve">mluvní strany prohlašují, že dne </w:t>
      </w:r>
      <w:r w:rsidR="006D283E">
        <w:t>25</w:t>
      </w:r>
      <w:r w:rsidR="006F78AB">
        <w:t>.</w:t>
      </w:r>
      <w:r w:rsidR="006D283E">
        <w:t>9</w:t>
      </w:r>
      <w:r w:rsidR="006F78AB">
        <w:t>.202</w:t>
      </w:r>
      <w:r w:rsidR="001E3E60">
        <w:t>0</w:t>
      </w:r>
      <w:r>
        <w:t xml:space="preserve"> uzavřely </w:t>
      </w:r>
      <w:r w:rsidR="00F7170E">
        <w:t>Smlouvu,</w:t>
      </w:r>
      <w:r>
        <w:t xml:space="preserve"> </w:t>
      </w:r>
      <w:r w:rsidR="006F78AB" w:rsidRPr="005346DE">
        <w:t xml:space="preserve">jejímž předmětem </w:t>
      </w:r>
      <w:r w:rsidR="006F78AB" w:rsidRPr="006F78AB">
        <w:t>je poskytnutí plnění objednateli spočívající v</w:t>
      </w:r>
      <w:r w:rsidR="00935B5F">
        <w:t> </w:t>
      </w:r>
      <w:bookmarkStart w:id="2" w:name="_Hlk151452573"/>
      <w:r w:rsidR="00935B5F">
        <w:t xml:space="preserve">zajištění projektových prací a inženýrské činnosti, tj. zajištění zpracování projektové dokumentace a poskytnutí souvisejících služeb ve všech stupních </w:t>
      </w:r>
      <w:r w:rsidR="001E3E60">
        <w:t xml:space="preserve">(výkonových fázích) </w:t>
      </w:r>
      <w:r w:rsidR="00935B5F">
        <w:t xml:space="preserve">pro výstavbu celkem šedesáti (60) přechodů pro chodce včetně přisvětlení těchto přechodů pro chodce na území HMP dle požadavků objednatele a </w:t>
      </w:r>
      <w:r w:rsidR="001E3E60">
        <w:t xml:space="preserve">dále </w:t>
      </w:r>
      <w:r w:rsidR="00935B5F">
        <w:t>zajištění realizace výstavby celkem šedesáti (60) přisvětlení přechodů pro chodce na území HMP v souladu se stanovenou projektovou dokumentací (dále souhrnně jen „</w:t>
      </w:r>
      <w:r w:rsidR="00935B5F" w:rsidRPr="00935B5F">
        <w:rPr>
          <w:b/>
          <w:bCs/>
        </w:rPr>
        <w:t>dílo</w:t>
      </w:r>
      <w:r w:rsidR="00935B5F">
        <w:t>“)</w:t>
      </w:r>
      <w:r w:rsidR="001E3E60">
        <w:t>,</w:t>
      </w:r>
      <w:bookmarkEnd w:id="2"/>
      <w:r w:rsidR="001E3E60">
        <w:t xml:space="preserve"> to vše na základě písemných pokynů objednatele k poskytnutí plnění (dále též jen „</w:t>
      </w:r>
      <w:r w:rsidR="001E3E60" w:rsidRPr="001E3E60">
        <w:rPr>
          <w:b/>
          <w:bCs/>
        </w:rPr>
        <w:t>pokyn</w:t>
      </w:r>
      <w:r w:rsidR="001E3E60">
        <w:t>“ nebo „</w:t>
      </w:r>
      <w:r w:rsidR="001E3E60" w:rsidRPr="001E3E60">
        <w:rPr>
          <w:b/>
          <w:bCs/>
        </w:rPr>
        <w:t>pokyny</w:t>
      </w:r>
      <w:r w:rsidR="001E3E60">
        <w:t>“ dle čl. III odst. 3.8. Smlouvy</w:t>
      </w:r>
      <w:r w:rsidR="00935B5F">
        <w:t>.</w:t>
      </w:r>
    </w:p>
    <w:p w14:paraId="11E55AB3" w14:textId="6B2EAFDA" w:rsidR="00354425" w:rsidRDefault="00DB1741">
      <w:pPr>
        <w:spacing w:after="239" w:line="276" w:lineRule="auto"/>
        <w:ind w:left="703" w:right="-12" w:hanging="718"/>
      </w:pPr>
      <w:r w:rsidRPr="001E3DFD">
        <w:rPr>
          <w:bCs/>
          <w:color w:val="000000"/>
        </w:rPr>
        <w:lastRenderedPageBreak/>
        <w:t>2.</w:t>
      </w:r>
      <w:r w:rsidR="00105CC2" w:rsidRPr="001E3DFD">
        <w:rPr>
          <w:bCs/>
          <w:color w:val="000000"/>
        </w:rPr>
        <w:t>4</w:t>
      </w:r>
      <w:r w:rsidRPr="001E3DFD">
        <w:rPr>
          <w:bCs/>
          <w:color w:val="000000"/>
        </w:rPr>
        <w:t>.</w:t>
      </w:r>
      <w:r>
        <w:rPr>
          <w:rFonts w:ascii="Arial" w:eastAsia="Arial" w:hAnsi="Arial" w:cs="Arial"/>
          <w:b/>
          <w:color w:val="000000"/>
        </w:rPr>
        <w:t xml:space="preserve"> </w:t>
      </w:r>
      <w:r w:rsidR="00105CC2">
        <w:rPr>
          <w:rFonts w:ascii="Arial" w:eastAsia="Arial" w:hAnsi="Arial" w:cs="Arial"/>
          <w:b/>
          <w:color w:val="000000"/>
        </w:rPr>
        <w:t xml:space="preserve">  </w:t>
      </w:r>
      <w:r w:rsidR="001E3DFD">
        <w:rPr>
          <w:rFonts w:ascii="Arial" w:eastAsia="Arial" w:hAnsi="Arial" w:cs="Arial"/>
          <w:b/>
          <w:color w:val="000000"/>
        </w:rPr>
        <w:tab/>
      </w:r>
      <w:r>
        <w:rPr>
          <w:color w:val="000000"/>
        </w:rPr>
        <w:t>Vzhledem k tomu, že</w:t>
      </w:r>
      <w:r w:rsidR="001E3DFD">
        <w:rPr>
          <w:color w:val="000000"/>
        </w:rPr>
        <w:t xml:space="preserve"> Smlouva byla uzavřena na dobu určitou, a to do 31.12.2023</w:t>
      </w:r>
      <w:r w:rsidR="00482116">
        <w:rPr>
          <w:color w:val="000000"/>
        </w:rPr>
        <w:t xml:space="preserve">, </w:t>
      </w:r>
      <w:r>
        <w:rPr>
          <w:color w:val="000000"/>
        </w:rPr>
        <w:t>se Smluvní strany v souladu s čl. X</w:t>
      </w:r>
      <w:r w:rsidR="002013C4">
        <w:rPr>
          <w:color w:val="000000"/>
        </w:rPr>
        <w:t>I</w:t>
      </w:r>
      <w:r>
        <w:rPr>
          <w:color w:val="000000"/>
        </w:rPr>
        <w:t>. odst. 1</w:t>
      </w:r>
      <w:r w:rsidR="002013C4">
        <w:rPr>
          <w:color w:val="000000"/>
        </w:rPr>
        <w:t>1</w:t>
      </w:r>
      <w:r>
        <w:rPr>
          <w:color w:val="000000"/>
        </w:rPr>
        <w:t>.</w:t>
      </w:r>
      <w:r w:rsidR="002013C4">
        <w:rPr>
          <w:color w:val="000000"/>
        </w:rPr>
        <w:t>2</w:t>
      </w:r>
      <w:r>
        <w:rPr>
          <w:color w:val="000000"/>
        </w:rPr>
        <w:t>. Smlouvy</w:t>
      </w:r>
      <w:r w:rsidR="00482116">
        <w:rPr>
          <w:color w:val="000000"/>
        </w:rPr>
        <w:t>,</w:t>
      </w:r>
      <w:r>
        <w:rPr>
          <w:color w:val="000000"/>
        </w:rPr>
        <w:t xml:space="preserve"> </w:t>
      </w:r>
      <w:r w:rsidR="00482116">
        <w:rPr>
          <w:color w:val="000000"/>
        </w:rPr>
        <w:t xml:space="preserve">dohodly </w:t>
      </w:r>
      <w:r>
        <w:rPr>
          <w:color w:val="000000"/>
        </w:rPr>
        <w:t xml:space="preserve">na změně Smlouvy formou uzavření tohoto Dodatku, a to v následujícím znění: </w:t>
      </w:r>
    </w:p>
    <w:p w14:paraId="66E70ECD" w14:textId="7D3AF4DE" w:rsidR="00354425" w:rsidRDefault="00DB1741" w:rsidP="00105CC2">
      <w:pPr>
        <w:spacing w:after="260" w:line="259" w:lineRule="auto"/>
        <w:ind w:left="0" w:right="0" w:firstLine="0"/>
        <w:jc w:val="center"/>
      </w:pPr>
      <w:r>
        <w:rPr>
          <w:b/>
        </w:rPr>
        <w:t>III.</w:t>
      </w:r>
    </w:p>
    <w:p w14:paraId="492FB5B9" w14:textId="77777777" w:rsidR="00354425" w:rsidRDefault="00DB1741">
      <w:pPr>
        <w:pStyle w:val="Nadpis1"/>
        <w:ind w:right="4"/>
      </w:pPr>
      <w:r>
        <w:t xml:space="preserve">Předmět Dodatku </w:t>
      </w:r>
    </w:p>
    <w:p w14:paraId="465B5F96" w14:textId="77777777" w:rsidR="00354425" w:rsidRDefault="00DB1741">
      <w:pPr>
        <w:spacing w:after="13" w:line="259" w:lineRule="auto"/>
        <w:ind w:left="0" w:right="0" w:firstLine="0"/>
        <w:jc w:val="left"/>
      </w:pPr>
      <w:r>
        <w:rPr>
          <w:b/>
        </w:rPr>
        <w:t xml:space="preserve"> </w:t>
      </w:r>
    </w:p>
    <w:p w14:paraId="27C6D6BF" w14:textId="6AD2CD04" w:rsidR="0054563F" w:rsidRDefault="00DB1741">
      <w:pPr>
        <w:tabs>
          <w:tab w:val="center" w:pos="4842"/>
        </w:tabs>
        <w:spacing w:after="29" w:line="250" w:lineRule="auto"/>
        <w:ind w:left="-15" w:right="0" w:firstLine="0"/>
        <w:jc w:val="left"/>
        <w:rPr>
          <w:rFonts w:asciiTheme="minorHAnsi" w:eastAsia="Arial" w:hAnsiTheme="minorHAnsi" w:cstheme="minorHAnsi"/>
          <w:b/>
          <w:u w:val="single"/>
        </w:rPr>
      </w:pPr>
      <w:r w:rsidRPr="006237C4">
        <w:rPr>
          <w:bCs/>
        </w:rPr>
        <w:t>3.1.</w:t>
      </w:r>
      <w:r>
        <w:rPr>
          <w:rFonts w:ascii="Arial" w:eastAsia="Arial" w:hAnsi="Arial" w:cs="Arial"/>
          <w:b/>
        </w:rPr>
        <w:t xml:space="preserve"> </w:t>
      </w:r>
      <w:r w:rsidR="0054563F">
        <w:rPr>
          <w:rFonts w:ascii="Arial" w:eastAsia="Arial" w:hAnsi="Arial" w:cs="Arial"/>
          <w:b/>
        </w:rPr>
        <w:t xml:space="preserve">           </w:t>
      </w:r>
      <w:r w:rsidR="0054563F" w:rsidRPr="0054563F">
        <w:rPr>
          <w:rFonts w:asciiTheme="minorHAnsi" w:eastAsia="Arial" w:hAnsiTheme="minorHAnsi" w:cstheme="minorHAnsi"/>
          <w:b/>
          <w:u w:val="single"/>
        </w:rPr>
        <w:t xml:space="preserve">Čl. III. odst. 3.2 Smlouvy se v plném rozsahu </w:t>
      </w:r>
      <w:proofErr w:type="gramStart"/>
      <w:r w:rsidR="00421493" w:rsidRPr="00421493">
        <w:rPr>
          <w:rFonts w:asciiTheme="minorHAnsi" w:eastAsia="Arial" w:hAnsiTheme="minorHAnsi" w:cstheme="minorHAnsi"/>
          <w:b/>
          <w:u w:val="single"/>
        </w:rPr>
        <w:t>ruší</w:t>
      </w:r>
      <w:proofErr w:type="gramEnd"/>
      <w:r w:rsidR="00421493" w:rsidRPr="00421493">
        <w:rPr>
          <w:rFonts w:asciiTheme="minorHAnsi" w:eastAsia="Arial" w:hAnsiTheme="minorHAnsi" w:cstheme="minorHAnsi"/>
          <w:b/>
          <w:u w:val="single"/>
        </w:rPr>
        <w:t xml:space="preserve"> a nahrazuje se následujícím novým zněním</w:t>
      </w:r>
      <w:r w:rsidR="0054563F" w:rsidRPr="0054563F">
        <w:rPr>
          <w:rFonts w:asciiTheme="minorHAnsi" w:eastAsia="Arial" w:hAnsiTheme="minorHAnsi" w:cstheme="minorHAnsi"/>
          <w:b/>
          <w:u w:val="single"/>
        </w:rPr>
        <w:t>:</w:t>
      </w:r>
    </w:p>
    <w:p w14:paraId="4DC0E5CA" w14:textId="77777777" w:rsidR="0054563F" w:rsidRPr="0054563F" w:rsidRDefault="0054563F">
      <w:pPr>
        <w:tabs>
          <w:tab w:val="center" w:pos="4842"/>
        </w:tabs>
        <w:spacing w:after="29" w:line="250" w:lineRule="auto"/>
        <w:ind w:left="-15" w:right="0" w:firstLine="0"/>
        <w:jc w:val="left"/>
        <w:rPr>
          <w:rFonts w:asciiTheme="minorHAnsi" w:eastAsia="Arial" w:hAnsiTheme="minorHAnsi" w:cstheme="minorHAnsi"/>
          <w:b/>
        </w:rPr>
      </w:pPr>
    </w:p>
    <w:p w14:paraId="11B8EF7E" w14:textId="50EBFA8D" w:rsidR="00FE0FFD" w:rsidRPr="0054563F" w:rsidRDefault="0054563F" w:rsidP="0054563F">
      <w:pPr>
        <w:tabs>
          <w:tab w:val="center" w:pos="4842"/>
        </w:tabs>
        <w:spacing w:after="29" w:line="250" w:lineRule="auto"/>
        <w:ind w:left="993" w:right="0" w:firstLine="0"/>
        <w:rPr>
          <w:rFonts w:asciiTheme="minorHAnsi" w:eastAsia="Arial" w:hAnsiTheme="minorHAnsi" w:cstheme="minorHAnsi"/>
          <w:b/>
        </w:rPr>
      </w:pPr>
      <w:r w:rsidRPr="0054563F">
        <w:rPr>
          <w:rFonts w:asciiTheme="minorHAnsi" w:hAnsiTheme="minorHAnsi" w:cstheme="minorHAnsi"/>
          <w:bCs/>
        </w:rPr>
        <w:t xml:space="preserve"> „</w:t>
      </w:r>
      <w:r w:rsidRPr="000C3930">
        <w:rPr>
          <w:rFonts w:asciiTheme="minorHAnsi" w:hAnsiTheme="minorHAnsi" w:cstheme="minorHAnsi"/>
          <w:bCs/>
          <w:i/>
          <w:iCs/>
        </w:rPr>
        <w:t>3.</w:t>
      </w:r>
      <w:r w:rsidRPr="000C3930">
        <w:rPr>
          <w:rFonts w:asciiTheme="minorHAnsi" w:eastAsia="Arial" w:hAnsiTheme="minorHAnsi" w:cstheme="minorHAnsi"/>
          <w:bCs/>
          <w:i/>
          <w:iCs/>
        </w:rPr>
        <w:t>2. Dílem podle této Smlouvy se rozumí poskytnutí plnění představujícího zajištění projektových prací a inženýrské činnosti, tj. zajištění zpracování projektové dokumentace a poskytnutí souvisejících služeb ve všech stupních (výkonových fázích) pro výstavbu</w:t>
      </w:r>
      <w:r w:rsidR="00421493">
        <w:rPr>
          <w:rFonts w:asciiTheme="minorHAnsi" w:eastAsia="Arial" w:hAnsiTheme="minorHAnsi" w:cstheme="minorHAnsi"/>
          <w:bCs/>
          <w:i/>
          <w:iCs/>
        </w:rPr>
        <w:t xml:space="preserve"> pokynem</w:t>
      </w:r>
      <w:r w:rsidR="007C474E" w:rsidRPr="000C3930">
        <w:rPr>
          <w:rFonts w:asciiTheme="minorHAnsi" w:eastAsia="Arial" w:hAnsiTheme="minorHAnsi" w:cstheme="minorHAnsi"/>
          <w:bCs/>
          <w:i/>
          <w:iCs/>
        </w:rPr>
        <w:t xml:space="preserve"> zadaných</w:t>
      </w:r>
      <w:r w:rsidRPr="000C3930">
        <w:rPr>
          <w:rFonts w:asciiTheme="minorHAnsi" w:eastAsia="Arial" w:hAnsiTheme="minorHAnsi" w:cstheme="minorHAnsi"/>
          <w:bCs/>
          <w:i/>
          <w:iCs/>
        </w:rPr>
        <w:t xml:space="preserve"> </w:t>
      </w:r>
      <w:r w:rsidR="00CB1932" w:rsidRPr="000C3930">
        <w:rPr>
          <w:rFonts w:asciiTheme="minorHAnsi" w:eastAsia="Arial" w:hAnsiTheme="minorHAnsi" w:cstheme="minorHAnsi"/>
          <w:bCs/>
          <w:i/>
          <w:iCs/>
        </w:rPr>
        <w:t xml:space="preserve">přisvětlení </w:t>
      </w:r>
      <w:r w:rsidRPr="000C3930">
        <w:rPr>
          <w:rFonts w:asciiTheme="minorHAnsi" w:eastAsia="Arial" w:hAnsiTheme="minorHAnsi" w:cstheme="minorHAnsi"/>
          <w:bCs/>
          <w:i/>
          <w:iCs/>
        </w:rPr>
        <w:t>přechodů pro chodce</w:t>
      </w:r>
      <w:r w:rsidR="007C474E" w:rsidRPr="000C3930">
        <w:rPr>
          <w:rFonts w:asciiTheme="minorHAnsi" w:eastAsia="Arial" w:hAnsiTheme="minorHAnsi" w:cstheme="minorHAnsi"/>
          <w:bCs/>
          <w:i/>
          <w:iCs/>
        </w:rPr>
        <w:t xml:space="preserve"> a osvětlení podchodů pod komunikací</w:t>
      </w:r>
      <w:r w:rsidRPr="000C3930">
        <w:rPr>
          <w:rFonts w:asciiTheme="minorHAnsi" w:eastAsia="Arial" w:hAnsiTheme="minorHAnsi" w:cstheme="minorHAnsi"/>
          <w:bCs/>
          <w:i/>
          <w:iCs/>
        </w:rPr>
        <w:t xml:space="preserve"> na území HMP dle požadavků objednatele vymezených dále v této Smlouvě a v souladu s obecně závaznými předpisy, zejména zákonem č. 183/2006 Sb., o územním plánování a stavebním řádu, ve znění pozdějších předpisů (dále jen „</w:t>
      </w:r>
      <w:r w:rsidRPr="000C3930">
        <w:rPr>
          <w:rFonts w:asciiTheme="minorHAnsi" w:eastAsia="Arial" w:hAnsiTheme="minorHAnsi" w:cstheme="minorHAnsi"/>
          <w:b/>
          <w:i/>
          <w:iCs/>
        </w:rPr>
        <w:t>stavební zákon</w:t>
      </w:r>
      <w:r w:rsidRPr="000C3930">
        <w:rPr>
          <w:rFonts w:asciiTheme="minorHAnsi" w:eastAsia="Arial" w:hAnsiTheme="minorHAnsi" w:cstheme="minorHAnsi"/>
          <w:bCs/>
          <w:i/>
          <w:iCs/>
        </w:rPr>
        <w:t>“) a vyhláškou Ministerstva pro místní rozvoj č. 499/2006 Sb., o</w:t>
      </w:r>
      <w:r w:rsidR="00606AA3">
        <w:rPr>
          <w:rFonts w:asciiTheme="minorHAnsi" w:eastAsia="Arial" w:hAnsiTheme="minorHAnsi" w:cstheme="minorHAnsi"/>
          <w:bCs/>
          <w:i/>
          <w:iCs/>
        </w:rPr>
        <w:t> </w:t>
      </w:r>
      <w:r w:rsidRPr="000C3930">
        <w:rPr>
          <w:rFonts w:asciiTheme="minorHAnsi" w:eastAsia="Arial" w:hAnsiTheme="minorHAnsi" w:cstheme="minorHAnsi"/>
          <w:bCs/>
          <w:i/>
          <w:iCs/>
        </w:rPr>
        <w:t>dokumentaci staveb, v platném a účinném znění (dále jen „</w:t>
      </w:r>
      <w:r w:rsidRPr="000C3930">
        <w:rPr>
          <w:rFonts w:asciiTheme="minorHAnsi" w:eastAsia="Arial" w:hAnsiTheme="minorHAnsi" w:cstheme="minorHAnsi"/>
          <w:b/>
          <w:i/>
          <w:iCs/>
        </w:rPr>
        <w:t>vyhláška</w:t>
      </w:r>
      <w:r w:rsidRPr="000C3930">
        <w:rPr>
          <w:rFonts w:asciiTheme="minorHAnsi" w:eastAsia="Arial" w:hAnsiTheme="minorHAnsi" w:cstheme="minorHAnsi"/>
          <w:bCs/>
          <w:i/>
          <w:iCs/>
        </w:rPr>
        <w:t>“) (dále souhrnně jen „</w:t>
      </w:r>
      <w:r w:rsidRPr="000C3930">
        <w:rPr>
          <w:rFonts w:asciiTheme="minorHAnsi" w:eastAsia="Arial" w:hAnsiTheme="minorHAnsi" w:cstheme="minorHAnsi"/>
          <w:b/>
          <w:i/>
          <w:iCs/>
        </w:rPr>
        <w:t>projektová činnost</w:t>
      </w:r>
      <w:r w:rsidRPr="000C3930">
        <w:rPr>
          <w:rFonts w:asciiTheme="minorHAnsi" w:eastAsia="Arial" w:hAnsiTheme="minorHAnsi" w:cstheme="minorHAnsi"/>
          <w:bCs/>
          <w:i/>
          <w:iCs/>
        </w:rPr>
        <w:t xml:space="preserve">“) a dále zajištění realizace výstavby  přisvětlení přechodů pro chodce </w:t>
      </w:r>
      <w:r w:rsidR="00CB1932" w:rsidRPr="000C3930">
        <w:rPr>
          <w:rFonts w:asciiTheme="minorHAnsi" w:eastAsia="Arial" w:hAnsiTheme="minorHAnsi" w:cstheme="minorHAnsi"/>
          <w:bCs/>
          <w:i/>
          <w:iCs/>
        </w:rPr>
        <w:t>a osvětlení podchod</w:t>
      </w:r>
      <w:r w:rsidR="00832D70" w:rsidRPr="000C3930">
        <w:rPr>
          <w:rFonts w:asciiTheme="minorHAnsi" w:eastAsia="Arial" w:hAnsiTheme="minorHAnsi" w:cstheme="minorHAnsi"/>
          <w:bCs/>
          <w:i/>
          <w:iCs/>
        </w:rPr>
        <w:t>ů</w:t>
      </w:r>
      <w:r w:rsidR="00CB1932" w:rsidRPr="000C3930">
        <w:rPr>
          <w:rFonts w:asciiTheme="minorHAnsi" w:eastAsia="Arial" w:hAnsiTheme="minorHAnsi" w:cstheme="minorHAnsi"/>
          <w:bCs/>
          <w:i/>
          <w:iCs/>
        </w:rPr>
        <w:t xml:space="preserve"> </w:t>
      </w:r>
      <w:r w:rsidRPr="000C3930">
        <w:rPr>
          <w:rFonts w:asciiTheme="minorHAnsi" w:eastAsia="Arial" w:hAnsiTheme="minorHAnsi" w:cstheme="minorHAnsi"/>
          <w:bCs/>
          <w:i/>
          <w:iCs/>
        </w:rPr>
        <w:t>na území HMP v souladu se stanovenou projektovou dokumentací (dále souhrnně jen „</w:t>
      </w:r>
      <w:r w:rsidRPr="000C3930">
        <w:rPr>
          <w:rFonts w:asciiTheme="minorHAnsi" w:eastAsia="Arial" w:hAnsiTheme="minorHAnsi" w:cstheme="minorHAnsi"/>
          <w:b/>
          <w:bCs/>
          <w:i/>
          <w:iCs/>
        </w:rPr>
        <w:t>dílo</w:t>
      </w:r>
      <w:r w:rsidRPr="000C3930">
        <w:rPr>
          <w:rFonts w:asciiTheme="minorHAnsi" w:eastAsia="Arial" w:hAnsiTheme="minorHAnsi" w:cstheme="minorHAnsi"/>
          <w:bCs/>
          <w:i/>
          <w:iCs/>
        </w:rPr>
        <w:t>“).</w:t>
      </w:r>
      <w:r w:rsidR="000C3930">
        <w:rPr>
          <w:rFonts w:asciiTheme="minorHAnsi" w:eastAsia="Arial" w:hAnsiTheme="minorHAnsi" w:cstheme="minorHAnsi"/>
          <w:bCs/>
        </w:rPr>
        <w:t>“</w:t>
      </w:r>
    </w:p>
    <w:p w14:paraId="6BCF7457" w14:textId="77777777" w:rsidR="00FE0FFD" w:rsidRPr="0054563F" w:rsidRDefault="00FE0FFD" w:rsidP="0054563F">
      <w:pPr>
        <w:tabs>
          <w:tab w:val="center" w:pos="4842"/>
        </w:tabs>
        <w:spacing w:after="29" w:line="250" w:lineRule="auto"/>
        <w:ind w:left="-15" w:right="0" w:firstLine="0"/>
        <w:rPr>
          <w:rFonts w:asciiTheme="minorHAnsi" w:eastAsia="Arial" w:hAnsiTheme="minorHAnsi" w:cstheme="minorHAnsi"/>
          <w:b/>
        </w:rPr>
      </w:pPr>
    </w:p>
    <w:p w14:paraId="3A6ECE1E" w14:textId="38F59D77" w:rsidR="00354425" w:rsidRDefault="00FE0FFD" w:rsidP="000C3930">
      <w:pPr>
        <w:tabs>
          <w:tab w:val="center" w:pos="4842"/>
        </w:tabs>
        <w:spacing w:after="29" w:line="250" w:lineRule="auto"/>
        <w:ind w:left="709" w:right="0" w:hanging="709"/>
        <w:jc w:val="left"/>
      </w:pPr>
      <w:r w:rsidRPr="001B337B">
        <w:rPr>
          <w:rFonts w:asciiTheme="minorHAnsi" w:eastAsia="Arial" w:hAnsiTheme="minorHAnsi" w:cstheme="minorHAnsi"/>
          <w:bCs/>
        </w:rPr>
        <w:t>3.2.</w:t>
      </w:r>
      <w:r w:rsidR="000C3930">
        <w:rPr>
          <w:rFonts w:ascii="Arial" w:eastAsia="Arial" w:hAnsi="Arial" w:cs="Arial"/>
          <w:b/>
        </w:rPr>
        <w:tab/>
        <w:t xml:space="preserve">     </w:t>
      </w:r>
      <w:r w:rsidR="00DB1741">
        <w:rPr>
          <w:b/>
          <w:u w:val="single" w:color="00000A"/>
        </w:rPr>
        <w:t xml:space="preserve">Čl. </w:t>
      </w:r>
      <w:r w:rsidR="00482116">
        <w:rPr>
          <w:b/>
          <w:u w:val="single" w:color="00000A"/>
        </w:rPr>
        <w:t>I</w:t>
      </w:r>
      <w:r w:rsidR="002013C4">
        <w:rPr>
          <w:b/>
          <w:u w:val="single" w:color="00000A"/>
        </w:rPr>
        <w:t>V</w:t>
      </w:r>
      <w:r w:rsidR="00DB1741">
        <w:rPr>
          <w:b/>
          <w:u w:val="single" w:color="00000A"/>
        </w:rPr>
        <w:t xml:space="preserve">. odst. </w:t>
      </w:r>
      <w:r w:rsidR="002013C4">
        <w:rPr>
          <w:b/>
          <w:u w:val="single" w:color="00000A"/>
        </w:rPr>
        <w:t>4</w:t>
      </w:r>
      <w:r w:rsidR="00482116">
        <w:rPr>
          <w:b/>
          <w:u w:val="single" w:color="00000A"/>
        </w:rPr>
        <w:t>.1.</w:t>
      </w:r>
      <w:r w:rsidR="00DB1741">
        <w:rPr>
          <w:b/>
          <w:u w:val="single" w:color="00000A"/>
        </w:rPr>
        <w:t xml:space="preserve"> Smlouvy </w:t>
      </w:r>
      <w:r w:rsidR="00482116">
        <w:rPr>
          <w:b/>
          <w:u w:val="single" w:color="00000A"/>
        </w:rPr>
        <w:t>se</w:t>
      </w:r>
      <w:r w:rsidR="00DC679F">
        <w:rPr>
          <w:b/>
          <w:u w:val="single" w:color="00000A"/>
        </w:rPr>
        <w:t xml:space="preserve"> v</w:t>
      </w:r>
      <w:r w:rsidR="00DB1741">
        <w:rPr>
          <w:b/>
          <w:u w:val="single" w:color="00000A"/>
        </w:rPr>
        <w:t xml:space="preserve"> plném rozsahu </w:t>
      </w:r>
      <w:proofErr w:type="gramStart"/>
      <w:r w:rsidR="00421493" w:rsidRPr="00421493">
        <w:rPr>
          <w:b/>
          <w:u w:val="single" w:color="00000A"/>
        </w:rPr>
        <w:t>ruší</w:t>
      </w:r>
      <w:proofErr w:type="gramEnd"/>
      <w:r w:rsidR="00421493" w:rsidRPr="00421493">
        <w:rPr>
          <w:b/>
          <w:u w:val="single" w:color="00000A"/>
        </w:rPr>
        <w:t xml:space="preserve"> a nahrazuje se následujícím novým zněním</w:t>
      </w:r>
      <w:r w:rsidR="00DB1741">
        <w:rPr>
          <w:b/>
          <w:u w:val="single" w:color="00000A"/>
        </w:rPr>
        <w:t>:</w:t>
      </w:r>
      <w:r w:rsidR="00DB1741">
        <w:rPr>
          <w:b/>
        </w:rPr>
        <w:t xml:space="preserve"> </w:t>
      </w:r>
    </w:p>
    <w:p w14:paraId="47E61975" w14:textId="77777777" w:rsidR="00354425" w:rsidRDefault="00DB1741">
      <w:pPr>
        <w:spacing w:after="22" w:line="259" w:lineRule="auto"/>
        <w:ind w:left="1080" w:right="0" w:firstLine="0"/>
        <w:jc w:val="left"/>
      </w:pPr>
      <w:r>
        <w:rPr>
          <w:b/>
        </w:rPr>
        <w:t xml:space="preserve"> </w:t>
      </w:r>
    </w:p>
    <w:p w14:paraId="616B7F0F" w14:textId="7DC7868B" w:rsidR="00354425" w:rsidRDefault="00DB1741">
      <w:pPr>
        <w:spacing w:after="2" w:line="276" w:lineRule="auto"/>
        <w:ind w:left="1080" w:right="1" w:firstLine="0"/>
      </w:pPr>
      <w:r>
        <w:rPr>
          <w:color w:val="000009"/>
        </w:rPr>
        <w:t>„</w:t>
      </w:r>
      <w:r w:rsidR="002013C4" w:rsidRPr="000C3930">
        <w:rPr>
          <w:i/>
          <w:iCs/>
          <w:color w:val="000009"/>
        </w:rPr>
        <w:t>4</w:t>
      </w:r>
      <w:r w:rsidR="00DA0422" w:rsidRPr="000C3930">
        <w:rPr>
          <w:i/>
          <w:iCs/>
          <w:color w:val="000009"/>
        </w:rPr>
        <w:t>.1.</w:t>
      </w:r>
      <w:r w:rsidR="00DA0422">
        <w:rPr>
          <w:color w:val="000009"/>
        </w:rPr>
        <w:t xml:space="preserve"> </w:t>
      </w:r>
      <w:r w:rsidR="00482116">
        <w:rPr>
          <w:i/>
          <w:color w:val="000000"/>
        </w:rPr>
        <w:t xml:space="preserve">Tato Smlouva je uzavírána na dobu určitou, a to do </w:t>
      </w:r>
      <w:r w:rsidR="00FE0FFD">
        <w:rPr>
          <w:b/>
          <w:bCs/>
          <w:i/>
          <w:color w:val="000000"/>
        </w:rPr>
        <w:t>31.12.2024</w:t>
      </w:r>
      <w:r w:rsidR="00482116">
        <w:rPr>
          <w:i/>
          <w:color w:val="000000"/>
        </w:rPr>
        <w:t>.</w:t>
      </w:r>
      <w:r>
        <w:rPr>
          <w:i/>
          <w:color w:val="000000"/>
        </w:rPr>
        <w:t xml:space="preserve"> “</w:t>
      </w:r>
      <w:r>
        <w:rPr>
          <w:b/>
        </w:rPr>
        <w:t xml:space="preserve"> </w:t>
      </w:r>
    </w:p>
    <w:p w14:paraId="73F64F51" w14:textId="77777777" w:rsidR="00354425" w:rsidRDefault="00DB1741">
      <w:pPr>
        <w:spacing w:after="56" w:line="259" w:lineRule="auto"/>
        <w:ind w:left="1080" w:right="0" w:firstLine="0"/>
        <w:jc w:val="left"/>
      </w:pPr>
      <w:r>
        <w:rPr>
          <w:b/>
        </w:rPr>
        <w:t xml:space="preserve"> </w:t>
      </w:r>
    </w:p>
    <w:p w14:paraId="50DF3622" w14:textId="31415B1F" w:rsidR="00DA6E19" w:rsidRDefault="00DB1741">
      <w:pPr>
        <w:tabs>
          <w:tab w:val="center" w:pos="4900"/>
        </w:tabs>
        <w:spacing w:after="152" w:line="250" w:lineRule="auto"/>
        <w:ind w:left="-15" w:right="0" w:firstLine="0"/>
        <w:jc w:val="left"/>
        <w:rPr>
          <w:rFonts w:ascii="Arial" w:eastAsia="Arial" w:hAnsi="Arial" w:cs="Arial"/>
          <w:b/>
        </w:rPr>
      </w:pPr>
      <w:r w:rsidRPr="006237C4">
        <w:rPr>
          <w:bCs/>
        </w:rPr>
        <w:t>3.</w:t>
      </w:r>
      <w:r w:rsidR="001B337B">
        <w:rPr>
          <w:bCs/>
        </w:rPr>
        <w:t>3</w:t>
      </w:r>
      <w:r w:rsidRPr="00EE1F56">
        <w:rPr>
          <w:rFonts w:asciiTheme="minorHAnsi" w:hAnsiTheme="minorHAnsi" w:cstheme="minorHAnsi"/>
          <w:bCs/>
        </w:rPr>
        <w:t>.</w:t>
      </w:r>
      <w:r w:rsidRPr="00EE1F56">
        <w:rPr>
          <w:rFonts w:asciiTheme="minorHAnsi" w:eastAsia="Arial" w:hAnsiTheme="minorHAnsi" w:cstheme="minorHAnsi"/>
          <w:b/>
        </w:rPr>
        <w:t xml:space="preserve"> </w:t>
      </w:r>
      <w:r w:rsidR="00DA6E19" w:rsidRPr="00EE1F56">
        <w:rPr>
          <w:rFonts w:asciiTheme="minorHAnsi" w:eastAsia="Arial" w:hAnsiTheme="minorHAnsi" w:cstheme="minorHAnsi"/>
          <w:b/>
        </w:rPr>
        <w:t xml:space="preserve">         </w:t>
      </w:r>
      <w:r w:rsidR="00EE1F56">
        <w:rPr>
          <w:rFonts w:asciiTheme="minorHAnsi" w:eastAsia="Arial" w:hAnsiTheme="minorHAnsi" w:cstheme="minorHAnsi"/>
          <w:b/>
        </w:rPr>
        <w:t xml:space="preserve">   </w:t>
      </w:r>
      <w:r w:rsidR="00EE1F56">
        <w:rPr>
          <w:rFonts w:asciiTheme="minorHAnsi" w:eastAsia="Arial" w:hAnsiTheme="minorHAnsi" w:cstheme="minorHAnsi"/>
          <w:b/>
          <w:u w:val="single"/>
        </w:rPr>
        <w:t>Č</w:t>
      </w:r>
      <w:r w:rsidR="00DA6E19" w:rsidRPr="00EE1F56">
        <w:rPr>
          <w:rFonts w:asciiTheme="minorHAnsi" w:eastAsia="Arial" w:hAnsiTheme="minorHAnsi" w:cstheme="minorHAnsi"/>
          <w:b/>
          <w:u w:val="single"/>
        </w:rPr>
        <w:t xml:space="preserve">l. VI. odst. 6.3. </w:t>
      </w:r>
      <w:r w:rsidR="001B337B">
        <w:rPr>
          <w:rFonts w:asciiTheme="minorHAnsi" w:eastAsia="Arial" w:hAnsiTheme="minorHAnsi" w:cstheme="minorHAnsi"/>
          <w:b/>
          <w:u w:val="single"/>
        </w:rPr>
        <w:t>S</w:t>
      </w:r>
      <w:r w:rsidR="00DA6E19" w:rsidRPr="00EE1F56">
        <w:rPr>
          <w:rFonts w:asciiTheme="minorHAnsi" w:eastAsia="Arial" w:hAnsiTheme="minorHAnsi" w:cstheme="minorHAnsi"/>
          <w:b/>
          <w:u w:val="single"/>
        </w:rPr>
        <w:t xml:space="preserve">mlouvy se </w:t>
      </w:r>
      <w:r w:rsidR="00DC679F">
        <w:rPr>
          <w:b/>
          <w:u w:val="single" w:color="00000A"/>
        </w:rPr>
        <w:t xml:space="preserve">v plném rozsahu </w:t>
      </w:r>
      <w:proofErr w:type="gramStart"/>
      <w:r w:rsidR="00DC679F" w:rsidRPr="00421493">
        <w:rPr>
          <w:b/>
          <w:u w:val="single" w:color="00000A"/>
        </w:rPr>
        <w:t>ruší</w:t>
      </w:r>
      <w:proofErr w:type="gramEnd"/>
      <w:r w:rsidR="00DC679F" w:rsidRPr="00421493">
        <w:rPr>
          <w:b/>
          <w:u w:val="single" w:color="00000A"/>
        </w:rPr>
        <w:t xml:space="preserve"> a nahrazuje se následujícím novým zněním</w:t>
      </w:r>
      <w:r w:rsidR="00DA6E19" w:rsidRPr="00EE1F56">
        <w:rPr>
          <w:rFonts w:asciiTheme="minorHAnsi" w:eastAsia="Arial" w:hAnsiTheme="minorHAnsi" w:cstheme="minorHAnsi"/>
          <w:b/>
          <w:u w:val="single"/>
        </w:rPr>
        <w:t>:</w:t>
      </w:r>
    </w:p>
    <w:p w14:paraId="2275412A" w14:textId="458819CC" w:rsidR="00DA6E19" w:rsidRPr="000C3930" w:rsidRDefault="00EE1F56" w:rsidP="001B337B">
      <w:pPr>
        <w:spacing w:after="152" w:line="250" w:lineRule="auto"/>
        <w:ind w:left="1045" w:right="0" w:firstLine="0"/>
        <w:rPr>
          <w:rFonts w:ascii="Arial" w:eastAsia="Arial" w:hAnsi="Arial" w:cs="Arial"/>
          <w:b/>
          <w:i/>
          <w:iCs/>
        </w:rPr>
      </w:pPr>
      <w:r>
        <w:rPr>
          <w:bCs/>
        </w:rPr>
        <w:t>„</w:t>
      </w:r>
      <w:r w:rsidRPr="000C3930">
        <w:rPr>
          <w:bCs/>
          <w:i/>
          <w:iCs/>
        </w:rPr>
        <w:t xml:space="preserve">6.3. Celková cena za projekční činnost přechodů pro chodce </w:t>
      </w:r>
      <w:r w:rsidR="00832D70" w:rsidRPr="000C3930">
        <w:rPr>
          <w:bCs/>
          <w:i/>
          <w:iCs/>
        </w:rPr>
        <w:t xml:space="preserve">a podchodů </w:t>
      </w:r>
      <w:r w:rsidRPr="000C3930">
        <w:rPr>
          <w:bCs/>
          <w:i/>
          <w:iCs/>
        </w:rPr>
        <w:t xml:space="preserve">dle čl. VI odst. 6.2. </w:t>
      </w:r>
      <w:proofErr w:type="spellStart"/>
      <w:r w:rsidRPr="000C3930">
        <w:rPr>
          <w:bCs/>
          <w:i/>
          <w:iCs/>
        </w:rPr>
        <w:t>pododst</w:t>
      </w:r>
      <w:proofErr w:type="spellEnd"/>
      <w:r w:rsidRPr="000C3930">
        <w:rPr>
          <w:bCs/>
          <w:i/>
          <w:iCs/>
        </w:rPr>
        <w:t xml:space="preserve">. 6.2.1 až 6.2.4. této Smlouvy činí 6 840 000,- Kč (slovy: šest milionů osm set čtyřicet tisíc korun českých) bez DPH. Celková cena za realizaci Díla dle čl. VI. odst. 6.2. </w:t>
      </w:r>
      <w:proofErr w:type="spellStart"/>
      <w:r w:rsidRPr="000C3930">
        <w:rPr>
          <w:bCs/>
          <w:i/>
          <w:iCs/>
        </w:rPr>
        <w:t>pododst</w:t>
      </w:r>
      <w:proofErr w:type="spellEnd"/>
      <w:r w:rsidRPr="000C3930">
        <w:rPr>
          <w:bCs/>
          <w:i/>
          <w:iCs/>
        </w:rPr>
        <w:t xml:space="preserve">. 6.2.5. až 6.2.7. této Smlouvy přisvětlení přechodů pro chodce </w:t>
      </w:r>
      <w:r w:rsidR="007C474E" w:rsidRPr="000C3930">
        <w:rPr>
          <w:bCs/>
          <w:i/>
          <w:iCs/>
        </w:rPr>
        <w:t>a</w:t>
      </w:r>
      <w:r w:rsidR="00606AA3">
        <w:rPr>
          <w:bCs/>
          <w:i/>
          <w:iCs/>
        </w:rPr>
        <w:t> </w:t>
      </w:r>
      <w:r w:rsidR="007C474E" w:rsidRPr="000C3930">
        <w:rPr>
          <w:bCs/>
          <w:i/>
          <w:iCs/>
        </w:rPr>
        <w:t xml:space="preserve">osvětlení podchodů </w:t>
      </w:r>
      <w:r w:rsidRPr="000C3930">
        <w:rPr>
          <w:bCs/>
          <w:i/>
          <w:iCs/>
        </w:rPr>
        <w:t xml:space="preserve">činí 29 340 000,- Kč (slovy: dvacet devět miliónů tři sta čtyřicet tisíc korun českých) bez DPH.“ </w:t>
      </w:r>
    </w:p>
    <w:p w14:paraId="3D720F2D" w14:textId="77777777" w:rsidR="001B337B" w:rsidRDefault="001B337B" w:rsidP="001B337B">
      <w:pPr>
        <w:spacing w:after="152" w:line="250" w:lineRule="auto"/>
        <w:ind w:left="1045" w:right="0" w:firstLine="0"/>
        <w:rPr>
          <w:rFonts w:ascii="Arial" w:eastAsia="Arial" w:hAnsi="Arial" w:cs="Arial"/>
          <w:b/>
        </w:rPr>
      </w:pPr>
    </w:p>
    <w:p w14:paraId="39083658" w14:textId="58D4037D" w:rsidR="009E556E" w:rsidRDefault="00DA6E19" w:rsidP="009E556E">
      <w:pPr>
        <w:spacing w:after="152" w:line="250" w:lineRule="auto"/>
        <w:ind w:left="993" w:right="0" w:hanging="993"/>
        <w:jc w:val="left"/>
        <w:rPr>
          <w:rFonts w:asciiTheme="minorHAnsi" w:hAnsiTheme="minorHAnsi" w:cstheme="minorHAnsi"/>
          <w:b/>
          <w:color w:val="auto"/>
          <w:u w:val="single" w:color="00000A"/>
        </w:rPr>
      </w:pPr>
      <w:r w:rsidRPr="00DA6E19">
        <w:rPr>
          <w:rFonts w:asciiTheme="minorHAnsi" w:eastAsia="Arial" w:hAnsiTheme="minorHAnsi" w:cstheme="minorHAnsi"/>
          <w:bCs/>
        </w:rPr>
        <w:t>3.</w:t>
      </w:r>
      <w:r w:rsidR="001B337B">
        <w:rPr>
          <w:rFonts w:asciiTheme="minorHAnsi" w:eastAsia="Arial" w:hAnsiTheme="minorHAnsi" w:cstheme="minorHAnsi"/>
          <w:bCs/>
        </w:rPr>
        <w:t>4</w:t>
      </w:r>
      <w:r w:rsidRPr="00DA6E19">
        <w:rPr>
          <w:rFonts w:asciiTheme="minorHAnsi" w:eastAsia="Arial" w:hAnsiTheme="minorHAnsi" w:cstheme="minorHAnsi"/>
          <w:bCs/>
        </w:rPr>
        <w:t>.</w:t>
      </w:r>
      <w:r>
        <w:rPr>
          <w:rFonts w:ascii="Arial" w:eastAsia="Arial" w:hAnsi="Arial" w:cs="Arial"/>
          <w:b/>
        </w:rPr>
        <w:tab/>
      </w:r>
      <w:r w:rsidR="009E556E" w:rsidRPr="00FE0FFD">
        <w:rPr>
          <w:rFonts w:asciiTheme="minorHAnsi" w:eastAsia="Arial" w:hAnsiTheme="minorHAnsi" w:cstheme="minorHAnsi"/>
          <w:b/>
          <w:color w:val="auto"/>
          <w:u w:val="single"/>
        </w:rPr>
        <w:t>Čl</w:t>
      </w:r>
      <w:r w:rsidR="00DB1741" w:rsidRPr="00FE0FFD">
        <w:rPr>
          <w:rFonts w:asciiTheme="minorHAnsi" w:hAnsiTheme="minorHAnsi" w:cstheme="minorHAnsi"/>
          <w:b/>
          <w:color w:val="auto"/>
          <w:u w:val="single" w:color="00000A"/>
        </w:rPr>
        <w:t>.</w:t>
      </w:r>
      <w:r w:rsidR="00DB1741" w:rsidRPr="009E556E">
        <w:rPr>
          <w:rFonts w:asciiTheme="minorHAnsi" w:hAnsiTheme="minorHAnsi" w:cstheme="minorHAnsi"/>
          <w:b/>
          <w:color w:val="auto"/>
          <w:u w:val="single" w:color="00000A"/>
        </w:rPr>
        <w:t xml:space="preserve"> </w:t>
      </w:r>
      <w:r w:rsidR="002013C4" w:rsidRPr="009E556E">
        <w:rPr>
          <w:rFonts w:asciiTheme="minorHAnsi" w:hAnsiTheme="minorHAnsi" w:cstheme="minorHAnsi"/>
          <w:b/>
          <w:color w:val="auto"/>
          <w:u w:val="single" w:color="00000A"/>
        </w:rPr>
        <w:t>VI</w:t>
      </w:r>
      <w:r w:rsidR="00DB1741" w:rsidRPr="009E556E">
        <w:rPr>
          <w:rFonts w:asciiTheme="minorHAnsi" w:hAnsiTheme="minorHAnsi" w:cstheme="minorHAnsi"/>
          <w:b/>
          <w:color w:val="auto"/>
          <w:u w:val="single" w:color="00000A"/>
        </w:rPr>
        <w:t xml:space="preserve">. odst. </w:t>
      </w:r>
      <w:r w:rsidR="002013C4" w:rsidRPr="009E556E">
        <w:rPr>
          <w:rFonts w:asciiTheme="minorHAnsi" w:hAnsiTheme="minorHAnsi" w:cstheme="minorHAnsi"/>
          <w:b/>
          <w:color w:val="auto"/>
          <w:u w:val="single" w:color="00000A"/>
        </w:rPr>
        <w:t>6.4</w:t>
      </w:r>
      <w:r w:rsidR="00DB1741" w:rsidRPr="009E556E">
        <w:rPr>
          <w:rFonts w:asciiTheme="minorHAnsi" w:hAnsiTheme="minorHAnsi" w:cstheme="minorHAnsi"/>
          <w:b/>
          <w:color w:val="auto"/>
          <w:u w:val="single" w:color="00000A"/>
        </w:rPr>
        <w:t xml:space="preserve">. Smlouvy se </w:t>
      </w:r>
      <w:r w:rsidR="00DC679F">
        <w:rPr>
          <w:b/>
          <w:u w:val="single" w:color="00000A"/>
        </w:rPr>
        <w:t xml:space="preserve">v plném rozsahu </w:t>
      </w:r>
      <w:proofErr w:type="gramStart"/>
      <w:r w:rsidR="00DC679F" w:rsidRPr="00421493">
        <w:rPr>
          <w:b/>
          <w:u w:val="single" w:color="00000A"/>
        </w:rPr>
        <w:t>ruší</w:t>
      </w:r>
      <w:proofErr w:type="gramEnd"/>
      <w:r w:rsidR="00DC679F" w:rsidRPr="00421493">
        <w:rPr>
          <w:b/>
          <w:u w:val="single" w:color="00000A"/>
        </w:rPr>
        <w:t xml:space="preserve"> a nahrazuje se následujícím novým zněním</w:t>
      </w:r>
      <w:r w:rsidR="00DC679F">
        <w:rPr>
          <w:b/>
          <w:u w:val="single" w:color="00000A"/>
        </w:rPr>
        <w:t>:</w:t>
      </w:r>
    </w:p>
    <w:p w14:paraId="4B4DD3B5" w14:textId="47477739" w:rsidR="00354425" w:rsidRDefault="009E556E" w:rsidP="00CC15DC">
      <w:pPr>
        <w:spacing w:after="152" w:line="250" w:lineRule="auto"/>
        <w:ind w:left="993" w:right="0" w:hanging="285"/>
        <w:jc w:val="left"/>
      </w:pPr>
      <w:r w:rsidRPr="009E556E">
        <w:rPr>
          <w:rFonts w:asciiTheme="minorHAnsi" w:hAnsiTheme="minorHAnsi" w:cstheme="minorHAnsi"/>
          <w:bCs/>
          <w:i/>
          <w:iCs/>
          <w:color w:val="auto"/>
          <w:u w:color="00000A"/>
        </w:rPr>
        <w:lastRenderedPageBreak/>
        <w:t xml:space="preserve">      </w:t>
      </w:r>
      <w:r>
        <w:rPr>
          <w:rFonts w:asciiTheme="minorHAnsi" w:hAnsiTheme="minorHAnsi" w:cstheme="minorHAnsi"/>
          <w:bCs/>
          <w:i/>
          <w:iCs/>
          <w:color w:val="auto"/>
          <w:u w:color="00000A"/>
        </w:rPr>
        <w:t>„</w:t>
      </w:r>
      <w:r w:rsidR="00DB1741" w:rsidRPr="009E556E">
        <w:rPr>
          <w:b/>
          <w:color w:val="auto"/>
        </w:rPr>
        <w:t xml:space="preserve"> </w:t>
      </w:r>
    </w:p>
    <w:p w14:paraId="03BF9535" w14:textId="77777777" w:rsidR="00354425" w:rsidRDefault="00DB1741">
      <w:pPr>
        <w:spacing w:after="140" w:line="259" w:lineRule="auto"/>
        <w:ind w:left="708" w:right="0" w:firstLine="0"/>
        <w:jc w:val="left"/>
      </w:pPr>
      <w:r>
        <w:t xml:space="preserve"> </w:t>
      </w:r>
    </w:p>
    <w:p w14:paraId="34FF96E4" w14:textId="10D3320A" w:rsidR="009E556E" w:rsidRDefault="00DB1741">
      <w:pPr>
        <w:spacing w:after="0" w:line="276" w:lineRule="auto"/>
        <w:ind w:left="1080" w:firstLine="0"/>
        <w:rPr>
          <w:i/>
          <w:color w:val="000009"/>
        </w:rPr>
      </w:pPr>
      <w:r>
        <w:rPr>
          <w:i/>
          <w:color w:val="000009"/>
        </w:rPr>
        <w:t>„</w:t>
      </w:r>
      <w:r w:rsidR="002013C4">
        <w:rPr>
          <w:i/>
          <w:color w:val="000009"/>
        </w:rPr>
        <w:t>6.4</w:t>
      </w:r>
      <w:r>
        <w:rPr>
          <w:i/>
          <w:color w:val="000009"/>
        </w:rPr>
        <w:t>.</w:t>
      </w:r>
      <w:r w:rsidR="002013C4">
        <w:rPr>
          <w:i/>
          <w:color w:val="000009"/>
        </w:rPr>
        <w:t xml:space="preserve"> Objednatel </w:t>
      </w:r>
      <w:r w:rsidR="005857D8">
        <w:rPr>
          <w:i/>
          <w:color w:val="000009"/>
        </w:rPr>
        <w:t xml:space="preserve">může </w:t>
      </w:r>
      <w:r w:rsidR="002013C4">
        <w:rPr>
          <w:i/>
          <w:color w:val="000009"/>
        </w:rPr>
        <w:t>poskytn</w:t>
      </w:r>
      <w:r w:rsidR="005857D8">
        <w:rPr>
          <w:i/>
          <w:color w:val="000009"/>
        </w:rPr>
        <w:t>out</w:t>
      </w:r>
      <w:r w:rsidR="002013C4">
        <w:rPr>
          <w:i/>
          <w:color w:val="000009"/>
        </w:rPr>
        <w:t xml:space="preserve"> zhotoviteli zálohu.</w:t>
      </w:r>
      <w:r w:rsidR="006C1635">
        <w:rPr>
          <w:i/>
          <w:color w:val="000009"/>
        </w:rPr>
        <w:t xml:space="preserve"> Zhotovitel </w:t>
      </w:r>
      <w:r w:rsidR="005857D8">
        <w:rPr>
          <w:i/>
          <w:color w:val="000009"/>
        </w:rPr>
        <w:t xml:space="preserve">v takovém případě </w:t>
      </w:r>
      <w:r w:rsidR="006C1635">
        <w:rPr>
          <w:i/>
          <w:color w:val="000009"/>
        </w:rPr>
        <w:t xml:space="preserve">vystaví objednateli </w:t>
      </w:r>
      <w:r w:rsidR="003E60AA">
        <w:rPr>
          <w:i/>
          <w:color w:val="000009"/>
        </w:rPr>
        <w:t xml:space="preserve">vzájemně dohodnutou </w:t>
      </w:r>
      <w:r w:rsidR="006C1635">
        <w:rPr>
          <w:i/>
          <w:color w:val="000009"/>
        </w:rPr>
        <w:t xml:space="preserve">zálohovou fakturu ve </w:t>
      </w:r>
      <w:r w:rsidR="005857D8">
        <w:rPr>
          <w:i/>
          <w:color w:val="000009"/>
        </w:rPr>
        <w:t>stanovené výši</w:t>
      </w:r>
      <w:r w:rsidR="006C1635">
        <w:rPr>
          <w:i/>
          <w:color w:val="000009"/>
        </w:rPr>
        <w:t xml:space="preserve"> + příslušné DPH, kterou objednatel uhradí ve lhůtě splatnos</w:t>
      </w:r>
      <w:r w:rsidR="006C1635" w:rsidRPr="000C3930">
        <w:rPr>
          <w:i/>
          <w:color w:val="000009"/>
        </w:rPr>
        <w:t xml:space="preserve">ti </w:t>
      </w:r>
      <w:r w:rsidR="005857D8" w:rsidRPr="000C3930">
        <w:rPr>
          <w:i/>
          <w:color w:val="000009"/>
        </w:rPr>
        <w:t>30</w:t>
      </w:r>
      <w:r w:rsidR="000C3930">
        <w:rPr>
          <w:i/>
          <w:color w:val="000009"/>
        </w:rPr>
        <w:t xml:space="preserve"> </w:t>
      </w:r>
      <w:r w:rsidR="006C1635">
        <w:rPr>
          <w:i/>
          <w:color w:val="000009"/>
        </w:rPr>
        <w:t xml:space="preserve">dnů od jejího doručení objednateli. </w:t>
      </w:r>
      <w:r w:rsidR="00DA6E19">
        <w:rPr>
          <w:i/>
          <w:color w:val="000009"/>
        </w:rPr>
        <w:t xml:space="preserve">Součástí zálohové faktury bude specifikace </w:t>
      </w:r>
      <w:r w:rsidR="00FE0FFD">
        <w:rPr>
          <w:i/>
          <w:color w:val="000009"/>
        </w:rPr>
        <w:t>plnění,</w:t>
      </w:r>
      <w:r w:rsidR="00DA6E19">
        <w:rPr>
          <w:i/>
          <w:color w:val="000009"/>
        </w:rPr>
        <w:t xml:space="preserve"> na které se záloha poskytuje a označení této Smlouvy, případně označení konkrétního pokynu objednatele, k</w:t>
      </w:r>
      <w:r w:rsidR="00FE0FFD">
        <w:rPr>
          <w:i/>
          <w:color w:val="000009"/>
        </w:rPr>
        <w:t>e kterému</w:t>
      </w:r>
      <w:r w:rsidR="00DA6E19">
        <w:rPr>
          <w:i/>
          <w:color w:val="000009"/>
        </w:rPr>
        <w:t xml:space="preserve"> se záloha poskytuje. </w:t>
      </w:r>
      <w:r w:rsidR="006C1635">
        <w:rPr>
          <w:i/>
          <w:color w:val="000009"/>
        </w:rPr>
        <w:t xml:space="preserve">Zálohová faktura se považuje za uhrazenou dnem odepsání příslušné na faktuře uvedené částky z účtu objednatele. Smluvní strany se dohodly, že zhotovitel vystaví objednateli po zaplacení zálohové faktury daňový doklad na přijatou platbu s náležitostmi dle § 28 odst. 2 a 8 zákona č. 235/2004 Sb. </w:t>
      </w:r>
      <w:r w:rsidR="00697879">
        <w:rPr>
          <w:i/>
          <w:color w:val="000009"/>
        </w:rPr>
        <w:t>o dani z přidané hodnoty.</w:t>
      </w:r>
      <w:r w:rsidR="006C1635">
        <w:rPr>
          <w:i/>
          <w:color w:val="000009"/>
        </w:rPr>
        <w:t xml:space="preserve"> </w:t>
      </w:r>
      <w:r w:rsidR="00697879">
        <w:rPr>
          <w:i/>
          <w:color w:val="000009"/>
        </w:rPr>
        <w:t>Po uskutečnění zdanitelného plnění vystaví zhotovitel pro objednatele běžný daňový doklad.</w:t>
      </w:r>
      <w:r w:rsidR="000C3930">
        <w:rPr>
          <w:i/>
          <w:color w:val="000009"/>
        </w:rPr>
        <w:t>“</w:t>
      </w:r>
      <w:r w:rsidR="009E556E">
        <w:rPr>
          <w:i/>
          <w:color w:val="000009"/>
        </w:rPr>
        <w:t xml:space="preserve"> </w:t>
      </w:r>
    </w:p>
    <w:p w14:paraId="034B9B87" w14:textId="3ADC20AD" w:rsidR="00BC3F0F" w:rsidRPr="00221943" w:rsidRDefault="00DB1741" w:rsidP="00221943">
      <w:pPr>
        <w:spacing w:after="13" w:line="259" w:lineRule="auto"/>
        <w:ind w:left="1133" w:right="0" w:firstLine="0"/>
        <w:jc w:val="left"/>
      </w:pPr>
      <w:r>
        <w:rPr>
          <w:i/>
        </w:rPr>
        <w:t xml:space="preserve"> </w:t>
      </w:r>
      <w:r>
        <w:rPr>
          <w:b/>
        </w:rPr>
        <w:t xml:space="preserve"> </w:t>
      </w:r>
    </w:p>
    <w:p w14:paraId="6FFD0EE8" w14:textId="6D12BF8E" w:rsidR="00354425" w:rsidRDefault="00DB1741">
      <w:pPr>
        <w:spacing w:after="0" w:line="259" w:lineRule="auto"/>
        <w:ind w:left="420" w:right="0" w:firstLine="0"/>
        <w:jc w:val="center"/>
      </w:pPr>
      <w:r>
        <w:rPr>
          <w:b/>
          <w:color w:val="000000"/>
        </w:rPr>
        <w:t xml:space="preserve">IV. </w:t>
      </w:r>
    </w:p>
    <w:p w14:paraId="5A31C08F" w14:textId="77777777" w:rsidR="00354425" w:rsidRDefault="00DB1741">
      <w:pPr>
        <w:spacing w:after="0" w:line="259" w:lineRule="auto"/>
        <w:ind w:left="422" w:right="0" w:firstLine="0"/>
        <w:jc w:val="center"/>
      </w:pPr>
      <w:r>
        <w:rPr>
          <w:b/>
          <w:color w:val="000000"/>
        </w:rPr>
        <w:t xml:space="preserve">Společná a závěrečná ustanovení </w:t>
      </w:r>
    </w:p>
    <w:p w14:paraId="41B5058A" w14:textId="77777777" w:rsidR="00354425" w:rsidRDefault="00DB1741">
      <w:pPr>
        <w:spacing w:after="0" w:line="259" w:lineRule="auto"/>
        <w:ind w:left="477" w:right="0" w:firstLine="0"/>
        <w:jc w:val="center"/>
      </w:pPr>
      <w:r>
        <w:rPr>
          <w:color w:val="000000"/>
        </w:rPr>
        <w:t xml:space="preserve"> </w:t>
      </w:r>
    </w:p>
    <w:p w14:paraId="58A265EF" w14:textId="1BB58FE3" w:rsidR="00354425" w:rsidRDefault="00DB1741">
      <w:pPr>
        <w:tabs>
          <w:tab w:val="center" w:pos="1189"/>
          <w:tab w:val="center" w:pos="2334"/>
          <w:tab w:val="center" w:pos="3468"/>
          <w:tab w:val="center" w:pos="4478"/>
          <w:tab w:val="center" w:pos="5557"/>
          <w:tab w:val="center" w:pos="6956"/>
          <w:tab w:val="center" w:pos="8108"/>
          <w:tab w:val="right" w:pos="9221"/>
        </w:tabs>
        <w:ind w:left="-15" w:right="0" w:firstLine="0"/>
        <w:jc w:val="left"/>
      </w:pPr>
      <w:r w:rsidRPr="006237C4">
        <w:rPr>
          <w:bCs/>
        </w:rPr>
        <w:t>4.1.</w:t>
      </w:r>
      <w:r>
        <w:t xml:space="preserve"> </w:t>
      </w:r>
      <w:r>
        <w:tab/>
        <w:t xml:space="preserve">Uzavření </w:t>
      </w:r>
      <w:r>
        <w:tab/>
        <w:t xml:space="preserve">tohoto </w:t>
      </w:r>
      <w:r>
        <w:tab/>
        <w:t xml:space="preserve">Dodatku </w:t>
      </w:r>
      <w:r>
        <w:tab/>
        <w:t xml:space="preserve">bylo </w:t>
      </w:r>
      <w:r>
        <w:tab/>
        <w:t xml:space="preserve">schváleno </w:t>
      </w:r>
      <w:r>
        <w:tab/>
        <w:t xml:space="preserve">usnesením </w:t>
      </w:r>
      <w:r>
        <w:tab/>
        <w:t xml:space="preserve">Rady </w:t>
      </w:r>
      <w:r>
        <w:tab/>
        <w:t xml:space="preserve">  </w:t>
      </w:r>
    </w:p>
    <w:p w14:paraId="692D63C1" w14:textId="6BE67BBE" w:rsidR="00354425" w:rsidRDefault="00DC679F">
      <w:pPr>
        <w:spacing w:after="142" w:line="259" w:lineRule="auto"/>
        <w:ind w:left="852" w:right="0" w:firstLine="0"/>
        <w:jc w:val="left"/>
      </w:pPr>
      <w:r>
        <w:t xml:space="preserve">hl. m. Prahy </w:t>
      </w:r>
      <w:r w:rsidR="00DB1741" w:rsidRPr="00BC3F0F">
        <w:t xml:space="preserve">č. </w:t>
      </w:r>
      <w:r w:rsidR="006237C4" w:rsidRPr="006237C4">
        <w:rPr>
          <w:highlight w:val="yellow"/>
        </w:rPr>
        <w:t>……….</w:t>
      </w:r>
      <w:r w:rsidR="00DB1741" w:rsidRPr="00BC3F0F">
        <w:t xml:space="preserve"> ze dne </w:t>
      </w:r>
      <w:r w:rsidR="006237C4" w:rsidRPr="006237C4">
        <w:rPr>
          <w:highlight w:val="yellow"/>
        </w:rPr>
        <w:t>……</w:t>
      </w:r>
      <w:proofErr w:type="gramStart"/>
      <w:r w:rsidR="006237C4" w:rsidRPr="006237C4">
        <w:rPr>
          <w:highlight w:val="yellow"/>
        </w:rPr>
        <w:t>…….</w:t>
      </w:r>
      <w:proofErr w:type="gramEnd"/>
      <w:r w:rsidR="00DB1741" w:rsidRPr="00BC3F0F">
        <w:t>.</w:t>
      </w:r>
      <w:r w:rsidR="00DB1741">
        <w:t xml:space="preserve"> </w:t>
      </w:r>
    </w:p>
    <w:p w14:paraId="0D58CC77" w14:textId="77777777" w:rsidR="00354425" w:rsidRDefault="00DB1741">
      <w:pPr>
        <w:spacing w:after="166"/>
        <w:ind w:left="837" w:right="0" w:hanging="852"/>
      </w:pPr>
      <w:r w:rsidRPr="006237C4">
        <w:rPr>
          <w:bCs/>
        </w:rPr>
        <w:t>4.2.</w:t>
      </w:r>
      <w:r>
        <w:t xml:space="preserve">        Tento Dodatek nabývá platnosti dnem jeho uzavření. Dnem uzavření tohoto Dodatku je den označený datem u podpisů Smluvních stran. Je-li takto označeno více dní, je dnem uzavření tohoto Dodatku den z označených dnů nejpozdější. </w:t>
      </w:r>
    </w:p>
    <w:p w14:paraId="22A8B38B" w14:textId="2E8AD668" w:rsidR="00354425" w:rsidRDefault="00DB1741">
      <w:pPr>
        <w:spacing w:after="166"/>
        <w:ind w:left="837" w:right="0" w:hanging="852"/>
      </w:pPr>
      <w:r w:rsidRPr="006237C4">
        <w:rPr>
          <w:bCs/>
        </w:rPr>
        <w:t>4.3.</w:t>
      </w:r>
      <w:r>
        <w:rPr>
          <w:rFonts w:ascii="Arial" w:eastAsia="Arial" w:hAnsi="Arial" w:cs="Arial"/>
          <w:b/>
        </w:rPr>
        <w:t xml:space="preserve"> </w:t>
      </w:r>
      <w:r w:rsidR="00BC3F0F">
        <w:rPr>
          <w:rFonts w:ascii="Arial" w:eastAsia="Arial" w:hAnsi="Arial" w:cs="Arial"/>
          <w:b/>
        </w:rPr>
        <w:t xml:space="preserve">   </w:t>
      </w:r>
      <w:r>
        <w:t xml:space="preserve">Smluvní strany berou na vědomí, že tento Dodatek podléhá povinnosti uveřejnění prostřednictvím registru smluv v souladu se zákonem č. 340/2015 Sb., o zvláštních podmínkách účinnosti některých smluv, uveřejňování těchto smluv a o registru smluv (zákon o registru smluv), ve znění pozdějších předpisů. Smluvní strany berou dále na vědomí, že tento Dodatek nabývá účinnosti dnem jeho uveřejnění prostřednictvím registru smluv. Zhotovitel zašle tento Dodatek správci registru smluv k uveřejnění bez zbytečného odkladu, nejpozději však do třiceti (30) dnů od jeho uzavření.  </w:t>
      </w:r>
    </w:p>
    <w:p w14:paraId="3CFCABD2" w14:textId="75CB732D" w:rsidR="00354425" w:rsidRDefault="00DB1741" w:rsidP="00BC3F0F">
      <w:pPr>
        <w:spacing w:after="164"/>
        <w:ind w:left="851" w:right="0" w:hanging="866"/>
      </w:pPr>
      <w:r w:rsidRPr="006237C4">
        <w:rPr>
          <w:bCs/>
        </w:rPr>
        <w:t>4.4.</w:t>
      </w:r>
      <w:r>
        <w:rPr>
          <w:rFonts w:ascii="Arial" w:eastAsia="Arial" w:hAnsi="Arial" w:cs="Arial"/>
          <w:b/>
        </w:rPr>
        <w:t xml:space="preserve"> </w:t>
      </w:r>
      <w:r w:rsidR="00BC3F0F">
        <w:rPr>
          <w:rFonts w:ascii="Arial" w:eastAsia="Arial" w:hAnsi="Arial" w:cs="Arial"/>
          <w:b/>
        </w:rPr>
        <w:t xml:space="preserve">    </w:t>
      </w:r>
      <w:r w:rsidR="006237C4">
        <w:rPr>
          <w:rFonts w:ascii="Arial" w:eastAsia="Arial" w:hAnsi="Arial" w:cs="Arial"/>
          <w:b/>
        </w:rPr>
        <w:tab/>
      </w:r>
      <w:r>
        <w:t>Ostatní ustanovení Smlouvy tímto Dodatkem nedotčená zůstávají nadále v platnosti a</w:t>
      </w:r>
      <w:r w:rsidR="00606AA3">
        <w:t> </w:t>
      </w:r>
      <w:r>
        <w:t xml:space="preserve">beze změn. </w:t>
      </w:r>
    </w:p>
    <w:p w14:paraId="44586657" w14:textId="7CDFF7E6" w:rsidR="00354425" w:rsidRDefault="00DB1741">
      <w:pPr>
        <w:spacing w:after="164"/>
        <w:ind w:left="837" w:right="0" w:hanging="852"/>
      </w:pPr>
      <w:r w:rsidRPr="006237C4">
        <w:rPr>
          <w:bCs/>
        </w:rPr>
        <w:t>4.5.</w:t>
      </w:r>
      <w:r>
        <w:rPr>
          <w:rFonts w:ascii="Arial" w:eastAsia="Arial" w:hAnsi="Arial" w:cs="Arial"/>
          <w:b/>
        </w:rPr>
        <w:t xml:space="preserve"> </w:t>
      </w:r>
      <w:r w:rsidR="00BC3F0F">
        <w:rPr>
          <w:rFonts w:ascii="Arial" w:eastAsia="Arial" w:hAnsi="Arial" w:cs="Arial"/>
          <w:b/>
        </w:rPr>
        <w:t xml:space="preserve">     </w:t>
      </w:r>
      <w:r w:rsidR="006237C4">
        <w:rPr>
          <w:rFonts w:ascii="Arial" w:eastAsia="Arial" w:hAnsi="Arial" w:cs="Arial"/>
          <w:b/>
        </w:rPr>
        <w:tab/>
      </w:r>
      <w:r>
        <w:t>Smluvní strany výslovně souhlasí s tím, aby tento Dodatek byl uveden v Centrální evidenci smluv (CES) vedené HMP, která je veřejně přístupná a která obsahuje údaje o</w:t>
      </w:r>
      <w:r w:rsidR="00606AA3">
        <w:t> </w:t>
      </w:r>
      <w:r>
        <w:t xml:space="preserve">Smluvních stranách, číselné označení tohoto Dodatku, datum podpisu a jeho text.  </w:t>
      </w:r>
    </w:p>
    <w:p w14:paraId="0E5AE349" w14:textId="00DF1F1F" w:rsidR="00354425" w:rsidRDefault="00DB1741">
      <w:pPr>
        <w:spacing w:after="163"/>
        <w:ind w:left="837" w:right="0" w:hanging="852"/>
      </w:pPr>
      <w:r w:rsidRPr="006237C4">
        <w:rPr>
          <w:bCs/>
        </w:rPr>
        <w:t>4.6.</w:t>
      </w:r>
      <w:r>
        <w:rPr>
          <w:rFonts w:ascii="Arial" w:eastAsia="Arial" w:hAnsi="Arial" w:cs="Arial"/>
          <w:b/>
        </w:rPr>
        <w:t xml:space="preserve"> </w:t>
      </w:r>
      <w:r w:rsidR="00BC3F0F">
        <w:rPr>
          <w:rFonts w:ascii="Arial" w:eastAsia="Arial" w:hAnsi="Arial" w:cs="Arial"/>
          <w:b/>
        </w:rPr>
        <w:t xml:space="preserve">      </w:t>
      </w:r>
      <w:r>
        <w:t>Smluvní strany prohlašují, že uvedené skutečnosti nepovažují za obchodní tajemství ve smyslu ustanovení § 504 Občanského zákoníku</w:t>
      </w:r>
      <w:r>
        <w:rPr>
          <w:rFonts w:ascii="Times New Roman" w:eastAsia="Times New Roman" w:hAnsi="Times New Roman" w:cs="Times New Roman"/>
          <w:color w:val="000000"/>
        </w:rPr>
        <w:t xml:space="preserve"> </w:t>
      </w:r>
      <w:r>
        <w:rPr>
          <w:color w:val="000000"/>
        </w:rPr>
        <w:t>a udělují svolení k jejich užití a</w:t>
      </w:r>
      <w:r w:rsidR="00606AA3">
        <w:rPr>
          <w:color w:val="000000"/>
        </w:rPr>
        <w:t> </w:t>
      </w:r>
      <w:r>
        <w:rPr>
          <w:color w:val="000000"/>
        </w:rPr>
        <w:t>zveřejnění, s výjimkou osobních údajů</w:t>
      </w:r>
      <w:r>
        <w:t xml:space="preserve">. </w:t>
      </w:r>
    </w:p>
    <w:p w14:paraId="4FCE2C87" w14:textId="545EFAAE" w:rsidR="00354425" w:rsidRDefault="00DB1741">
      <w:pPr>
        <w:spacing w:after="156" w:line="276" w:lineRule="auto"/>
        <w:ind w:left="837" w:right="-12" w:hanging="852"/>
      </w:pPr>
      <w:r w:rsidRPr="006237C4">
        <w:rPr>
          <w:bCs/>
        </w:rPr>
        <w:lastRenderedPageBreak/>
        <w:t>4.7.</w:t>
      </w:r>
      <w:r>
        <w:rPr>
          <w:rFonts w:ascii="Arial" w:eastAsia="Arial" w:hAnsi="Arial" w:cs="Arial"/>
          <w:b/>
        </w:rPr>
        <w:t xml:space="preserve"> </w:t>
      </w:r>
      <w:r w:rsidR="00BC3F0F">
        <w:rPr>
          <w:rFonts w:ascii="Arial" w:eastAsia="Arial" w:hAnsi="Arial" w:cs="Arial"/>
          <w:b/>
        </w:rPr>
        <w:t xml:space="preserve">    </w:t>
      </w:r>
      <w:r>
        <w:rPr>
          <w:color w:val="000000"/>
        </w:rPr>
        <w:t>Smluvní strany shodně prohlašují, že jsou si vědomy, že objednatel i zhotovitel jsou povinni na dotaz třetí osoby poskytovat informace podle ustanovení zákona č.</w:t>
      </w:r>
      <w:r w:rsidR="00606AA3">
        <w:rPr>
          <w:color w:val="000000"/>
        </w:rPr>
        <w:t> </w:t>
      </w:r>
      <w:r>
        <w:rPr>
          <w:color w:val="000000"/>
        </w:rPr>
        <w:t>106/1999 Sb., o svobodném přístupu k informacím, ve znění pozdějších předpisů, a</w:t>
      </w:r>
      <w:r w:rsidR="00606AA3">
        <w:rPr>
          <w:color w:val="000000"/>
        </w:rPr>
        <w:t> </w:t>
      </w:r>
      <w:r>
        <w:rPr>
          <w:color w:val="000000"/>
        </w:rPr>
        <w:t xml:space="preserve">souhlasí s tím, aby veškeré informace v tomto Dodatku obsažené, s výjimkou osobních údajů, byly poskytnuty třetím osobám, pokud si je vyžádají. </w:t>
      </w:r>
      <w:r>
        <w:t xml:space="preserve"> </w:t>
      </w:r>
    </w:p>
    <w:p w14:paraId="60C95F2F" w14:textId="3B065DD3" w:rsidR="00354425" w:rsidRDefault="00DB1741" w:rsidP="006237C4">
      <w:pPr>
        <w:spacing w:after="129"/>
        <w:ind w:left="837" w:right="0" w:hanging="852"/>
      </w:pPr>
      <w:r w:rsidRPr="006237C4">
        <w:rPr>
          <w:bCs/>
        </w:rPr>
        <w:t>4.8.</w:t>
      </w:r>
      <w:r>
        <w:rPr>
          <w:rFonts w:ascii="Arial" w:eastAsia="Arial" w:hAnsi="Arial" w:cs="Arial"/>
          <w:b/>
        </w:rPr>
        <w:t xml:space="preserve"> </w:t>
      </w:r>
      <w:r w:rsidR="00BC3F0F">
        <w:rPr>
          <w:rFonts w:ascii="Arial" w:eastAsia="Arial" w:hAnsi="Arial" w:cs="Arial"/>
          <w:b/>
        </w:rPr>
        <w:t xml:space="preserve">  </w:t>
      </w:r>
      <w:r>
        <w:t xml:space="preserve">Bude-li nebo stane-li se kterékoli ustanovení tohoto Dodatku neplatné nebo nevymahatelné, nebo pokud by některá ustanovení chyběla, nezpůsobuje to neplatnost ani nevymahatelnost ostatních ustanovení tohoto Dodatku, pokud je takové ustanovení oddělitelné od tohoto Dodatku jako celku, při zachování účelu tohoto Dodatku. Smluvní strany se zavazují bez zbytečného odkladu po zjištění nedostatků ve výše uvedeném smyslu, nahradit takové ustanovení ustanovením, které bude svým obsahem a účelem co možná nejbližší obsahu a účelu ustanovení neplatného nebo nevymahatelného. </w:t>
      </w:r>
      <w:r>
        <w:rPr>
          <w:color w:val="000000"/>
        </w:rPr>
        <w:t xml:space="preserve">  </w:t>
      </w:r>
    </w:p>
    <w:p w14:paraId="28557F4B" w14:textId="08271F29" w:rsidR="00354425" w:rsidRDefault="00DB1741">
      <w:pPr>
        <w:spacing w:after="164"/>
        <w:ind w:left="837" w:right="0" w:hanging="852"/>
      </w:pPr>
      <w:r w:rsidRPr="006237C4">
        <w:rPr>
          <w:bCs/>
        </w:rPr>
        <w:t>4.</w:t>
      </w:r>
      <w:r w:rsidR="006237C4" w:rsidRPr="006237C4">
        <w:rPr>
          <w:bCs/>
        </w:rPr>
        <w:t>9</w:t>
      </w:r>
      <w:r w:rsidRPr="006237C4">
        <w:rPr>
          <w:bCs/>
        </w:rPr>
        <w:t>.</w:t>
      </w:r>
      <w:r>
        <w:rPr>
          <w:rFonts w:ascii="Arial" w:eastAsia="Arial" w:hAnsi="Arial" w:cs="Arial"/>
          <w:b/>
        </w:rPr>
        <w:t xml:space="preserve"> </w:t>
      </w:r>
      <w:r w:rsidR="00BC3F0F">
        <w:rPr>
          <w:rFonts w:ascii="Arial" w:eastAsia="Arial" w:hAnsi="Arial" w:cs="Arial"/>
          <w:b/>
        </w:rPr>
        <w:t xml:space="preserve">  </w:t>
      </w:r>
      <w:r>
        <w:t>Tento Dodatek je vyhotoven v</w:t>
      </w:r>
      <w:r w:rsidR="002013C4">
        <w:t>e čtyřech</w:t>
      </w:r>
      <w:r w:rsidR="00935325">
        <w:t xml:space="preserve"> </w:t>
      </w:r>
      <w:r>
        <w:t>(</w:t>
      </w:r>
      <w:r w:rsidR="002013C4">
        <w:t>4</w:t>
      </w:r>
      <w:r>
        <w:t xml:space="preserve">) vyhotoveních s platností originálu, z nichž objednatel obdrží </w:t>
      </w:r>
      <w:r w:rsidR="00935325">
        <w:t>čtyři</w:t>
      </w:r>
      <w:r>
        <w:t xml:space="preserve"> (</w:t>
      </w:r>
      <w:r w:rsidR="002013C4">
        <w:t>2</w:t>
      </w:r>
      <w:r>
        <w:t xml:space="preserve">) </w:t>
      </w:r>
      <w:r w:rsidR="00935325">
        <w:t>vyhotovení</w:t>
      </w:r>
      <w:r>
        <w:t xml:space="preserve"> a zhotovitel </w:t>
      </w:r>
      <w:r w:rsidR="00935325">
        <w:t xml:space="preserve">obdrží </w:t>
      </w:r>
      <w:r>
        <w:t>dv</w:t>
      </w:r>
      <w:r w:rsidR="00935325">
        <w:t>ě</w:t>
      </w:r>
      <w:r>
        <w:t xml:space="preserve"> (2)</w:t>
      </w:r>
      <w:r w:rsidR="00935325">
        <w:t xml:space="preserve"> vyhotovení</w:t>
      </w:r>
      <w:r>
        <w:t>.</w:t>
      </w:r>
      <w:r>
        <w:rPr>
          <w:color w:val="000000"/>
        </w:rPr>
        <w:t xml:space="preserve"> </w:t>
      </w:r>
      <w:r>
        <w:t xml:space="preserve">V případě, že je tento Dodatek uzavírán elektronicky za využití uznávaných elektronických podpisů, postačí jedno (1) vyhotovení Dodatku, na kterém jsou zaznamenány uznávané elektronické podpisy zástupců Smluvních stran oprávněných tento Dodatek uzavřít.  </w:t>
      </w:r>
    </w:p>
    <w:p w14:paraId="73012554" w14:textId="7DE46BCF" w:rsidR="00354425" w:rsidRDefault="00DB1741">
      <w:pPr>
        <w:spacing w:after="127"/>
        <w:ind w:left="837" w:right="0" w:hanging="852"/>
      </w:pPr>
      <w:r w:rsidRPr="006237C4">
        <w:rPr>
          <w:bCs/>
        </w:rPr>
        <w:t>4.1</w:t>
      </w:r>
      <w:r w:rsidR="006237C4" w:rsidRPr="006237C4">
        <w:rPr>
          <w:bCs/>
        </w:rPr>
        <w:t>0</w:t>
      </w:r>
      <w:r w:rsidRPr="006237C4">
        <w:rPr>
          <w:bCs/>
        </w:rPr>
        <w:t>.</w:t>
      </w:r>
      <w:r>
        <w:rPr>
          <w:rFonts w:ascii="Arial" w:eastAsia="Arial" w:hAnsi="Arial" w:cs="Arial"/>
          <w:b/>
        </w:rPr>
        <w:t xml:space="preserve"> </w:t>
      </w:r>
      <w:r w:rsidR="00BC3F0F">
        <w:rPr>
          <w:rFonts w:ascii="Arial" w:eastAsia="Arial" w:hAnsi="Arial" w:cs="Arial"/>
          <w:b/>
        </w:rPr>
        <w:t xml:space="preserve">  </w:t>
      </w:r>
      <w:r>
        <w:t xml:space="preserve">Smluvní strany prohlašují, že si celý tento Dodatek, důkladně a řádně přečetly, jeho obsahu zcela porozuměly, tento je jim bez pochybností srozumitelný a určitý, že jim nejsou v den uzavření tohoto Dodatku známy žádné důvody, pro které by tento Dodatek nemohl být řádně plněn nebo které by způsobovaly neplatnost tohoto Dodatku, a že jeho obsah je projevem jejich pravé, svobodné a vážné vůle prosté omylu, na důkaz čehož připojují zástupci obou Smluvních stran své podpisy. </w:t>
      </w:r>
    </w:p>
    <w:p w14:paraId="0E01F37E" w14:textId="77777777" w:rsidR="00354425" w:rsidRDefault="00DB1741">
      <w:pPr>
        <w:spacing w:after="142" w:line="259" w:lineRule="auto"/>
        <w:ind w:left="852" w:right="0" w:firstLine="0"/>
        <w:jc w:val="left"/>
      </w:pPr>
      <w:r>
        <w:t xml:space="preserve"> </w:t>
      </w:r>
    </w:p>
    <w:p w14:paraId="09A63CD2" w14:textId="6E686BF3" w:rsidR="00935325" w:rsidRPr="001B337B" w:rsidRDefault="00DB1741">
      <w:pPr>
        <w:spacing w:after="35" w:line="259" w:lineRule="auto"/>
        <w:ind w:left="0" w:right="0" w:firstLine="0"/>
        <w:jc w:val="left"/>
        <w:rPr>
          <w:color w:val="000000"/>
        </w:rPr>
      </w:pPr>
      <w:r>
        <w:rPr>
          <w:color w:val="000000"/>
        </w:rPr>
        <w:t xml:space="preserve"> </w:t>
      </w:r>
    </w:p>
    <w:p w14:paraId="6126A5BC" w14:textId="6EB538D0" w:rsidR="00354425" w:rsidRDefault="00DB1741">
      <w:pPr>
        <w:tabs>
          <w:tab w:val="center" w:pos="2124"/>
          <w:tab w:val="center" w:pos="2833"/>
          <w:tab w:val="center" w:pos="3541"/>
          <w:tab w:val="center" w:pos="4249"/>
          <w:tab w:val="center" w:pos="5566"/>
        </w:tabs>
        <w:spacing w:after="0" w:line="259" w:lineRule="auto"/>
        <w:ind w:left="-15" w:right="0" w:firstLine="0"/>
        <w:jc w:val="left"/>
      </w:pPr>
      <w:r>
        <w:rPr>
          <w:color w:val="000000"/>
        </w:rPr>
        <w:t xml:space="preserve">V Praze </w:t>
      </w:r>
      <w:proofErr w:type="gramStart"/>
      <w:r>
        <w:rPr>
          <w:color w:val="000000"/>
        </w:rPr>
        <w:t xml:space="preserve">dne:  </w:t>
      </w:r>
      <w:r>
        <w:rPr>
          <w:color w:val="000000"/>
        </w:rPr>
        <w:tab/>
      </w:r>
      <w:proofErr w:type="gramEnd"/>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V Praze dne:  </w:t>
      </w:r>
    </w:p>
    <w:p w14:paraId="22B0F557" w14:textId="77777777" w:rsidR="00354425" w:rsidRDefault="00DB1741">
      <w:pPr>
        <w:spacing w:after="0" w:line="259" w:lineRule="auto"/>
        <w:ind w:left="0" w:right="0" w:firstLine="0"/>
        <w:jc w:val="left"/>
      </w:pPr>
      <w:r>
        <w:rPr>
          <w:color w:val="000000"/>
        </w:rPr>
        <w:t xml:space="preserve"> </w:t>
      </w:r>
    </w:p>
    <w:p w14:paraId="79C0CE7D" w14:textId="77777777" w:rsidR="00354425" w:rsidRDefault="00DB1741">
      <w:pPr>
        <w:spacing w:after="0" w:line="259" w:lineRule="auto"/>
        <w:ind w:left="0" w:right="0" w:firstLine="0"/>
        <w:jc w:val="left"/>
      </w:pPr>
      <w:r>
        <w:rPr>
          <w:color w:val="000000"/>
        </w:rPr>
        <w:t xml:space="preserve"> </w:t>
      </w:r>
    </w:p>
    <w:p w14:paraId="74BE80FA" w14:textId="77777777" w:rsidR="00354425" w:rsidRDefault="00DB1741">
      <w:pPr>
        <w:tabs>
          <w:tab w:val="center" w:pos="2124"/>
          <w:tab w:val="center" w:pos="2833"/>
          <w:tab w:val="center" w:pos="3541"/>
          <w:tab w:val="center" w:pos="4249"/>
          <w:tab w:val="center" w:pos="5676"/>
        </w:tabs>
        <w:spacing w:after="0" w:line="259" w:lineRule="auto"/>
        <w:ind w:left="-15" w:right="0" w:firstLine="0"/>
        <w:jc w:val="left"/>
      </w:pPr>
      <w:r>
        <w:rPr>
          <w:color w:val="000000"/>
        </w:rPr>
        <w:t xml:space="preserve">Za objednatele: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Za zhotovitele: </w:t>
      </w:r>
    </w:p>
    <w:p w14:paraId="4B66E27E" w14:textId="77777777" w:rsidR="00354425" w:rsidRDefault="00DB1741">
      <w:pPr>
        <w:spacing w:after="0" w:line="259" w:lineRule="auto"/>
        <w:ind w:left="0" w:right="0" w:firstLine="0"/>
        <w:jc w:val="left"/>
      </w:pPr>
      <w:r>
        <w:rPr>
          <w:color w:val="000000"/>
        </w:rPr>
        <w:t xml:space="preserve"> </w:t>
      </w:r>
    </w:p>
    <w:p w14:paraId="378584CF" w14:textId="37024A61" w:rsidR="009A613F" w:rsidRDefault="00DB1741">
      <w:pPr>
        <w:spacing w:after="0" w:line="259" w:lineRule="auto"/>
        <w:ind w:left="0" w:right="0" w:firstLine="0"/>
        <w:jc w:val="left"/>
        <w:rPr>
          <w:color w:val="000000"/>
        </w:rPr>
      </w:pPr>
      <w:r>
        <w:rPr>
          <w:color w:val="000000"/>
        </w:rPr>
        <w:t xml:space="preserve"> </w:t>
      </w:r>
    </w:p>
    <w:p w14:paraId="1BF4E402" w14:textId="77777777" w:rsidR="001B337B" w:rsidRPr="001B337B" w:rsidRDefault="001B337B">
      <w:pPr>
        <w:spacing w:after="0" w:line="259" w:lineRule="auto"/>
        <w:ind w:left="0" w:right="0" w:firstLine="0"/>
        <w:jc w:val="left"/>
        <w:rPr>
          <w:color w:val="000000"/>
        </w:rPr>
      </w:pPr>
    </w:p>
    <w:p w14:paraId="722B7869" w14:textId="77777777" w:rsidR="00354425" w:rsidRDefault="00DB1741">
      <w:pPr>
        <w:spacing w:after="0" w:line="259" w:lineRule="auto"/>
        <w:ind w:left="0" w:right="0" w:firstLine="0"/>
        <w:jc w:val="left"/>
      </w:pPr>
      <w:r>
        <w:rPr>
          <w:color w:val="000000"/>
        </w:rPr>
        <w:t xml:space="preserve"> </w:t>
      </w:r>
    </w:p>
    <w:p w14:paraId="08B7510E" w14:textId="7B07D45C" w:rsidR="00354425" w:rsidRDefault="00DB1741">
      <w:pPr>
        <w:ind w:left="-5" w:right="1030"/>
      </w:pPr>
      <w:r>
        <w:t xml:space="preserve">……………………………………….   </w:t>
      </w:r>
      <w:r w:rsidR="00BC3F0F">
        <w:t xml:space="preserve">                                         </w:t>
      </w:r>
      <w:r>
        <w:t xml:space="preserve"> …………………………………………… </w:t>
      </w:r>
    </w:p>
    <w:p w14:paraId="0680261D" w14:textId="4BA2D03B" w:rsidR="00BC3F0F" w:rsidRDefault="00215818">
      <w:pPr>
        <w:tabs>
          <w:tab w:val="center" w:pos="4249"/>
          <w:tab w:val="center" w:pos="6766"/>
        </w:tabs>
        <w:ind w:left="-15" w:right="0" w:firstLine="0"/>
        <w:jc w:val="left"/>
      </w:pPr>
      <w:r>
        <w:rPr>
          <w:b/>
        </w:rPr>
        <w:t>xxxxxx</w:t>
      </w:r>
      <w:r w:rsidR="00BC3F0F">
        <w:t xml:space="preserve"> </w:t>
      </w:r>
      <w:r w:rsidR="00BC3F0F">
        <w:tab/>
        <w:t xml:space="preserve">                                              </w:t>
      </w:r>
      <w:r w:rsidR="00BC3F0F">
        <w:rPr>
          <w:b/>
        </w:rPr>
        <w:t>Tomáš Jílek</w:t>
      </w:r>
      <w:r w:rsidR="00BC3F0F">
        <w:t xml:space="preserve">  </w:t>
      </w:r>
    </w:p>
    <w:p w14:paraId="7BAD31C4" w14:textId="2FD85408" w:rsidR="00354425" w:rsidRDefault="004942A7">
      <w:pPr>
        <w:tabs>
          <w:tab w:val="center" w:pos="4249"/>
          <w:tab w:val="center" w:pos="6766"/>
        </w:tabs>
        <w:ind w:left="-15" w:right="0" w:firstLine="0"/>
        <w:jc w:val="left"/>
      </w:pPr>
      <w:r>
        <w:t xml:space="preserve">ředitel odboru dopravy </w:t>
      </w:r>
      <w:r w:rsidR="00DB1741">
        <w:tab/>
        <w:t xml:space="preserve"> </w:t>
      </w:r>
      <w:r w:rsidR="00DB1741">
        <w:tab/>
        <w:t xml:space="preserve">předseda představenstva společnosti </w:t>
      </w:r>
    </w:p>
    <w:p w14:paraId="3E5B286F" w14:textId="77777777" w:rsidR="00354425" w:rsidRDefault="00DB1741">
      <w:pPr>
        <w:tabs>
          <w:tab w:val="center" w:pos="2833"/>
          <w:tab w:val="center" w:pos="3541"/>
          <w:tab w:val="center" w:pos="4249"/>
          <w:tab w:val="center" w:pos="6851"/>
          <w:tab w:val="center" w:pos="9206"/>
        </w:tabs>
        <w:ind w:left="-15" w:right="0" w:firstLine="0"/>
        <w:jc w:val="left"/>
      </w:pPr>
      <w:r>
        <w:t xml:space="preserve">Magistrátu hl. m. Prahy </w:t>
      </w:r>
      <w:r>
        <w:tab/>
        <w:t xml:space="preserve"> </w:t>
      </w:r>
      <w:r>
        <w:tab/>
        <w:t xml:space="preserve"> </w:t>
      </w:r>
      <w:r>
        <w:tab/>
        <w:t xml:space="preserve"> </w:t>
      </w:r>
      <w:r>
        <w:tab/>
        <w:t xml:space="preserve">Technologie hlavního města Prahy, a.s. </w:t>
      </w:r>
      <w:r>
        <w:tab/>
        <w:t xml:space="preserve"> </w:t>
      </w:r>
    </w:p>
    <w:p w14:paraId="4A2B0A75" w14:textId="77777777" w:rsidR="00354425" w:rsidRDefault="00DB1741">
      <w:pPr>
        <w:spacing w:after="0" w:line="259" w:lineRule="auto"/>
        <w:ind w:left="0" w:right="0" w:firstLine="0"/>
        <w:jc w:val="left"/>
      </w:pPr>
      <w:r>
        <w:lastRenderedPageBreak/>
        <w:t xml:space="preserve"> </w:t>
      </w:r>
    </w:p>
    <w:p w14:paraId="703D0610" w14:textId="77777777" w:rsidR="00354425" w:rsidRDefault="00DB1741">
      <w:pPr>
        <w:spacing w:after="0" w:line="259" w:lineRule="auto"/>
        <w:ind w:left="0" w:right="0" w:firstLine="0"/>
        <w:jc w:val="left"/>
      </w:pPr>
      <w:r>
        <w:t xml:space="preserve"> </w:t>
      </w:r>
    </w:p>
    <w:p w14:paraId="017EA200" w14:textId="3C7EF17D" w:rsidR="00935325" w:rsidRDefault="00935325">
      <w:pPr>
        <w:spacing w:after="0" w:line="259" w:lineRule="auto"/>
        <w:ind w:left="0" w:right="0" w:firstLine="0"/>
        <w:jc w:val="left"/>
      </w:pPr>
    </w:p>
    <w:p w14:paraId="5FED7187" w14:textId="77777777" w:rsidR="00354425" w:rsidRDefault="00DB1741">
      <w:pPr>
        <w:spacing w:after="0" w:line="259" w:lineRule="auto"/>
        <w:ind w:left="0" w:right="0" w:firstLine="0"/>
        <w:jc w:val="left"/>
      </w:pPr>
      <w:r>
        <w:t xml:space="preserve"> </w:t>
      </w:r>
    </w:p>
    <w:p w14:paraId="332925EE" w14:textId="679A6EDC" w:rsidR="00354425" w:rsidRDefault="00DB1741">
      <w:pPr>
        <w:spacing w:after="2" w:line="256" w:lineRule="auto"/>
        <w:ind w:left="-5" w:right="1030"/>
        <w:jc w:val="left"/>
      </w:pPr>
      <w:r>
        <w:t xml:space="preserve"> </w:t>
      </w:r>
      <w:r>
        <w:tab/>
        <w:t xml:space="preserve"> </w:t>
      </w:r>
      <w:r>
        <w:tab/>
        <w:t xml:space="preserve"> </w:t>
      </w:r>
      <w:r>
        <w:tab/>
        <w:t xml:space="preserve"> </w:t>
      </w:r>
      <w:r>
        <w:tab/>
        <w:t xml:space="preserve"> </w:t>
      </w:r>
      <w:r>
        <w:tab/>
        <w:t xml:space="preserve"> </w:t>
      </w:r>
      <w:r>
        <w:tab/>
        <w:t xml:space="preserve"> </w:t>
      </w:r>
      <w:r>
        <w:tab/>
        <w:t>……………………………………………</w:t>
      </w:r>
      <w:r>
        <w:rPr>
          <w:sz w:val="20"/>
        </w:rPr>
        <w:t xml:space="preserve"> </w:t>
      </w:r>
      <w:r>
        <w:t xml:space="preserve"> </w:t>
      </w:r>
      <w:r>
        <w:tab/>
        <w:t xml:space="preserve"> </w:t>
      </w:r>
      <w:r>
        <w:tab/>
        <w:t xml:space="preserve"> </w:t>
      </w:r>
      <w:r>
        <w:tab/>
        <w:t xml:space="preserve"> </w:t>
      </w:r>
      <w:r>
        <w:tab/>
        <w:t xml:space="preserve"> </w:t>
      </w:r>
      <w:r>
        <w:tab/>
        <w:t xml:space="preserve"> </w:t>
      </w:r>
      <w:r>
        <w:tab/>
        <w:t xml:space="preserve"> </w:t>
      </w:r>
      <w:r>
        <w:tab/>
      </w:r>
      <w:r w:rsidR="00BC3F0F">
        <w:tab/>
      </w:r>
      <w:r>
        <w:rPr>
          <w:b/>
        </w:rPr>
        <w:t xml:space="preserve">Ing. Tomáš Novotný  </w:t>
      </w:r>
    </w:p>
    <w:p w14:paraId="2FD25FF7" w14:textId="23A6B103" w:rsidR="00354425" w:rsidRDefault="00DB1741" w:rsidP="00935325">
      <w:pPr>
        <w:spacing w:after="199"/>
        <w:ind w:left="-5" w:right="0"/>
        <w:sectPr w:rsidR="00354425" w:rsidSect="009A613F">
          <w:headerReference w:type="default" r:id="rId7"/>
          <w:footerReference w:type="even" r:id="rId8"/>
          <w:footerReference w:type="default" r:id="rId9"/>
          <w:headerReference w:type="first" r:id="rId10"/>
          <w:footerReference w:type="first" r:id="rId11"/>
          <w:pgSz w:w="11906" w:h="16838"/>
          <w:pgMar w:top="1743" w:right="1269" w:bottom="1885" w:left="1416" w:header="708" w:footer="706" w:gutter="0"/>
          <w:cols w:space="708"/>
          <w:titlePg/>
          <w:docGrid w:linePitch="326"/>
        </w:sectPr>
      </w:pPr>
      <w:r>
        <w:t xml:space="preserve"> </w:t>
      </w:r>
      <w:r>
        <w:tab/>
        <w:t xml:space="preserve"> </w:t>
      </w:r>
      <w:r>
        <w:tab/>
        <w:t xml:space="preserve"> </w:t>
      </w:r>
      <w:r>
        <w:tab/>
        <w:t xml:space="preserve"> </w:t>
      </w:r>
      <w:r>
        <w:tab/>
        <w:t xml:space="preserve"> </w:t>
      </w:r>
      <w:r>
        <w:tab/>
        <w:t xml:space="preserve"> </w:t>
      </w:r>
      <w:r>
        <w:tab/>
        <w:t xml:space="preserve"> </w:t>
      </w:r>
      <w:r>
        <w:tab/>
        <w:t xml:space="preserve">místopředseda představenstva společnosti </w:t>
      </w:r>
      <w:r>
        <w:tab/>
        <w:t xml:space="preserve"> </w:t>
      </w:r>
      <w:r>
        <w:tab/>
        <w:t xml:space="preserve"> </w:t>
      </w:r>
      <w:r>
        <w:tab/>
        <w:t xml:space="preserve"> </w:t>
      </w:r>
      <w:r>
        <w:tab/>
        <w:t xml:space="preserve"> </w:t>
      </w:r>
      <w:r>
        <w:tab/>
        <w:t xml:space="preserve"> </w:t>
      </w:r>
      <w:r>
        <w:tab/>
        <w:t xml:space="preserve"> </w:t>
      </w:r>
      <w:r>
        <w:tab/>
      </w:r>
      <w:r w:rsidR="00BC3F0F">
        <w:tab/>
      </w:r>
      <w:r w:rsidR="00BC3F0F">
        <w:tab/>
      </w:r>
      <w:r>
        <w:t>Technologie hlavního města Prahy, a</w:t>
      </w:r>
      <w:r w:rsidR="00221943">
        <w:t>.s</w:t>
      </w:r>
      <w:r w:rsidR="00816D3E">
        <w:t>.</w:t>
      </w:r>
    </w:p>
    <w:p w14:paraId="15D53C10" w14:textId="520776FB" w:rsidR="00354425" w:rsidRDefault="00354425" w:rsidP="00816D3E">
      <w:pPr>
        <w:spacing w:after="0" w:line="259" w:lineRule="auto"/>
        <w:ind w:left="0" w:right="0" w:firstLine="0"/>
        <w:jc w:val="left"/>
      </w:pPr>
    </w:p>
    <w:sectPr w:rsidR="00354425">
      <w:footerReference w:type="even" r:id="rId12"/>
      <w:footerReference w:type="default" r:id="rId13"/>
      <w:footerReference w:type="first" r:id="rId14"/>
      <w:pgSz w:w="11904" w:h="16834"/>
      <w:pgMar w:top="277" w:right="5871" w:bottom="96" w:left="46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510E" w14:textId="77777777" w:rsidR="00152D76" w:rsidRDefault="00152D76">
      <w:pPr>
        <w:spacing w:after="0" w:line="240" w:lineRule="auto"/>
      </w:pPr>
      <w:r>
        <w:separator/>
      </w:r>
    </w:p>
  </w:endnote>
  <w:endnote w:type="continuationSeparator" w:id="0">
    <w:p w14:paraId="270BDEFB" w14:textId="77777777" w:rsidR="00152D76" w:rsidRDefault="0015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KrausSmall">
    <w:altName w:val="Calibri"/>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1A81" w14:textId="77777777" w:rsidR="00354425" w:rsidRDefault="00DB1741">
    <w:pPr>
      <w:spacing w:after="0" w:line="259" w:lineRule="auto"/>
      <w:ind w:left="0" w:right="4"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B968E0C" w14:textId="77777777" w:rsidR="00354425" w:rsidRDefault="00DB1741">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9F6D" w14:textId="77777777" w:rsidR="00354425" w:rsidRDefault="00DB1741">
    <w:pPr>
      <w:spacing w:after="0" w:line="259" w:lineRule="auto"/>
      <w:ind w:left="0" w:right="4"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CCCFCA0" w14:textId="77777777" w:rsidR="00354425" w:rsidRDefault="00DB1741">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D818" w14:textId="77777777" w:rsidR="00354425" w:rsidRDefault="00DB1741">
    <w:pPr>
      <w:spacing w:after="0" w:line="259" w:lineRule="auto"/>
      <w:ind w:left="0" w:right="4"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675D31A" w14:textId="77777777" w:rsidR="00354425" w:rsidRDefault="00DB1741">
    <w:pPr>
      <w:spacing w:after="0" w:line="259" w:lineRule="auto"/>
      <w:ind w:left="0" w:right="0" w:firstLine="0"/>
      <w:jc w:val="left"/>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D260" w14:textId="77777777" w:rsidR="00354425" w:rsidRDefault="0035442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03F3" w14:textId="77777777" w:rsidR="00354425" w:rsidRDefault="0035442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EF9B" w14:textId="77777777" w:rsidR="00354425" w:rsidRDefault="003544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A1A4" w14:textId="77777777" w:rsidR="00152D76" w:rsidRDefault="00152D76">
      <w:pPr>
        <w:spacing w:after="0" w:line="240" w:lineRule="auto"/>
      </w:pPr>
      <w:r>
        <w:separator/>
      </w:r>
    </w:p>
  </w:footnote>
  <w:footnote w:type="continuationSeparator" w:id="0">
    <w:p w14:paraId="1BA1422A" w14:textId="77777777" w:rsidR="00152D76" w:rsidRDefault="0015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4643" w14:textId="6CB8558A" w:rsidR="009A613F" w:rsidRDefault="009A613F" w:rsidP="009A613F">
    <w:pPr>
      <w:pStyle w:val="Zhlav"/>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56E3" w14:textId="1667DB8C" w:rsidR="009A613F" w:rsidRPr="006F1D98" w:rsidRDefault="00816D3E" w:rsidP="00F7170E">
    <w:pPr>
      <w:pStyle w:val="Zhlav"/>
      <w:tabs>
        <w:tab w:val="clear" w:pos="4536"/>
        <w:tab w:val="clear" w:pos="9072"/>
        <w:tab w:val="left" w:pos="2745"/>
      </w:tabs>
      <w:jc w:val="left"/>
      <w:rPr>
        <w:i/>
        <w:iCs/>
      </w:rPr>
    </w:pPr>
    <w:r w:rsidRPr="00AE65DE">
      <w:rPr>
        <w:noProof/>
      </w:rPr>
      <w:drawing>
        <wp:inline distT="0" distB="0" distL="0" distR="0" wp14:anchorId="44457739" wp14:editId="37FBAA30">
          <wp:extent cx="800100" cy="790575"/>
          <wp:effectExtent l="19050" t="0" r="0" b="0"/>
          <wp:docPr id="1"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élogo"/>
                  <pic:cNvPicPr>
                    <a:picLocks noChangeAspect="1" noChangeArrowheads="1"/>
                  </pic:cNvPicPr>
                </pic:nvPicPr>
                <pic:blipFill>
                  <a:blip r:embed="rId1"/>
                  <a:srcRect/>
                  <a:stretch>
                    <a:fillRect/>
                  </a:stretch>
                </pic:blipFill>
                <pic:spPr bwMode="auto">
                  <a:xfrm>
                    <a:off x="0" y="0"/>
                    <a:ext cx="800100" cy="790575"/>
                  </a:xfrm>
                  <a:prstGeom prst="rect">
                    <a:avLst/>
                  </a:prstGeom>
                  <a:noFill/>
                  <a:ln w="9525">
                    <a:noFill/>
                    <a:miter lim="800000"/>
                    <a:headEnd/>
                    <a:tailEnd/>
                  </a:ln>
                </pic:spPr>
              </pic:pic>
            </a:graphicData>
          </a:graphic>
        </wp:inline>
      </w:drawing>
    </w:r>
    <w:r w:rsidR="00F7170E">
      <w:rPr>
        <w:i/>
        <w:iCs/>
      </w:rPr>
      <w:t xml:space="preserve">    příloha č. 1 k usnesení Rady hl. m. Prahy </w:t>
    </w:r>
    <w:proofErr w:type="gramStart"/>
    <w:r w:rsidR="00F7170E">
      <w:rPr>
        <w:i/>
        <w:iCs/>
      </w:rPr>
      <w:t>č….</w:t>
    </w:r>
    <w:proofErr w:type="gramEnd"/>
    <w:r w:rsidR="00F7170E">
      <w:rPr>
        <w:i/>
        <w:iCs/>
      </w:rPr>
      <w:t>.ze dne……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25"/>
    <w:rsid w:val="00014F41"/>
    <w:rsid w:val="00077680"/>
    <w:rsid w:val="000C3930"/>
    <w:rsid w:val="000E130C"/>
    <w:rsid w:val="00105CC2"/>
    <w:rsid w:val="00152D76"/>
    <w:rsid w:val="00172719"/>
    <w:rsid w:val="001B337B"/>
    <w:rsid w:val="001D65D6"/>
    <w:rsid w:val="001E3DFD"/>
    <w:rsid w:val="001E3E60"/>
    <w:rsid w:val="002013C4"/>
    <w:rsid w:val="00215818"/>
    <w:rsid w:val="00221943"/>
    <w:rsid w:val="002E4EFF"/>
    <w:rsid w:val="003300E7"/>
    <w:rsid w:val="00354425"/>
    <w:rsid w:val="00390AFC"/>
    <w:rsid w:val="003E60AA"/>
    <w:rsid w:val="00421493"/>
    <w:rsid w:val="00461537"/>
    <w:rsid w:val="00475CC7"/>
    <w:rsid w:val="00482116"/>
    <w:rsid w:val="004942A7"/>
    <w:rsid w:val="004B484F"/>
    <w:rsid w:val="0054563F"/>
    <w:rsid w:val="005470DD"/>
    <w:rsid w:val="005857D8"/>
    <w:rsid w:val="005B0C2D"/>
    <w:rsid w:val="00606AA3"/>
    <w:rsid w:val="006237C4"/>
    <w:rsid w:val="00697879"/>
    <w:rsid w:val="006C1635"/>
    <w:rsid w:val="006D283E"/>
    <w:rsid w:val="006F1D98"/>
    <w:rsid w:val="006F78AB"/>
    <w:rsid w:val="007976CF"/>
    <w:rsid w:val="007C474E"/>
    <w:rsid w:val="00816D3E"/>
    <w:rsid w:val="00832D70"/>
    <w:rsid w:val="00865564"/>
    <w:rsid w:val="008C3E7F"/>
    <w:rsid w:val="008D66A7"/>
    <w:rsid w:val="00935325"/>
    <w:rsid w:val="00935B5F"/>
    <w:rsid w:val="009A613F"/>
    <w:rsid w:val="009E556E"/>
    <w:rsid w:val="009F0DBC"/>
    <w:rsid w:val="00A807AD"/>
    <w:rsid w:val="00AD0C12"/>
    <w:rsid w:val="00B23056"/>
    <w:rsid w:val="00B54D71"/>
    <w:rsid w:val="00BB1E4D"/>
    <w:rsid w:val="00BC3F0F"/>
    <w:rsid w:val="00BF7400"/>
    <w:rsid w:val="00C2082B"/>
    <w:rsid w:val="00C63F28"/>
    <w:rsid w:val="00CB1932"/>
    <w:rsid w:val="00CC15DC"/>
    <w:rsid w:val="00D91F8B"/>
    <w:rsid w:val="00D94378"/>
    <w:rsid w:val="00DA0422"/>
    <w:rsid w:val="00DA6E19"/>
    <w:rsid w:val="00DB1741"/>
    <w:rsid w:val="00DC679F"/>
    <w:rsid w:val="00DD2E91"/>
    <w:rsid w:val="00E00E69"/>
    <w:rsid w:val="00E01594"/>
    <w:rsid w:val="00E34A15"/>
    <w:rsid w:val="00E36352"/>
    <w:rsid w:val="00EC0902"/>
    <w:rsid w:val="00EE1F56"/>
    <w:rsid w:val="00EE68DF"/>
    <w:rsid w:val="00F5480A"/>
    <w:rsid w:val="00F7170E"/>
    <w:rsid w:val="00FC0250"/>
    <w:rsid w:val="00FE0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2EF74"/>
  <w15:docId w15:val="{98528EFF-D115-4199-BA9A-746B3623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8" w:lineRule="auto"/>
      <w:ind w:left="10" w:right="3" w:hanging="10"/>
      <w:jc w:val="both"/>
    </w:pPr>
    <w:rPr>
      <w:rFonts w:ascii="Calibri" w:eastAsia="Calibri" w:hAnsi="Calibri" w:cs="Calibri"/>
      <w:color w:val="00000A"/>
      <w:sz w:val="24"/>
    </w:rPr>
  </w:style>
  <w:style w:type="paragraph" w:styleId="Nadpis1">
    <w:name w:val="heading 1"/>
    <w:next w:val="Normln"/>
    <w:link w:val="Nadpis1Char"/>
    <w:uiPriority w:val="9"/>
    <w:qFormat/>
    <w:pPr>
      <w:keepNext/>
      <w:keepLines/>
      <w:spacing w:after="0"/>
      <w:ind w:left="10" w:hanging="10"/>
      <w:jc w:val="center"/>
      <w:outlineLvl w:val="0"/>
    </w:pPr>
    <w:rPr>
      <w:rFonts w:ascii="Calibri" w:eastAsia="Calibri" w:hAnsi="Calibri" w:cs="Calibri"/>
      <w:b/>
      <w:color w:val="00000A"/>
      <w:sz w:val="24"/>
    </w:rPr>
  </w:style>
  <w:style w:type="paragraph" w:styleId="Nadpis2">
    <w:name w:val="heading 2"/>
    <w:next w:val="Normln"/>
    <w:link w:val="Nadpis2Char"/>
    <w:uiPriority w:val="9"/>
    <w:unhideWhenUsed/>
    <w:qFormat/>
    <w:pPr>
      <w:keepNext/>
      <w:keepLines/>
      <w:spacing w:after="0"/>
      <w:ind w:left="10" w:right="3" w:hanging="10"/>
      <w:outlineLvl w:val="1"/>
    </w:pPr>
    <w:rPr>
      <w:rFonts w:ascii="Calibri" w:eastAsia="Calibri" w:hAnsi="Calibri" w:cs="Calibri"/>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A"/>
      <w:sz w:val="24"/>
    </w:rPr>
  </w:style>
  <w:style w:type="character" w:customStyle="1" w:styleId="Nadpis2Char">
    <w:name w:val="Nadpis 2 Char"/>
    <w:link w:val="Nadpis2"/>
    <w:rPr>
      <w:rFonts w:ascii="Calibri" w:eastAsia="Calibri" w:hAnsi="Calibri" w:cs="Calibri"/>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A61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13F"/>
    <w:rPr>
      <w:rFonts w:ascii="Calibri" w:eastAsia="Calibri" w:hAnsi="Calibri" w:cs="Calibri"/>
      <w:color w:val="00000A"/>
      <w:sz w:val="24"/>
    </w:rPr>
  </w:style>
  <w:style w:type="character" w:styleId="Odkaznakoment">
    <w:name w:val="annotation reference"/>
    <w:basedOn w:val="Standardnpsmoodstavce"/>
    <w:uiPriority w:val="99"/>
    <w:semiHidden/>
    <w:unhideWhenUsed/>
    <w:rsid w:val="006F78AB"/>
    <w:rPr>
      <w:sz w:val="16"/>
      <w:szCs w:val="16"/>
    </w:rPr>
  </w:style>
  <w:style w:type="paragraph" w:styleId="Textkomente">
    <w:name w:val="annotation text"/>
    <w:basedOn w:val="Normln"/>
    <w:link w:val="TextkomenteChar"/>
    <w:uiPriority w:val="99"/>
    <w:unhideWhenUsed/>
    <w:rsid w:val="006F78AB"/>
    <w:pPr>
      <w:spacing w:line="240" w:lineRule="auto"/>
    </w:pPr>
    <w:rPr>
      <w:sz w:val="20"/>
      <w:szCs w:val="20"/>
    </w:rPr>
  </w:style>
  <w:style w:type="character" w:customStyle="1" w:styleId="TextkomenteChar">
    <w:name w:val="Text komentáře Char"/>
    <w:basedOn w:val="Standardnpsmoodstavce"/>
    <w:link w:val="Textkomente"/>
    <w:uiPriority w:val="99"/>
    <w:rsid w:val="006F78AB"/>
    <w:rPr>
      <w:rFonts w:ascii="Calibri" w:eastAsia="Calibri" w:hAnsi="Calibri" w:cs="Calibri"/>
      <w:color w:val="00000A"/>
      <w:sz w:val="20"/>
      <w:szCs w:val="20"/>
    </w:rPr>
  </w:style>
  <w:style w:type="paragraph" w:styleId="Pedmtkomente">
    <w:name w:val="annotation subject"/>
    <w:basedOn w:val="Textkomente"/>
    <w:next w:val="Textkomente"/>
    <w:link w:val="PedmtkomenteChar"/>
    <w:uiPriority w:val="99"/>
    <w:semiHidden/>
    <w:unhideWhenUsed/>
    <w:rsid w:val="006F78AB"/>
    <w:rPr>
      <w:b/>
      <w:bCs/>
    </w:rPr>
  </w:style>
  <w:style w:type="character" w:customStyle="1" w:styleId="PedmtkomenteChar">
    <w:name w:val="Předmět komentáře Char"/>
    <w:basedOn w:val="TextkomenteChar"/>
    <w:link w:val="Pedmtkomente"/>
    <w:uiPriority w:val="99"/>
    <w:semiHidden/>
    <w:rsid w:val="006F78AB"/>
    <w:rPr>
      <w:rFonts w:ascii="Calibri" w:eastAsia="Calibri" w:hAnsi="Calibri" w:cs="Calibri"/>
      <w:b/>
      <w:bCs/>
      <w:color w:val="00000A"/>
      <w:sz w:val="20"/>
      <w:szCs w:val="20"/>
    </w:rPr>
  </w:style>
  <w:style w:type="character" w:styleId="Hypertextovodkaz">
    <w:name w:val="Hyperlink"/>
    <w:basedOn w:val="Standardnpsmoodstavce"/>
    <w:uiPriority w:val="99"/>
    <w:unhideWhenUsed/>
    <w:rsid w:val="00461537"/>
    <w:rPr>
      <w:color w:val="0563C1" w:themeColor="hyperlink"/>
      <w:u w:val="single"/>
    </w:rPr>
  </w:style>
  <w:style w:type="character" w:styleId="Nevyeenzmnka">
    <w:name w:val="Unresolved Mention"/>
    <w:basedOn w:val="Standardnpsmoodstavce"/>
    <w:uiPriority w:val="99"/>
    <w:semiHidden/>
    <w:unhideWhenUsed/>
    <w:rsid w:val="00461537"/>
    <w:rPr>
      <w:color w:val="605E5C"/>
      <w:shd w:val="clear" w:color="auto" w:fill="E1DFDD"/>
    </w:rPr>
  </w:style>
  <w:style w:type="paragraph" w:styleId="Revize">
    <w:name w:val="Revision"/>
    <w:hidden/>
    <w:uiPriority w:val="99"/>
    <w:semiHidden/>
    <w:rsid w:val="00CB1932"/>
    <w:pPr>
      <w:spacing w:after="0" w:line="240" w:lineRule="auto"/>
    </w:pPr>
    <w:rPr>
      <w:rFonts w:ascii="Calibri" w:eastAsia="Calibri" w:hAnsi="Calibri" w:cs="Calibri"/>
      <w:color w:val="00000A"/>
      <w:sz w:val="24"/>
    </w:rPr>
  </w:style>
  <w:style w:type="paragraph" w:styleId="Bezmezer">
    <w:name w:val="No Spacing"/>
    <w:link w:val="BezmezerChar"/>
    <w:qFormat/>
    <w:rsid w:val="00816D3E"/>
    <w:pPr>
      <w:spacing w:after="0" w:line="320" w:lineRule="exact"/>
      <w:jc w:val="both"/>
    </w:pPr>
    <w:rPr>
      <w:rFonts w:ascii="Times New Roman" w:eastAsia="Calibri" w:hAnsi="Times New Roman" w:cs="Times New Roman"/>
      <w:lang w:eastAsia="en-US"/>
    </w:rPr>
  </w:style>
  <w:style w:type="character" w:customStyle="1" w:styleId="BezmezerChar">
    <w:name w:val="Bez mezer Char"/>
    <w:link w:val="Bezmezer"/>
    <w:rsid w:val="00816D3E"/>
    <w:rPr>
      <w:rFonts w:ascii="Times New Roman" w:eastAsia="Calibri" w:hAnsi="Times New Roman" w:cs="Times New Roman"/>
      <w:lang w:eastAsia="en-US"/>
    </w:rPr>
  </w:style>
  <w:style w:type="paragraph" w:customStyle="1" w:styleId="PID">
    <w:name w:val="PID"/>
    <w:basedOn w:val="Normln"/>
    <w:next w:val="Normln"/>
    <w:link w:val="PIDChar"/>
    <w:qFormat/>
    <w:rsid w:val="00816D3E"/>
    <w:pPr>
      <w:framePr w:hSpace="142" w:wrap="around" w:vAnchor="page" w:hAnchor="margin" w:xAlign="right" w:y="706"/>
      <w:spacing w:after="0" w:line="240" w:lineRule="auto"/>
      <w:ind w:left="0" w:right="0" w:firstLine="0"/>
      <w:jc w:val="center"/>
    </w:pPr>
    <w:rPr>
      <w:rFonts w:ascii="CKKrausSmall" w:hAnsi="CKKrausSmall" w:cs="Times New Roman"/>
      <w:color w:val="auto"/>
      <w:sz w:val="60"/>
      <w:szCs w:val="72"/>
    </w:rPr>
  </w:style>
  <w:style w:type="character" w:customStyle="1" w:styleId="PIDChar">
    <w:name w:val="PID Char"/>
    <w:link w:val="PID"/>
    <w:rsid w:val="00816D3E"/>
    <w:rPr>
      <w:rFonts w:ascii="CKKrausSmall" w:eastAsia="Calibri" w:hAnsi="CKKrausSmall" w:cs="Times New Roman"/>
      <w:sz w:val="60"/>
      <w:szCs w:val="72"/>
    </w:rPr>
  </w:style>
  <w:style w:type="paragraph" w:customStyle="1" w:styleId="PID2">
    <w:name w:val="PID2"/>
    <w:basedOn w:val="Normln"/>
    <w:link w:val="PID2Char"/>
    <w:qFormat/>
    <w:rsid w:val="00816D3E"/>
    <w:pPr>
      <w:framePr w:hSpace="142" w:wrap="around" w:vAnchor="page" w:hAnchor="margin" w:xAlign="right" w:y="704"/>
      <w:spacing w:after="0" w:line="240" w:lineRule="auto"/>
      <w:ind w:left="0" w:right="0" w:firstLine="0"/>
      <w:suppressOverlap/>
      <w:jc w:val="center"/>
    </w:pPr>
    <w:rPr>
      <w:rFonts w:ascii="Times New Roman" w:hAnsi="Times New Roman" w:cs="Arial"/>
      <w:color w:val="auto"/>
      <w:sz w:val="22"/>
      <w:szCs w:val="20"/>
    </w:rPr>
  </w:style>
  <w:style w:type="character" w:customStyle="1" w:styleId="PID2Char">
    <w:name w:val="PID2 Char"/>
    <w:link w:val="PID2"/>
    <w:rsid w:val="00816D3E"/>
    <w:rPr>
      <w:rFonts w:ascii="Times New Roman" w:eastAsia="Calibri"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1D86-8005-4624-AA86-2978F845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1484</Words>
  <Characters>8758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Vítová</dc:creator>
  <cp:keywords/>
  <cp:lastModifiedBy>Vítová Petra</cp:lastModifiedBy>
  <cp:revision>2</cp:revision>
  <cp:lastPrinted>2023-11-27T07:29:00Z</cp:lastPrinted>
  <dcterms:created xsi:type="dcterms:W3CDTF">2023-12-18T10:37:00Z</dcterms:created>
  <dcterms:modified xsi:type="dcterms:W3CDTF">2023-12-18T10:37:00Z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2023-12-18T10:36:15Z</vt:lpwstr>
  </property>
  <property fmtid="{D5CDD505-2E9C-101B-9397-08002B2CF9AE}" pid="4" name="MSIP_Label_53b2c928-728b-4698-a3fd-c5d03555aa71_Method">
    <vt:lpwstr>Privileged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54dd2668-df9f-4892-9ff5-2749cbdf079e</vt:lpwstr>
  </property>
  <property fmtid="{D5CDD505-2E9C-101B-9397-08002B2CF9AE}" pid="8" name="MSIP_Label_53b2c928-728b-4698-a3fd-c5d03555aa71_ContentBits">
    <vt:lpwstr>0</vt:lpwstr>
  </property>
</Properties>
</file>