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15D0" w14:textId="0A905FEA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č. </w:t>
      </w:r>
      <w:r w:rsidR="003D0A00">
        <w:rPr>
          <w:rFonts w:ascii="Times New Roman" w:hAnsi="Times New Roman"/>
        </w:rPr>
        <w:t>8</w:t>
      </w:r>
      <w:r w:rsidR="00CB5B9A">
        <w:rPr>
          <w:rFonts w:ascii="Times New Roman" w:hAnsi="Times New Roman"/>
        </w:rPr>
        <w:t>/20</w:t>
      </w:r>
      <w:r w:rsidR="007800C1">
        <w:rPr>
          <w:rFonts w:ascii="Times New Roman" w:hAnsi="Times New Roman"/>
        </w:rPr>
        <w:t>2</w:t>
      </w:r>
      <w:r w:rsidR="003D0A00">
        <w:rPr>
          <w:rFonts w:ascii="Times New Roman" w:hAnsi="Times New Roman"/>
        </w:rPr>
        <w:t>3</w:t>
      </w:r>
    </w:p>
    <w:p w14:paraId="0382910D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30353F3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603"/>
      </w:tblGrid>
      <w:tr w:rsidR="004161B7" w:rsidRPr="00964106" w14:paraId="5641D5B3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1B85BE7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8AAA9D3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1B7" w:rsidRPr="00964106" w14:paraId="1A5A69FA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36B009E5" w14:textId="77777777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>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</w:t>
            </w:r>
            <w:proofErr w:type="gramEnd"/>
            <w:r w:rsidR="005B4B70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1A78762D" w14:textId="5C2BDB22" w:rsidR="000147EA" w:rsidRPr="00964106" w:rsidRDefault="003D0A0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BIOMAC s.r.o. zastoupený </w:t>
            </w:r>
            <w:r w:rsidR="004161B7">
              <w:rPr>
                <w:rFonts w:ascii="Times New Roman" w:hAnsi="Times New Roman"/>
              </w:rPr>
              <w:t>:::::::::::::::::::::::::::::</w:t>
            </w:r>
          </w:p>
        </w:tc>
      </w:tr>
      <w:tr w:rsidR="004161B7" w:rsidRPr="00964106" w14:paraId="163FF97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A05631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7175C62" w14:textId="1B4CE170" w:rsidR="000147EA" w:rsidRPr="00964106" w:rsidRDefault="00E37464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3D0A00">
              <w:rPr>
                <w:rFonts w:ascii="Times New Roman" w:hAnsi="Times New Roman"/>
              </w:rPr>
              <w:t>Brníčko 1009, 783 91 Uničov</w:t>
            </w:r>
          </w:p>
        </w:tc>
      </w:tr>
      <w:tr w:rsidR="004161B7" w:rsidRPr="00964106" w14:paraId="076939C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F52FAB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1D6A05B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1B7" w:rsidRPr="00964106" w14:paraId="5593589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AD994E0" w14:textId="77777777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8314791" w14:textId="5F8E1C2D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1B7" w:rsidRPr="00964106" w14:paraId="5F0C668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0BBA887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0A3CF194" w14:textId="1441093C"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3D0A00">
              <w:rPr>
                <w:rFonts w:ascii="Times New Roman" w:hAnsi="Times New Roman"/>
              </w:rPr>
              <w:t>25859145</w:t>
            </w:r>
          </w:p>
        </w:tc>
      </w:tr>
      <w:tr w:rsidR="004161B7" w:rsidRPr="00964106" w14:paraId="58F18E13" w14:textId="77777777" w:rsidTr="003D0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9C5FF8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  <w:shd w:val="clear" w:color="auto" w:fill="BFBFBF" w:themeFill="background1" w:themeFillShade="BF"/>
          </w:tcPr>
          <w:p w14:paraId="3BE846D1" w14:textId="5F83D96B" w:rsidR="000147EA" w:rsidRPr="00F92A74" w:rsidRDefault="000147EA" w:rsidP="0015478C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1B7" w:rsidRPr="00964106" w14:paraId="3D117CC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5E45A0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645F74D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1B7" w:rsidRPr="00964106" w14:paraId="3CA7E6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2ED7626" w14:textId="77777777"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3A89344B" w14:textId="4B008D97" w:rsidR="004F299A" w:rsidRPr="004F299A" w:rsidRDefault="004161B7" w:rsidP="00FE2EA5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404040"/>
              </w:rPr>
              <w:t>:::::::::::::::::::::::::::::::::::::::::::::::::::::::::::::::::::::::::::::::::::::::::::::::::::::::::::::::::::::::</w:t>
            </w:r>
            <w:proofErr w:type="gramEnd"/>
            <w:r w:rsidR="004F299A" w:rsidRPr="004F299A">
              <w:rPr>
                <w:rFonts w:ascii="Times New Roman" w:hAnsi="Times New Roman"/>
                <w:color w:val="404040"/>
              </w:rPr>
              <w:t xml:space="preserve">Firma </w:t>
            </w:r>
            <w:r w:rsidR="004F299A">
              <w:rPr>
                <w:rFonts w:ascii="Times New Roman" w:hAnsi="Times New Roman"/>
                <w:color w:val="404040"/>
              </w:rPr>
              <w:t xml:space="preserve"> je </w:t>
            </w:r>
            <w:r w:rsidR="004F299A"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="004F299A" w:rsidRPr="004F299A">
              <w:rPr>
                <w:rFonts w:ascii="Times New Roman" w:hAnsi="Times New Roman"/>
              </w:rPr>
              <w:t>C 2</w:t>
            </w:r>
            <w:r w:rsidR="007E0CB1">
              <w:rPr>
                <w:rFonts w:ascii="Times New Roman" w:hAnsi="Times New Roman"/>
              </w:rPr>
              <w:t>2652</w:t>
            </w:r>
            <w:r w:rsidR="004F299A" w:rsidRPr="004F299A">
              <w:rPr>
                <w:rFonts w:ascii="Times New Roman" w:hAnsi="Times New Roman"/>
              </w:rPr>
              <w:t xml:space="preserve">,  vedená u </w:t>
            </w:r>
            <w:r w:rsidR="007E0CB1">
              <w:rPr>
                <w:rFonts w:ascii="Times New Roman" w:hAnsi="Times New Roman"/>
              </w:rPr>
              <w:t>Krajského soudu v Ostravě</w:t>
            </w:r>
          </w:p>
        </w:tc>
      </w:tr>
    </w:tbl>
    <w:p w14:paraId="1041D03B" w14:textId="77777777"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14:paraId="47DE2F37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14:paraId="31C62B45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97"/>
      </w:tblGrid>
      <w:tr w:rsidR="00964106" w:rsidRPr="00964106" w14:paraId="576002EB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A76CB30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A5DB119" w14:textId="77777777" w:rsidR="000147EA" w:rsidRPr="00964106" w:rsidRDefault="00713E5F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Dětský domov a Školní jídelna,</w:t>
            </w:r>
          </w:p>
        </w:tc>
      </w:tr>
      <w:tr w:rsidR="00964106" w:rsidRPr="00964106" w14:paraId="048E57A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5CCE5C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186562DC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Lipová u Šluknova 417, příspěvková organizace</w:t>
            </w:r>
          </w:p>
        </w:tc>
      </w:tr>
      <w:tr w:rsidR="00964106" w:rsidRPr="00964106" w14:paraId="32FAB81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3C68C2B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52FC4548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č. p. 417, 407 81 Lipová</w:t>
            </w:r>
          </w:p>
        </w:tc>
      </w:tr>
      <w:tr w:rsidR="00964106" w:rsidRPr="00964106" w14:paraId="5BDFD4E5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7744701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14:paraId="22D4E19C" w14:textId="10CF56D7" w:rsidR="000147EA" w:rsidRPr="00964106" w:rsidRDefault="004161B7" w:rsidP="00510186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::::::::::::::::::::::::::::::::::::::::::</w:t>
            </w:r>
            <w:r w:rsidR="0015478C">
              <w:rPr>
                <w:rFonts w:ascii="Times New Roman" w:hAnsi="Times New Roman"/>
              </w:rPr>
              <w:t>.,</w:t>
            </w:r>
            <w:proofErr w:type="gramEnd"/>
            <w:r w:rsidR="0015478C">
              <w:rPr>
                <w:rFonts w:ascii="Times New Roman" w:hAnsi="Times New Roman"/>
              </w:rPr>
              <w:t xml:space="preserve"> </w:t>
            </w:r>
            <w:r w:rsidR="000147EA" w:rsidRPr="00964106">
              <w:rPr>
                <w:rFonts w:ascii="Times New Roman" w:hAnsi="Times New Roman"/>
              </w:rPr>
              <w:t xml:space="preserve"> ředitelem organizace</w:t>
            </w:r>
          </w:p>
        </w:tc>
      </w:tr>
      <w:tr w:rsidR="00964106" w:rsidRPr="00964106" w14:paraId="4C2BAB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4F72A0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985" w:type="dxa"/>
          </w:tcPr>
          <w:p w14:paraId="0913803F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00412074</w:t>
            </w:r>
          </w:p>
        </w:tc>
      </w:tr>
      <w:tr w:rsidR="00964106" w:rsidRPr="00964106" w14:paraId="7968DCA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25E692C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3AF58E82" w14:textId="77777777" w:rsidR="000147EA" w:rsidRPr="00964106" w:rsidRDefault="000147EA" w:rsidP="000147EA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neplátce</w:t>
            </w:r>
          </w:p>
        </w:tc>
      </w:tr>
      <w:tr w:rsidR="00964106" w:rsidRPr="00964106" w14:paraId="5C1B5B8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E6D5A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20A03F5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ČSOB, a.s.</w:t>
            </w:r>
          </w:p>
          <w:p w14:paraId="3EABB3B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číslo účtu:133467114/0300</w:t>
            </w:r>
          </w:p>
        </w:tc>
      </w:tr>
      <w:tr w:rsidR="00964106" w:rsidRPr="00964106" w14:paraId="36A08961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092821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14:paraId="2F965DFD" w14:textId="206B68F9" w:rsidR="000147EA" w:rsidRPr="00964106" w:rsidRDefault="004161B7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::::::::::::::::::::::::::::::::::::::::</w:t>
            </w:r>
          </w:p>
        </w:tc>
      </w:tr>
      <w:tr w:rsidR="00964106" w:rsidRPr="00374F7D" w14:paraId="22AC328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7C3193E" w14:textId="21E1E4A0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 xml:space="preserve">telefon:   </w:t>
            </w:r>
            <w:proofErr w:type="gramEnd"/>
            <w:r w:rsidRPr="00964106">
              <w:rPr>
                <w:rFonts w:ascii="Times New Roman" w:hAnsi="Times New Roman"/>
                <w:b w:val="0"/>
              </w:rPr>
              <w:t xml:space="preserve">     </w:t>
            </w:r>
            <w:r w:rsidR="007E0CB1">
              <w:rPr>
                <w:rFonts w:ascii="Times New Roman" w:hAnsi="Times New Roman"/>
                <w:b w:val="0"/>
              </w:rPr>
              <w:t xml:space="preserve">                                                                 </w:t>
            </w:r>
            <w:r w:rsidRPr="00964106">
              <w:rPr>
                <w:rFonts w:ascii="Times New Roman" w:hAnsi="Times New Roman"/>
                <w:b w:val="0"/>
              </w:rPr>
              <w:t xml:space="preserve">                       </w:t>
            </w:r>
            <w:r w:rsidR="00374F7D">
              <w:rPr>
                <w:rFonts w:ascii="Times New Roman" w:hAnsi="Times New Roman"/>
                <w:b w:val="0"/>
              </w:rPr>
              <w:t xml:space="preserve">  </w:t>
            </w:r>
          </w:p>
        </w:tc>
      </w:tr>
      <w:tr w:rsidR="00964106" w:rsidRPr="00964106" w14:paraId="70F7000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1FC29BD8" w14:textId="305CB098" w:rsidR="00374F7D" w:rsidRPr="007E0CB1" w:rsidRDefault="0015478C" w:rsidP="00374F7D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   </w:t>
            </w:r>
          </w:p>
          <w:p w14:paraId="07E17FF8" w14:textId="77777777" w:rsidR="000147EA" w:rsidRPr="00964106" w:rsidRDefault="0015478C" w:rsidP="00374F7D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</w:tc>
      </w:tr>
      <w:tr w:rsidR="0015478C" w:rsidRPr="00964106" w14:paraId="2630E45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EC9939E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3CB4FCE7" w14:textId="77777777" w:rsidR="000147EA" w:rsidRPr="00964106" w:rsidRDefault="000147EA" w:rsidP="000147EA">
      <w:pPr>
        <w:pStyle w:val="pole"/>
        <w:rPr>
          <w:rFonts w:ascii="Times New Roman" w:hAnsi="Times New Roman"/>
        </w:rPr>
      </w:pPr>
    </w:p>
    <w:p w14:paraId="06570A34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14:paraId="542F3007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31524CCB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14:paraId="3D58CFD4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14:paraId="1329C7D1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44E3618F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62229379" w14:textId="7642B9BA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lastRenderedPageBreak/>
        <w:t xml:space="preserve">Předmětem této smlouvy je </w:t>
      </w:r>
      <w:r w:rsidR="00FE2EA5">
        <w:rPr>
          <w:rFonts w:ascii="Times New Roman" w:hAnsi="Times New Roman"/>
        </w:rPr>
        <w:t xml:space="preserve">koupě dřevěných pelet </w:t>
      </w:r>
      <w:r w:rsidR="00BC12FA">
        <w:rPr>
          <w:rFonts w:ascii="Times New Roman" w:hAnsi="Times New Roman"/>
        </w:rPr>
        <w:t>BIOMAC s.r.o. TOP A1</w:t>
      </w:r>
      <w:r w:rsidR="00FE2EA5" w:rsidRPr="008D23C2">
        <w:rPr>
          <w:rFonts w:ascii="Times New Roman" w:hAnsi="Times New Roman"/>
        </w:rPr>
        <w:t xml:space="preserve"> třídy </w:t>
      </w:r>
      <w:r w:rsidR="008D23C2">
        <w:rPr>
          <w:rFonts w:ascii="Times New Roman" w:hAnsi="Times New Roman"/>
        </w:rPr>
        <w:t>ENplus</w:t>
      </w:r>
      <w:r w:rsidR="00FE2EA5" w:rsidRPr="008D23C2">
        <w:rPr>
          <w:rFonts w:ascii="Times New Roman" w:hAnsi="Times New Roman"/>
        </w:rPr>
        <w:t>A1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14:paraId="638071B4" w14:textId="6B73B81E" w:rsidR="008D23C2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964106">
        <w:t xml:space="preserve">Přesná specifikace předmětu dodávky: dodávka </w:t>
      </w:r>
      <w:r w:rsidR="00FE2EA5">
        <w:t>pelet</w:t>
      </w:r>
      <w:r w:rsidR="007E0CB1">
        <w:t xml:space="preserve"> TOP</w:t>
      </w:r>
      <w:r w:rsidR="00F170A8" w:rsidRPr="00180854">
        <w:t xml:space="preserve"> A1</w:t>
      </w:r>
      <w:r w:rsidR="00F170A8">
        <w:t xml:space="preserve"> </w:t>
      </w:r>
      <w:r w:rsidR="007E0CB1">
        <w:t xml:space="preserve">s razítkem </w:t>
      </w:r>
      <w:proofErr w:type="spellStart"/>
      <w:r w:rsidR="007E0CB1">
        <w:t>ENplus</w:t>
      </w:r>
      <w:proofErr w:type="spellEnd"/>
      <w:r w:rsidR="007E0CB1">
        <w:t xml:space="preserve"> A1 certifikovanou </w:t>
      </w:r>
      <w:r w:rsidR="00FE2EA5">
        <w:t xml:space="preserve">cisternou včetně </w:t>
      </w:r>
      <w:r w:rsidR="00713E5F">
        <w:t xml:space="preserve">manipulace a </w:t>
      </w:r>
      <w:r w:rsidR="00FE2EA5">
        <w:t xml:space="preserve">dopravy za cenu </w:t>
      </w:r>
      <w:r w:rsidR="007E0CB1">
        <w:t>6 680</w:t>
      </w:r>
      <w:r w:rsidR="006D085B">
        <w:t xml:space="preserve">,-Kč /tuna bez </w:t>
      </w:r>
      <w:proofErr w:type="gramStart"/>
      <w:r w:rsidR="006D085B">
        <w:t>DPH,</w:t>
      </w:r>
      <w:r w:rsidR="00313BD6">
        <w:t xml:space="preserve">   </w:t>
      </w:r>
      <w:proofErr w:type="gramEnd"/>
      <w:r w:rsidR="00313BD6">
        <w:t xml:space="preserve"> </w:t>
      </w:r>
      <w:r w:rsidR="006D085B">
        <w:t xml:space="preserve"> </w:t>
      </w:r>
      <w:r w:rsidR="007E0CB1">
        <w:t>7</w:t>
      </w:r>
      <w:r w:rsidR="00374F7D">
        <w:t xml:space="preserve"> </w:t>
      </w:r>
      <w:r w:rsidR="007E0CB1">
        <w:t>682</w:t>
      </w:r>
      <w:r w:rsidR="006D085B">
        <w:t xml:space="preserve">,-Kč včetně </w:t>
      </w:r>
      <w:r w:rsidR="00F170A8">
        <w:t xml:space="preserve">15% </w:t>
      </w:r>
      <w:r w:rsidR="006D085B">
        <w:t>DPH.</w:t>
      </w:r>
      <w:r w:rsidR="00374F7D">
        <w:t>, s termínem dodání od 1</w:t>
      </w:r>
      <w:r w:rsidR="007E0CB1">
        <w:t>5</w:t>
      </w:r>
      <w:r w:rsidR="00374F7D">
        <w:t xml:space="preserve">. </w:t>
      </w:r>
      <w:r w:rsidR="007E0CB1">
        <w:t>12</w:t>
      </w:r>
      <w:r w:rsidR="00374F7D">
        <w:t>. 202</w:t>
      </w:r>
      <w:r w:rsidR="007E0CB1">
        <w:t>3</w:t>
      </w:r>
      <w:r w:rsidR="00374F7D">
        <w:t xml:space="preserve"> do </w:t>
      </w:r>
      <w:r w:rsidR="007E0CB1">
        <w:t>19</w:t>
      </w:r>
      <w:r w:rsidR="00374F7D">
        <w:t xml:space="preserve">. </w:t>
      </w:r>
      <w:r w:rsidR="007E0CB1">
        <w:t>12</w:t>
      </w:r>
      <w:r w:rsidR="00374F7D">
        <w:t>. 202</w:t>
      </w:r>
      <w:r w:rsidR="007E0CB1">
        <w:t>3</w:t>
      </w:r>
      <w:r w:rsidR="00FE2EA5">
        <w:t>.</w:t>
      </w:r>
      <w:r w:rsidR="00F170A8">
        <w:t xml:space="preserve"> Dodávka pelet je </w:t>
      </w:r>
      <w:r w:rsidR="008D23C2">
        <w:t>je</w:t>
      </w:r>
      <w:r w:rsidR="00374F7D">
        <w:t xml:space="preserve">dnorázový závoz 22.000,00kg za cenu </w:t>
      </w:r>
      <w:r w:rsidR="00313BD6">
        <w:t>169 004</w:t>
      </w:r>
      <w:r w:rsidR="008D23C2">
        <w:t xml:space="preserve">,-Kč </w:t>
      </w:r>
      <w:r w:rsidR="00F170A8">
        <w:t>včetně DPH 15</w:t>
      </w:r>
      <w:proofErr w:type="gramStart"/>
      <w:r w:rsidR="00F170A8">
        <w:t xml:space="preserve">% </w:t>
      </w:r>
      <w:r w:rsidR="008D23C2">
        <w:t>.</w:t>
      </w:r>
      <w:proofErr w:type="gramEnd"/>
    </w:p>
    <w:p w14:paraId="5197040B" w14:textId="77777777" w:rsidR="000147EA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t>Prodávající se zavazuje, že kupujícímu odevzdá předmět koupě</w:t>
      </w:r>
      <w:r w:rsidR="00775C90" w:rsidRPr="008D23C2">
        <w:t xml:space="preserve"> </w:t>
      </w:r>
      <w:r w:rsidR="00FE2EA5" w:rsidRPr="008D23C2">
        <w:t>v požadované kvalitě A1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29830B4A" w14:textId="77777777" w:rsidR="0070076E" w:rsidRPr="00070FAD" w:rsidRDefault="000147EA" w:rsidP="006A72BD">
      <w:pPr>
        <w:spacing w:before="120" w:after="120" w:line="240" w:lineRule="auto"/>
        <w:ind w:left="624" w:hanging="624"/>
        <w:jc w:val="both"/>
      </w:pPr>
      <w:r w:rsidRPr="00070FAD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účely: </w:t>
      </w:r>
      <w:r w:rsidR="00070FAD">
        <w:rPr>
          <w:rFonts w:ascii="Times New Roman" w:hAnsi="Times New Roman"/>
        </w:rPr>
        <w:t xml:space="preserve">spalování v kotlích OPOP </w:t>
      </w:r>
      <w:proofErr w:type="spellStart"/>
      <w:r w:rsidR="00070FAD">
        <w:rPr>
          <w:rFonts w:ascii="Times New Roman" w:hAnsi="Times New Roman"/>
        </w:rPr>
        <w:t>Biopel</w:t>
      </w:r>
      <w:proofErr w:type="spellEnd"/>
      <w:r w:rsidR="00070FAD">
        <w:rPr>
          <w:rFonts w:ascii="Times New Roman" w:hAnsi="Times New Roman"/>
        </w:rPr>
        <w:t xml:space="preserve"> na dřevěné pelety.</w:t>
      </w:r>
    </w:p>
    <w:p w14:paraId="2354E1F0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0A6C75A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7DEB3E3E" w14:textId="1CC37810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374F7D">
        <w:rPr>
          <w:rFonts w:ascii="Times New Roman" w:hAnsi="Times New Roman"/>
        </w:rPr>
        <w:t>od 1</w:t>
      </w:r>
      <w:r w:rsidR="00313BD6">
        <w:rPr>
          <w:rFonts w:ascii="Times New Roman" w:hAnsi="Times New Roman"/>
        </w:rPr>
        <w:t>5</w:t>
      </w:r>
      <w:r w:rsidR="00374F7D">
        <w:rPr>
          <w:rFonts w:ascii="Times New Roman" w:hAnsi="Times New Roman"/>
        </w:rPr>
        <w:t xml:space="preserve">. </w:t>
      </w:r>
      <w:r w:rsidR="00313BD6">
        <w:rPr>
          <w:rFonts w:ascii="Times New Roman" w:hAnsi="Times New Roman"/>
        </w:rPr>
        <w:t>12</w:t>
      </w:r>
      <w:r w:rsidR="00374F7D">
        <w:rPr>
          <w:rFonts w:ascii="Times New Roman" w:hAnsi="Times New Roman"/>
        </w:rPr>
        <w:t>. 202</w:t>
      </w:r>
      <w:r w:rsidR="00313BD6">
        <w:rPr>
          <w:rFonts w:ascii="Times New Roman" w:hAnsi="Times New Roman"/>
        </w:rPr>
        <w:t>3</w:t>
      </w:r>
      <w:r w:rsidR="00374F7D">
        <w:rPr>
          <w:rFonts w:ascii="Times New Roman" w:hAnsi="Times New Roman"/>
        </w:rPr>
        <w:t xml:space="preserve"> do </w:t>
      </w:r>
      <w:r w:rsidR="00313BD6">
        <w:rPr>
          <w:rFonts w:ascii="Times New Roman" w:hAnsi="Times New Roman"/>
        </w:rPr>
        <w:t>19</w:t>
      </w:r>
      <w:r w:rsidR="00374F7D">
        <w:rPr>
          <w:rFonts w:ascii="Times New Roman" w:hAnsi="Times New Roman"/>
        </w:rPr>
        <w:t xml:space="preserve">. </w:t>
      </w:r>
      <w:r w:rsidR="00313BD6">
        <w:rPr>
          <w:rFonts w:ascii="Times New Roman" w:hAnsi="Times New Roman"/>
        </w:rPr>
        <w:t>12</w:t>
      </w:r>
      <w:r w:rsidR="00374F7D">
        <w:rPr>
          <w:rFonts w:ascii="Times New Roman" w:hAnsi="Times New Roman"/>
        </w:rPr>
        <w:t>. 202</w:t>
      </w:r>
      <w:r w:rsidR="00313BD6">
        <w:rPr>
          <w:rFonts w:ascii="Times New Roman" w:hAnsi="Times New Roman"/>
        </w:rPr>
        <w:t>3</w:t>
      </w:r>
    </w:p>
    <w:p w14:paraId="44BFCCE8" w14:textId="77777777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Místem dodání předmětu koupě je sídlo </w:t>
      </w:r>
      <w:r w:rsidR="00945D7C" w:rsidRPr="00964106">
        <w:rPr>
          <w:rFonts w:ascii="Times New Roman" w:hAnsi="Times New Roman"/>
        </w:rPr>
        <w:t>Dětský domov a Školní jídelna, Lipová u Šluknova 417, č.</w:t>
      </w:r>
      <w:r w:rsidR="00883054" w:rsidRPr="00964106">
        <w:rPr>
          <w:rFonts w:ascii="Times New Roman" w:hAnsi="Times New Roman"/>
        </w:rPr>
        <w:t xml:space="preserve"> </w:t>
      </w:r>
      <w:r w:rsidR="00945D7C" w:rsidRPr="00964106">
        <w:rPr>
          <w:rFonts w:ascii="Times New Roman" w:hAnsi="Times New Roman"/>
        </w:rPr>
        <w:t>p. 417, 407 81 Lipová.</w:t>
      </w:r>
      <w:r w:rsidRPr="00964106">
        <w:rPr>
          <w:rFonts w:ascii="Times New Roman" w:hAnsi="Times New Roman"/>
        </w:rPr>
        <w:t xml:space="preserve"> </w:t>
      </w:r>
    </w:p>
    <w:p w14:paraId="0D24A7D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5247A87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2217A4E5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001DA4BC" w14:textId="30F20322" w:rsidR="000147EA" w:rsidRPr="00964106" w:rsidRDefault="000147EA" w:rsidP="00180854">
      <w:pPr>
        <w:pStyle w:val="Zkladntext"/>
        <w:spacing w:after="120"/>
        <w:ind w:left="270"/>
        <w:rPr>
          <w:sz w:val="22"/>
          <w:szCs w:val="22"/>
        </w:rPr>
      </w:pPr>
      <w:r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313BD6">
        <w:rPr>
          <w:sz w:val="22"/>
          <w:szCs w:val="22"/>
        </w:rPr>
        <w:t>169 004</w:t>
      </w:r>
      <w:r w:rsidR="00374F7D">
        <w:rPr>
          <w:sz w:val="22"/>
          <w:szCs w:val="22"/>
        </w:rPr>
        <w:t>,-</w:t>
      </w:r>
      <w:proofErr w:type="gramStart"/>
      <w:r w:rsidR="00374F7D">
        <w:rPr>
          <w:sz w:val="22"/>
          <w:szCs w:val="22"/>
        </w:rPr>
        <w:t>Kč</w:t>
      </w:r>
      <w:r w:rsidR="00FE2EA5">
        <w:rPr>
          <w:sz w:val="22"/>
          <w:szCs w:val="22"/>
        </w:rPr>
        <w:t xml:space="preserve"> </w:t>
      </w:r>
      <w:r w:rsidR="00945D7C" w:rsidRPr="00964106">
        <w:rPr>
          <w:sz w:val="22"/>
          <w:szCs w:val="22"/>
        </w:rPr>
        <w:t xml:space="preserve"> (</w:t>
      </w:r>
      <w:proofErr w:type="gramEnd"/>
      <w:r w:rsidR="00945D7C" w:rsidRPr="00964106">
        <w:rPr>
          <w:sz w:val="22"/>
          <w:szCs w:val="22"/>
        </w:rPr>
        <w:t>slovy</w:t>
      </w:r>
      <w:r w:rsidR="00FE2EA5">
        <w:rPr>
          <w:sz w:val="22"/>
          <w:szCs w:val="22"/>
        </w:rPr>
        <w:t xml:space="preserve"> </w:t>
      </w:r>
      <w:r w:rsidR="00313BD6" w:rsidRPr="00313BD6">
        <w:rPr>
          <w:sz w:val="22"/>
          <w:szCs w:val="22"/>
        </w:rPr>
        <w:t>jedno sto šedesát devět tisíc čtyři korun českých</w:t>
      </w:r>
      <w:r w:rsidR="00180854">
        <w:rPr>
          <w:sz w:val="22"/>
          <w:szCs w:val="22"/>
        </w:rPr>
        <w:t xml:space="preserve">   </w:t>
      </w:r>
      <w:r w:rsidR="00453537">
        <w:rPr>
          <w:sz w:val="22"/>
          <w:szCs w:val="22"/>
        </w:rPr>
        <w:t>s</w:t>
      </w:r>
      <w:r w:rsidR="00180854">
        <w:rPr>
          <w:sz w:val="22"/>
          <w:szCs w:val="22"/>
        </w:rPr>
        <w:t> </w:t>
      </w:r>
      <w:r w:rsidR="00453537">
        <w:rPr>
          <w:sz w:val="22"/>
          <w:szCs w:val="22"/>
        </w:rPr>
        <w:t>DPH</w:t>
      </w:r>
      <w:r w:rsidR="00180854">
        <w:rPr>
          <w:sz w:val="22"/>
          <w:szCs w:val="22"/>
        </w:rPr>
        <w:t>)</w:t>
      </w:r>
      <w:r w:rsidR="00945D7C" w:rsidRPr="00964106">
        <w:rPr>
          <w:sz w:val="22"/>
          <w:szCs w:val="22"/>
        </w:rPr>
        <w:t xml:space="preserve">, </w:t>
      </w:r>
      <w:r w:rsidR="00313BD6">
        <w:rPr>
          <w:sz w:val="22"/>
          <w:szCs w:val="22"/>
        </w:rPr>
        <w:t>146 960</w:t>
      </w:r>
      <w:r w:rsidR="005760A7">
        <w:rPr>
          <w:sz w:val="22"/>
          <w:szCs w:val="22"/>
        </w:rPr>
        <w:t>,</w:t>
      </w:r>
      <w:r w:rsidR="00775C90">
        <w:rPr>
          <w:sz w:val="22"/>
          <w:szCs w:val="22"/>
        </w:rPr>
        <w:t>-Kč bez DPH</w:t>
      </w:r>
      <w:r w:rsidR="00FF31D5">
        <w:rPr>
          <w:sz w:val="22"/>
          <w:szCs w:val="22"/>
        </w:rPr>
        <w:t xml:space="preserve"> 15%</w:t>
      </w:r>
      <w:r w:rsidR="00775C90">
        <w:rPr>
          <w:sz w:val="22"/>
          <w:szCs w:val="22"/>
        </w:rPr>
        <w:t>.</w:t>
      </w:r>
    </w:p>
    <w:p w14:paraId="0C4574FA" w14:textId="65C3CA62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FF31D5">
        <w:rPr>
          <w:sz w:val="22"/>
          <w:szCs w:val="22"/>
        </w:rPr>
        <w:t xml:space="preserve"> </w:t>
      </w:r>
      <w:r w:rsidR="00313BD6">
        <w:rPr>
          <w:sz w:val="22"/>
          <w:szCs w:val="22"/>
        </w:rPr>
        <w:t>27</w:t>
      </w:r>
      <w:r w:rsidR="00070FAD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</w:t>
      </w:r>
      <w:r w:rsidR="00313BD6">
        <w:rPr>
          <w:sz w:val="22"/>
          <w:szCs w:val="22"/>
        </w:rPr>
        <w:t>11</w:t>
      </w:r>
      <w:r w:rsidR="00FF31D5">
        <w:rPr>
          <w:sz w:val="22"/>
          <w:szCs w:val="22"/>
        </w:rPr>
        <w:t>. 20</w:t>
      </w:r>
      <w:r w:rsidR="00070FAD">
        <w:rPr>
          <w:sz w:val="22"/>
          <w:szCs w:val="22"/>
        </w:rPr>
        <w:t>2</w:t>
      </w:r>
      <w:r w:rsidR="00313BD6">
        <w:rPr>
          <w:sz w:val="22"/>
          <w:szCs w:val="22"/>
        </w:rPr>
        <w:t>3</w:t>
      </w:r>
    </w:p>
    <w:p w14:paraId="5FA54288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61F64DF6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964106">
        <w:rPr>
          <w:snapToGrid w:val="0"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Podkladem pro vystavení faktury je </w:t>
      </w:r>
      <w:r w:rsidR="00883054" w:rsidRPr="00964106">
        <w:rPr>
          <w:sz w:val="22"/>
          <w:szCs w:val="22"/>
        </w:rPr>
        <w:t xml:space="preserve">dodací list </w:t>
      </w:r>
      <w:r w:rsidRPr="00964106">
        <w:rPr>
          <w:sz w:val="22"/>
          <w:szCs w:val="22"/>
        </w:rPr>
        <w:t>stvrzený oběma smluvními stranami.</w:t>
      </w:r>
    </w:p>
    <w:p w14:paraId="4119BCDF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9D3EF6" w:rsidRPr="00964106">
        <w:rPr>
          <w:b/>
          <w:sz w:val="22"/>
          <w:szCs w:val="22"/>
        </w:rPr>
        <w:t>14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136F7D1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371DEF0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126706E8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1580AA5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04132D43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t>Splnění závazku (dodání předmětu koupě)</w:t>
      </w:r>
    </w:p>
    <w:p w14:paraId="6EBC2786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434524C2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4EA001AA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B6CB2C4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14:paraId="44130B81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29AD28E9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73072C56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753CDA3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3A8BB337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1C6712FC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39500465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4DC56F0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2A4165AB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29E609D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79146A33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1F3B125A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383BC8D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6895624E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45E947FE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217BA634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lastRenderedPageBreak/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1FA3E4F2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6D92D966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35AB14D1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7F4A6C04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651ECA57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945533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2396E04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6E27594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76984C2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4BADAAA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60790E6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1F2A6CAC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997C180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492E1128" w14:textId="77777777" w:rsidTr="00510186">
        <w:tc>
          <w:tcPr>
            <w:tcW w:w="354" w:type="dxa"/>
          </w:tcPr>
          <w:p w14:paraId="0DE71C20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762EBC2E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79F638A1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75E76582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5B3869D5" w14:textId="77777777" w:rsidTr="00510186">
        <w:tc>
          <w:tcPr>
            <w:tcW w:w="354" w:type="dxa"/>
          </w:tcPr>
          <w:p w14:paraId="0754F8C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61D8F4E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E40EC65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3BB99444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5979C9A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303AA493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54C8741E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291B7F23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1EE92C32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725142C4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327B59C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41301BCF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</w:t>
      </w:r>
      <w:r w:rsidRPr="00964106">
        <w:rPr>
          <w:sz w:val="22"/>
          <w:szCs w:val="22"/>
        </w:rPr>
        <w:lastRenderedPageBreak/>
        <w:t xml:space="preserve">číslovaných dodatků. </w:t>
      </w:r>
    </w:p>
    <w:p w14:paraId="6DA798FB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51A4CBA5" w14:textId="2DAF5AE3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na </w:t>
      </w:r>
      <w:proofErr w:type="gramStart"/>
      <w:r w:rsidRPr="00A34D99">
        <w:rPr>
          <w:sz w:val="22"/>
          <w:szCs w:val="22"/>
        </w:rPr>
        <w:t>e-mail:</w:t>
      </w:r>
      <w:r w:rsidRPr="00964106">
        <w:rPr>
          <w:i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 </w:t>
      </w:r>
      <w:r w:rsidR="004161B7">
        <w:rPr>
          <w:sz w:val="22"/>
          <w:szCs w:val="22"/>
        </w:rPr>
        <w:t>:</w:t>
      </w:r>
      <w:proofErr w:type="gramEnd"/>
      <w:r w:rsidR="004161B7">
        <w:rPr>
          <w:sz w:val="22"/>
          <w:szCs w:val="22"/>
        </w:rPr>
        <w:t>::::::::::::::::::::::::::::::::::::::::::::::::::::</w:t>
      </w:r>
    </w:p>
    <w:p w14:paraId="3A255986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5E848B0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7B396E10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5404BC1" w14:textId="77777777"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EA71356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79ACDB09" w14:textId="77777777" w:rsidTr="00510186">
        <w:tc>
          <w:tcPr>
            <w:tcW w:w="4606" w:type="dxa"/>
          </w:tcPr>
          <w:p w14:paraId="1A9DBD7C" w14:textId="77777777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A34D99">
              <w:rPr>
                <w:rFonts w:ascii="Times New Roman" w:hAnsi="Times New Roman"/>
              </w:rPr>
              <w:t xml:space="preserve">e </w:t>
            </w:r>
            <w:r w:rsidRPr="00964106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606" w:type="dxa"/>
          </w:tcPr>
          <w:p w14:paraId="307AFF9C" w14:textId="7644B68E" w:rsidR="000147EA" w:rsidRPr="00964106" w:rsidRDefault="000147EA" w:rsidP="00576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V </w:t>
            </w:r>
            <w:r w:rsidR="00964106">
              <w:rPr>
                <w:rFonts w:ascii="Times New Roman" w:hAnsi="Times New Roman"/>
              </w:rPr>
              <w:t xml:space="preserve">Lipové </w:t>
            </w:r>
            <w:r w:rsidRPr="00964106">
              <w:rPr>
                <w:rFonts w:ascii="Times New Roman" w:hAnsi="Times New Roman"/>
              </w:rPr>
              <w:t xml:space="preserve"> dne </w:t>
            </w:r>
            <w:r w:rsidR="00313BD6">
              <w:rPr>
                <w:rFonts w:ascii="Times New Roman" w:hAnsi="Times New Roman"/>
              </w:rPr>
              <w:t>4</w:t>
            </w:r>
            <w:r w:rsidR="005760A7">
              <w:rPr>
                <w:rFonts w:ascii="Times New Roman" w:hAnsi="Times New Roman"/>
              </w:rPr>
              <w:t xml:space="preserve">. </w:t>
            </w:r>
            <w:r w:rsidR="00313BD6">
              <w:rPr>
                <w:rFonts w:ascii="Times New Roman" w:hAnsi="Times New Roman"/>
              </w:rPr>
              <w:t>12</w:t>
            </w:r>
            <w:r w:rsidR="008D23C2">
              <w:rPr>
                <w:rFonts w:ascii="Times New Roman" w:hAnsi="Times New Roman"/>
              </w:rPr>
              <w:t>.</w:t>
            </w:r>
            <w:r w:rsidR="005760A7">
              <w:rPr>
                <w:rFonts w:ascii="Times New Roman" w:hAnsi="Times New Roman"/>
              </w:rPr>
              <w:t xml:space="preserve"> </w:t>
            </w:r>
            <w:r w:rsidR="008D23C2">
              <w:rPr>
                <w:rFonts w:ascii="Times New Roman" w:hAnsi="Times New Roman"/>
              </w:rPr>
              <w:t>202</w:t>
            </w:r>
            <w:r w:rsidR="00313BD6">
              <w:rPr>
                <w:rFonts w:ascii="Times New Roman" w:hAnsi="Times New Roman"/>
              </w:rPr>
              <w:t>3</w:t>
            </w:r>
          </w:p>
        </w:tc>
      </w:tr>
      <w:tr w:rsidR="00964106" w:rsidRPr="00964106" w14:paraId="637F5576" w14:textId="77777777" w:rsidTr="00510186">
        <w:tc>
          <w:tcPr>
            <w:tcW w:w="4606" w:type="dxa"/>
          </w:tcPr>
          <w:p w14:paraId="775BE087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AC1896A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DC1706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02623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2B3E4683" w14:textId="77777777" w:rsidTr="00510186">
        <w:tc>
          <w:tcPr>
            <w:tcW w:w="4606" w:type="dxa"/>
          </w:tcPr>
          <w:p w14:paraId="26FE7C84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0BFB95F8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4DB4FF8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33BC5708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B639815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16CE5717" w14:textId="77777777"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04EFD1B2" w14:textId="69AC00B5" w:rsidR="00A34D99" w:rsidRDefault="004161B7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::::::::::::::::::::::::::::::::::::::::::::::::::::::::::::::</w:t>
            </w:r>
            <w:r w:rsidR="00A34D99">
              <w:rPr>
                <w:rFonts w:ascii="Times New Roman" w:hAnsi="Times New Roman"/>
              </w:rPr>
              <w:t>,</w:t>
            </w:r>
          </w:p>
          <w:p w14:paraId="7F4C3FF3" w14:textId="77777777" w:rsidR="000147EA" w:rsidRPr="00964106" w:rsidRDefault="00A34D9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47AED">
              <w:rPr>
                <w:rFonts w:ascii="Times New Roman" w:hAnsi="Times New Roman"/>
              </w:rPr>
              <w:t xml:space="preserve"> ředitel organizace</w:t>
            </w:r>
          </w:p>
        </w:tc>
      </w:tr>
    </w:tbl>
    <w:p w14:paraId="0F23E589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F29795B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A80D" w14:textId="77777777" w:rsidR="00C90E05" w:rsidRDefault="00C90E05">
      <w:pPr>
        <w:spacing w:after="0" w:line="240" w:lineRule="auto"/>
      </w:pPr>
      <w:r>
        <w:separator/>
      </w:r>
    </w:p>
  </w:endnote>
  <w:endnote w:type="continuationSeparator" w:id="0">
    <w:p w14:paraId="0C910DDA" w14:textId="77777777" w:rsidR="00C90E05" w:rsidRDefault="00C9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37E0" w14:textId="77777777" w:rsidR="00C444D5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A6035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0A6035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CA4E" w14:textId="77777777" w:rsidR="00C90E05" w:rsidRDefault="00C90E05">
      <w:pPr>
        <w:spacing w:after="0" w:line="240" w:lineRule="auto"/>
      </w:pPr>
      <w:r>
        <w:separator/>
      </w:r>
    </w:p>
  </w:footnote>
  <w:footnote w:type="continuationSeparator" w:id="0">
    <w:p w14:paraId="49F4EE9F" w14:textId="77777777" w:rsidR="00C90E05" w:rsidRDefault="00C9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3B8C" w14:textId="77777777" w:rsidR="00C444D5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4DA20D" wp14:editId="0D4E7A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0439215">
    <w:abstractNumId w:val="0"/>
  </w:num>
  <w:num w:numId="2" w16cid:durableId="494883809">
    <w:abstractNumId w:val="8"/>
  </w:num>
  <w:num w:numId="3" w16cid:durableId="1733768958">
    <w:abstractNumId w:val="1"/>
  </w:num>
  <w:num w:numId="4" w16cid:durableId="1400903517">
    <w:abstractNumId w:val="13"/>
  </w:num>
  <w:num w:numId="5" w16cid:durableId="1363284036">
    <w:abstractNumId w:val="12"/>
  </w:num>
  <w:num w:numId="6" w16cid:durableId="1560240198">
    <w:abstractNumId w:val="16"/>
  </w:num>
  <w:num w:numId="7" w16cid:durableId="2090807690">
    <w:abstractNumId w:val="14"/>
  </w:num>
  <w:num w:numId="8" w16cid:durableId="1553887273">
    <w:abstractNumId w:val="4"/>
  </w:num>
  <w:num w:numId="9" w16cid:durableId="768349840">
    <w:abstractNumId w:val="9"/>
  </w:num>
  <w:num w:numId="10" w16cid:durableId="203103400">
    <w:abstractNumId w:val="6"/>
  </w:num>
  <w:num w:numId="11" w16cid:durableId="206262076">
    <w:abstractNumId w:val="10"/>
  </w:num>
  <w:num w:numId="12" w16cid:durableId="1102384585">
    <w:abstractNumId w:val="17"/>
  </w:num>
  <w:num w:numId="13" w16cid:durableId="1950887459">
    <w:abstractNumId w:val="15"/>
  </w:num>
  <w:num w:numId="14" w16cid:durableId="1147208703">
    <w:abstractNumId w:val="5"/>
  </w:num>
  <w:num w:numId="15" w16cid:durableId="468590081">
    <w:abstractNumId w:val="11"/>
  </w:num>
  <w:num w:numId="16" w16cid:durableId="1135875496">
    <w:abstractNumId w:val="7"/>
  </w:num>
  <w:num w:numId="17" w16cid:durableId="1328483383">
    <w:abstractNumId w:val="3"/>
  </w:num>
  <w:num w:numId="18" w16cid:durableId="114257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70FAD"/>
    <w:rsid w:val="00083862"/>
    <w:rsid w:val="000A6035"/>
    <w:rsid w:val="000C7CA4"/>
    <w:rsid w:val="00116007"/>
    <w:rsid w:val="0015478C"/>
    <w:rsid w:val="00154F32"/>
    <w:rsid w:val="00180854"/>
    <w:rsid w:val="001A2A04"/>
    <w:rsid w:val="001A7886"/>
    <w:rsid w:val="001C358E"/>
    <w:rsid w:val="002217A2"/>
    <w:rsid w:val="002A03E0"/>
    <w:rsid w:val="00306AE3"/>
    <w:rsid w:val="00313BD6"/>
    <w:rsid w:val="003419DC"/>
    <w:rsid w:val="00374F7D"/>
    <w:rsid w:val="00380020"/>
    <w:rsid w:val="003B6322"/>
    <w:rsid w:val="003C159D"/>
    <w:rsid w:val="003D0A00"/>
    <w:rsid w:val="004161B7"/>
    <w:rsid w:val="00453537"/>
    <w:rsid w:val="00465555"/>
    <w:rsid w:val="004838C0"/>
    <w:rsid w:val="004F299A"/>
    <w:rsid w:val="00501692"/>
    <w:rsid w:val="005372EF"/>
    <w:rsid w:val="00555917"/>
    <w:rsid w:val="005760A7"/>
    <w:rsid w:val="005905EC"/>
    <w:rsid w:val="005B4B70"/>
    <w:rsid w:val="005C08A6"/>
    <w:rsid w:val="005C6E46"/>
    <w:rsid w:val="00661D0A"/>
    <w:rsid w:val="006D085B"/>
    <w:rsid w:val="0070076E"/>
    <w:rsid w:val="00713E5F"/>
    <w:rsid w:val="00734FE7"/>
    <w:rsid w:val="007617FE"/>
    <w:rsid w:val="00775C90"/>
    <w:rsid w:val="007800C1"/>
    <w:rsid w:val="007B7546"/>
    <w:rsid w:val="007D500E"/>
    <w:rsid w:val="007E0CB1"/>
    <w:rsid w:val="00847988"/>
    <w:rsid w:val="00864A5E"/>
    <w:rsid w:val="00865609"/>
    <w:rsid w:val="008815FC"/>
    <w:rsid w:val="00883054"/>
    <w:rsid w:val="008D23C2"/>
    <w:rsid w:val="008F7925"/>
    <w:rsid w:val="00945D7C"/>
    <w:rsid w:val="00947AED"/>
    <w:rsid w:val="00960B3B"/>
    <w:rsid w:val="00964106"/>
    <w:rsid w:val="009870CE"/>
    <w:rsid w:val="009D3EF6"/>
    <w:rsid w:val="00A31EB7"/>
    <w:rsid w:val="00A34D99"/>
    <w:rsid w:val="00A5355A"/>
    <w:rsid w:val="00A61FCF"/>
    <w:rsid w:val="00AD74AF"/>
    <w:rsid w:val="00B46373"/>
    <w:rsid w:val="00B74806"/>
    <w:rsid w:val="00B76EBF"/>
    <w:rsid w:val="00BB4E0F"/>
    <w:rsid w:val="00BC12FA"/>
    <w:rsid w:val="00BD7464"/>
    <w:rsid w:val="00C444D5"/>
    <w:rsid w:val="00C66EC3"/>
    <w:rsid w:val="00C90E05"/>
    <w:rsid w:val="00CB5B9A"/>
    <w:rsid w:val="00CC258D"/>
    <w:rsid w:val="00CD7B21"/>
    <w:rsid w:val="00D365B2"/>
    <w:rsid w:val="00D94B97"/>
    <w:rsid w:val="00E37464"/>
    <w:rsid w:val="00E80716"/>
    <w:rsid w:val="00F170A8"/>
    <w:rsid w:val="00F52B9B"/>
    <w:rsid w:val="00F92A74"/>
    <w:rsid w:val="00FA4EF1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5C13CA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E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Jana Háková</cp:lastModifiedBy>
  <cp:revision>2</cp:revision>
  <cp:lastPrinted>2022-05-17T10:16:00Z</cp:lastPrinted>
  <dcterms:created xsi:type="dcterms:W3CDTF">2023-12-20T13:07:00Z</dcterms:created>
  <dcterms:modified xsi:type="dcterms:W3CDTF">2023-12-20T13:07:00Z</dcterms:modified>
</cp:coreProperties>
</file>