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B0E" w:rsidRDefault="00AE47BB">
      <w:pPr>
        <w:spacing w:after="126" w:line="259" w:lineRule="auto"/>
        <w:ind w:left="58" w:firstLine="0"/>
        <w:jc w:val="center"/>
      </w:pPr>
      <w:r>
        <w:rPr>
          <w:sz w:val="30"/>
        </w:rPr>
        <w:t>Smlouva o nájmu bytu na dobu určitou č.45/23</w:t>
      </w:r>
    </w:p>
    <w:p w:rsidR="00A71B0E" w:rsidRDefault="00AE47BB">
      <w:pPr>
        <w:spacing w:after="706" w:line="259" w:lineRule="auto"/>
        <w:ind w:firstLine="0"/>
        <w:jc w:val="center"/>
      </w:pPr>
      <w:r>
        <w:t>uzavřená dle S 2235a násl. občanského zákoníku</w:t>
      </w:r>
    </w:p>
    <w:p w:rsidR="00A71B0E" w:rsidRDefault="00AE47BB">
      <w:pPr>
        <w:spacing w:after="103" w:line="345" w:lineRule="auto"/>
        <w:ind w:left="19" w:right="230" w:hanging="5"/>
      </w:pPr>
      <w:r>
        <w:rPr>
          <w:sz w:val="24"/>
        </w:rPr>
        <w:t xml:space="preserve">Palata — Domov pro zrakově postižené, příspěvková organizace, se sídlem Na Hřebenkách 737/5, Smíchov, 150 OO Praha, </w:t>
      </w:r>
      <w:proofErr w:type="spellStart"/>
      <w:r>
        <w:rPr>
          <w:sz w:val="24"/>
        </w:rPr>
        <w:t>lč</w:t>
      </w:r>
      <w:proofErr w:type="spellEnd"/>
      <w:r>
        <w:rPr>
          <w:sz w:val="24"/>
        </w:rPr>
        <w:t xml:space="preserve">•. 70872783 </w:t>
      </w:r>
      <w:proofErr w:type="spellStart"/>
      <w:r w:rsidR="00560DB4">
        <w:rPr>
          <w:sz w:val="24"/>
        </w:rPr>
        <w:t>xxxxxxxxx</w:t>
      </w:r>
      <w:proofErr w:type="spellEnd"/>
    </w:p>
    <w:p w:rsidR="00A71B0E" w:rsidRDefault="00AE47BB">
      <w:pPr>
        <w:ind w:left="82" w:right="14"/>
      </w:pPr>
      <w:r>
        <w:t>(dále jen pronajímatel)</w:t>
      </w:r>
    </w:p>
    <w:p w:rsidR="00A71B0E" w:rsidRDefault="00AE47BB">
      <w:pPr>
        <w:spacing w:after="179" w:line="259" w:lineRule="auto"/>
        <w:ind w:left="24" w:firstLine="0"/>
        <w:jc w:val="left"/>
      </w:pPr>
      <w:r>
        <w:rPr>
          <w:sz w:val="26"/>
        </w:rPr>
        <w:t>a</w:t>
      </w:r>
    </w:p>
    <w:p w:rsidR="00560DB4" w:rsidRDefault="00560DB4">
      <w:pPr>
        <w:spacing w:after="77" w:line="331" w:lineRule="auto"/>
        <w:ind w:left="24" w:right="442"/>
      </w:pPr>
      <w:proofErr w:type="gramStart"/>
      <w:r>
        <w:t>F.Z.</w:t>
      </w:r>
      <w:proofErr w:type="gramEnd"/>
    </w:p>
    <w:p w:rsidR="00A71B0E" w:rsidRDefault="00AE47BB">
      <w:pPr>
        <w:spacing w:after="77" w:line="331" w:lineRule="auto"/>
        <w:ind w:left="24" w:right="442"/>
      </w:pPr>
      <w:r>
        <w:t>(dále jen nájemce) uzavírají níže uvedeného dne, měsíce a roku tuto smlouvu o nájmu bytu</w:t>
      </w:r>
    </w:p>
    <w:p w:rsidR="00A71B0E" w:rsidRDefault="00AE47BB">
      <w:pPr>
        <w:spacing w:after="66" w:line="259" w:lineRule="auto"/>
        <w:ind w:left="63" w:right="24" w:hanging="10"/>
        <w:jc w:val="center"/>
      </w:pPr>
      <w:r>
        <w:rPr>
          <w:sz w:val="24"/>
        </w:rPr>
        <w:t>Článek l.</w:t>
      </w:r>
    </w:p>
    <w:p w:rsidR="00A71B0E" w:rsidRDefault="00AE47BB">
      <w:pPr>
        <w:spacing w:after="242" w:line="259" w:lineRule="auto"/>
        <w:ind w:left="19" w:right="230" w:hanging="5"/>
      </w:pPr>
      <w:r>
        <w:rPr>
          <w:sz w:val="24"/>
        </w:rPr>
        <w:t>Předmět nájmu</w:t>
      </w:r>
    </w:p>
    <w:p w:rsidR="00A71B0E" w:rsidRDefault="00AE47BB">
      <w:pPr>
        <w:numPr>
          <w:ilvl w:val="0"/>
          <w:numId w:val="1"/>
        </w:numPr>
        <w:ind w:right="14" w:hanging="355"/>
      </w:pPr>
      <w:r>
        <w:t>Pronajímatel přenechává nájemci k zajištění jeho bytové potřeby (popřípadě i členů jeho domácnosti) za nájemné do užívání byt včetně zařizovacích předmětů.</w:t>
      </w:r>
    </w:p>
    <w:p w:rsidR="00A71B0E" w:rsidRDefault="00AE47BB">
      <w:pPr>
        <w:numPr>
          <w:ilvl w:val="0"/>
          <w:numId w:val="1"/>
        </w:numPr>
        <w:ind w:right="14" w:hanging="355"/>
      </w:pPr>
      <w:r>
        <w:t>Byt je označen č. 11 je o velikosti 3+kk), s ústředním vytápěním všech obytných místností, v 3.NP podlaží bytového domu nacházejícím se v areálu pronajímatele Na Hřebenkách 737/5, Praha 5 (dále jen bytový dům).</w:t>
      </w:r>
    </w:p>
    <w:p w:rsidR="00A71B0E" w:rsidRDefault="00AE47BB">
      <w:pPr>
        <w:spacing w:after="185" w:line="259" w:lineRule="auto"/>
        <w:ind w:left="19" w:right="230" w:hanging="5"/>
      </w:pPr>
      <w:r>
        <w:rPr>
          <w:sz w:val="24"/>
        </w:rPr>
        <w:t>Celková podlahová plocha bytu je 77,14 m2</w:t>
      </w:r>
    </w:p>
    <w:p w:rsidR="00A71B0E" w:rsidRDefault="00AE47BB">
      <w:pPr>
        <w:spacing w:after="153" w:line="259" w:lineRule="auto"/>
        <w:ind w:left="63" w:right="38" w:hanging="10"/>
        <w:jc w:val="center"/>
      </w:pPr>
      <w:r>
        <w:rPr>
          <w:sz w:val="24"/>
        </w:rPr>
        <w:t xml:space="preserve">Článek </w:t>
      </w:r>
      <w:proofErr w:type="spellStart"/>
      <w:r>
        <w:rPr>
          <w:sz w:val="24"/>
        </w:rPr>
        <w:t>Il</w:t>
      </w:r>
      <w:proofErr w:type="spellEnd"/>
      <w:r>
        <w:rPr>
          <w:sz w:val="24"/>
        </w:rPr>
        <w:t>.</w:t>
      </w:r>
    </w:p>
    <w:p w:rsidR="00A71B0E" w:rsidRDefault="00AE47BB">
      <w:pPr>
        <w:spacing w:after="199" w:line="259" w:lineRule="auto"/>
        <w:ind w:left="19" w:right="230" w:hanging="5"/>
      </w:pPr>
      <w:r>
        <w:rPr>
          <w:sz w:val="24"/>
        </w:rPr>
        <w:t>Příslušníci domácnosti nájemce</w:t>
      </w:r>
    </w:p>
    <w:p w:rsidR="00A71B0E" w:rsidRDefault="00AE47BB">
      <w:pPr>
        <w:numPr>
          <w:ilvl w:val="0"/>
          <w:numId w:val="2"/>
        </w:numPr>
        <w:spacing w:after="743"/>
        <w:ind w:right="14"/>
      </w:pPr>
      <w:r>
        <w:t xml:space="preserve">Ke dni uzavření nájemní smlouvy jsou příslušníky domácnosti nájemce dále uvedené osoby, které se současně s ním do bytu nastěhují: </w:t>
      </w:r>
      <w:proofErr w:type="spellStart"/>
      <w:r w:rsidR="00560DB4">
        <w:t>xxxxxxxxxxxxxxxxxxxxxxxxxxx</w:t>
      </w:r>
      <w:proofErr w:type="spellEnd"/>
    </w:p>
    <w:p w:rsidR="00A71B0E" w:rsidRDefault="00AE47BB">
      <w:pPr>
        <w:numPr>
          <w:ilvl w:val="0"/>
          <w:numId w:val="2"/>
        </w:numPr>
        <w:ind w:right="14"/>
      </w:pPr>
      <w:r>
        <w:t>Přijme-li nájemce nového člena do své domácnosti, je nájemce povinen oznámit zvýšení počtu osob žijících v bytě bez zbytečného odkladu pronajímateli. Současně je nájemce povinen sdělit pronajímateli jméno, příjmení a datum narození fyzické osoby, kterou nově přijímá do své domácnosti a v jakém vztahu je tato osoba k nájemci. Nesplní-li nájemce tuto svou povinnost ani do 2 měsíců poté, co změna nastala, má se za to, že závažně porušil svou povinnost a pronajímatel má právo ve smyslu S 2288 odst. 1 písm. a) občanského zákoníku nájem bytu vypovědět.</w:t>
      </w:r>
    </w:p>
    <w:p w:rsidR="00A71B0E" w:rsidRDefault="00AE47BB">
      <w:pPr>
        <w:numPr>
          <w:ilvl w:val="0"/>
          <w:numId w:val="2"/>
        </w:numPr>
        <w:spacing w:after="169" w:line="267" w:lineRule="auto"/>
        <w:ind w:right="14"/>
      </w:pPr>
      <w:r>
        <w:t>Pronajímatel si v souladu s ustanovením S 2272 odst. 2 občanského zákoníku vyhrazuje právo udělit písemný souhlas s přijetím nového člena do nájemcovy domácnosti. Toto se nevztahuje na osoby k nájemci blízké.</w:t>
      </w:r>
    </w:p>
    <w:p w:rsidR="00560DB4" w:rsidRDefault="00560DB4">
      <w:pPr>
        <w:spacing w:after="117" w:line="259" w:lineRule="auto"/>
        <w:ind w:left="63" w:hanging="10"/>
        <w:jc w:val="center"/>
        <w:rPr>
          <w:sz w:val="24"/>
        </w:rPr>
      </w:pPr>
    </w:p>
    <w:p w:rsidR="00A71B0E" w:rsidRDefault="00AE47BB">
      <w:pPr>
        <w:spacing w:after="117" w:line="259" w:lineRule="auto"/>
        <w:ind w:left="63" w:hanging="10"/>
        <w:jc w:val="center"/>
      </w:pPr>
      <w:r>
        <w:rPr>
          <w:sz w:val="24"/>
        </w:rPr>
        <w:lastRenderedPageBreak/>
        <w:t xml:space="preserve">Článek </w:t>
      </w:r>
      <w:proofErr w:type="spellStart"/>
      <w:r>
        <w:rPr>
          <w:sz w:val="24"/>
        </w:rPr>
        <w:t>Ill</w:t>
      </w:r>
      <w:proofErr w:type="spellEnd"/>
    </w:p>
    <w:p w:rsidR="00A71B0E" w:rsidRDefault="00AE47BB">
      <w:pPr>
        <w:spacing w:after="226" w:line="259" w:lineRule="auto"/>
        <w:ind w:left="19" w:right="230" w:hanging="5"/>
      </w:pPr>
      <w:r>
        <w:rPr>
          <w:sz w:val="24"/>
        </w:rPr>
        <w:t>Doba nájmu</w:t>
      </w:r>
    </w:p>
    <w:p w:rsidR="00A71B0E" w:rsidRDefault="00AE47BB">
      <w:pPr>
        <w:numPr>
          <w:ilvl w:val="0"/>
          <w:numId w:val="3"/>
        </w:numPr>
        <w:ind w:left="792" w:right="33" w:hanging="365"/>
      </w:pPr>
      <w:r>
        <w:t>Nájem se sjednává na dobu trvání pracovního poměru mezi nájemcem a pronajímatelem nejdéle však do 1.3.2026.</w:t>
      </w:r>
    </w:p>
    <w:p w:rsidR="00A71B0E" w:rsidRDefault="00AE47BB">
      <w:pPr>
        <w:numPr>
          <w:ilvl w:val="0"/>
          <w:numId w:val="3"/>
        </w:numPr>
        <w:ind w:left="792" w:right="33" w:hanging="365"/>
      </w:pPr>
      <w:r>
        <w:t>Neskončí-li pracovní poměr mezi nájemcem a pronajímatelem do data 1.3.2026, skončí nájem sjednaný touto smlouvou k tomuto datu.</w:t>
      </w:r>
    </w:p>
    <w:p w:rsidR="00A71B0E" w:rsidRDefault="00AE47BB">
      <w:pPr>
        <w:numPr>
          <w:ilvl w:val="0"/>
          <w:numId w:val="3"/>
        </w:numPr>
        <w:ind w:left="792" w:right="33" w:hanging="365"/>
      </w:pPr>
      <w:r>
        <w:t>Skončí-li pracovní poměr mezi nájemcem a pronajímatelem před datem 1.3.2026 skončí nájem sjednaný touto smlouvou posledním dnem kalendářního měsíce následujícího po měsíci, ve kterém ke skončení tohoto pracovního poměru došlo.</w:t>
      </w:r>
    </w:p>
    <w:p w:rsidR="00A71B0E" w:rsidRDefault="00AE47BB">
      <w:pPr>
        <w:numPr>
          <w:ilvl w:val="0"/>
          <w:numId w:val="3"/>
        </w:numPr>
        <w:spacing w:after="707" w:line="259" w:lineRule="auto"/>
        <w:ind w:left="792" w:right="33" w:hanging="365"/>
      </w:pPr>
      <w:r>
        <w:t>Smluvní strany tímto vylučují prolongaci doby nájmu ve smyslu S 2285 občanského zákoníku.</w:t>
      </w:r>
    </w:p>
    <w:p w:rsidR="00A71B0E" w:rsidRDefault="00AE47BB">
      <w:pPr>
        <w:spacing w:after="176" w:line="259" w:lineRule="auto"/>
        <w:ind w:left="63" w:right="10" w:hanging="10"/>
        <w:jc w:val="center"/>
      </w:pPr>
      <w:r>
        <w:rPr>
          <w:sz w:val="24"/>
        </w:rPr>
        <w:t>Článek IV</w:t>
      </w:r>
    </w:p>
    <w:p w:rsidR="00A71B0E" w:rsidRDefault="00AE47BB">
      <w:pPr>
        <w:spacing w:after="148" w:line="259" w:lineRule="auto"/>
        <w:ind w:left="19" w:right="230" w:hanging="5"/>
      </w:pPr>
      <w:r>
        <w:rPr>
          <w:sz w:val="24"/>
        </w:rPr>
        <w:t>Nájemné a úhrada za plnění spojené s užíváním bytu</w:t>
      </w:r>
    </w:p>
    <w:p w:rsidR="00A71B0E" w:rsidRDefault="00AE47BB">
      <w:pPr>
        <w:ind w:left="24" w:right="14"/>
      </w:pPr>
      <w:r>
        <w:t>1. Nájemné se sjednává jako součet částky vypočtené ze sazby ve výši 200 Kč za 1 m</w:t>
      </w:r>
      <w:r>
        <w:rPr>
          <w:vertAlign w:val="superscript"/>
        </w:rPr>
        <w:t xml:space="preserve">2 </w:t>
      </w:r>
      <w:r>
        <w:t>započitatelné podlahové plochy bytu měsíčně a částky za vybavenost bytu zařizovacími předměty.</w:t>
      </w:r>
    </w:p>
    <w:p w:rsidR="00A71B0E" w:rsidRDefault="00AE47BB">
      <w:pPr>
        <w:ind w:left="24" w:right="264" w:firstLine="701"/>
      </w:pPr>
      <w:r>
        <w:t>Započitatelnou podlahovou plochou bytu se rozumí součet podlahových ploch všech místností bytu a jeho příslušenství, a to i mimo byt, pokud jsou užívány výhradně nájemcem bytu a polovina podlahové plochy místností: sklepní koje a balkonu.</w:t>
      </w:r>
    </w:p>
    <w:p w:rsidR="00A71B0E" w:rsidRDefault="00AE47BB">
      <w:pPr>
        <w:ind w:left="24" w:right="14" w:firstLine="701"/>
      </w:pPr>
      <w:r>
        <w:t xml:space="preserve">Celkové nájemné za pronájem bytu ke dni uzavření smlouvy se sjednává ve výši 15 428,- Kč </w:t>
      </w:r>
      <w:proofErr w:type="spellStart"/>
      <w:r>
        <w:t>mesłcne</w:t>
      </w:r>
      <w:proofErr w:type="spellEnd"/>
      <w:r>
        <w:t>.</w:t>
      </w:r>
    </w:p>
    <w:p w:rsidR="00A71B0E" w:rsidRDefault="00AE47BB">
      <w:pPr>
        <w:ind w:left="24" w:right="14" w:firstLine="696"/>
      </w:pPr>
      <w:r>
        <w:t>Výpočet měsíčního nájemného a soupis zařizovacích předmětů je uveden v evidenčním listu, který nájemce obdrží po protokolárním převzetí bytu.</w:t>
      </w:r>
    </w:p>
    <w:p w:rsidR="00A71B0E" w:rsidRDefault="00AE47BB">
      <w:pPr>
        <w:spacing w:after="216" w:line="267" w:lineRule="auto"/>
        <w:ind w:left="14" w:right="14" w:firstLine="720"/>
        <w:jc w:val="left"/>
      </w:pPr>
      <w:r>
        <w:t>Pronajímatel se s nájemcem dohodli, že sjednané nájemné může pronajímatel každoročně upravit mírou inflace vyjádřenou přírůstkem průměrného indexu spotřebitelských cen za 12 měsíců posledního kalendářního roku proti průměru 12 ti měsíců předposledního kalendářního roku zveřejněnou Českým statistickým úřadem.</w:t>
      </w:r>
    </w:p>
    <w:p w:rsidR="00A71B0E" w:rsidRDefault="00AE47BB">
      <w:pPr>
        <w:ind w:left="19" w:right="77" w:firstLine="696"/>
      </w:pPr>
      <w:r>
        <w:t>V případě, že dojde ke změně úpravy výše nájemného novým obecně platným právním předpisem, bude od doby účinnosti tohoto předpisu postupováno v souladu s ním, nedohodnou-li se pronajímatel s nájemcem jinak.</w:t>
      </w:r>
    </w:p>
    <w:p w:rsidR="00A71B0E" w:rsidRDefault="00AE47BB">
      <w:pPr>
        <w:ind w:left="427" w:right="523"/>
      </w:pPr>
      <w:r>
        <w:t>2. Poskytování služeb spojených s užíváním bytu a úhrada záloh na služby nebo náklady na služby se stanoví dohodou. Konkrétní výše měsíčního nájemného za byt a záloh na služby je uvedena v evidenčním listu nebo jeho změně.</w:t>
      </w:r>
    </w:p>
    <w:p w:rsidR="00A71B0E" w:rsidRDefault="00AE47BB">
      <w:pPr>
        <w:spacing w:after="225"/>
        <w:ind w:left="19" w:right="14"/>
      </w:pPr>
      <w:r>
        <w:t>Pronajímatel poskytuje nebo zprostředkovává následující služby (v závislosti na vybavení domu):</w:t>
      </w:r>
    </w:p>
    <w:p w:rsidR="00A71B0E" w:rsidRDefault="00AE47BB">
      <w:pPr>
        <w:numPr>
          <w:ilvl w:val="0"/>
          <w:numId w:val="4"/>
        </w:numPr>
        <w:ind w:left="1431" w:right="14" w:hanging="797"/>
      </w:pPr>
      <w:r>
        <w:t>ústřední vytápění</w:t>
      </w:r>
    </w:p>
    <w:p w:rsidR="00A71B0E" w:rsidRDefault="00AE47BB">
      <w:pPr>
        <w:numPr>
          <w:ilvl w:val="0"/>
          <w:numId w:val="4"/>
        </w:numPr>
        <w:spacing w:after="240"/>
        <w:ind w:left="1431" w:right="14" w:hanging="797"/>
      </w:pPr>
      <w:r>
        <w:lastRenderedPageBreak/>
        <w:t>dodávku teplé vody</w:t>
      </w:r>
    </w:p>
    <w:p w:rsidR="00A71B0E" w:rsidRDefault="00AE47BB">
      <w:pPr>
        <w:numPr>
          <w:ilvl w:val="0"/>
          <w:numId w:val="4"/>
        </w:numPr>
        <w:spacing w:after="220"/>
        <w:ind w:left="1431" w:right="14" w:hanging="797"/>
      </w:pPr>
      <w:r>
        <w:t xml:space="preserve">dodávku </w:t>
      </w:r>
      <w:proofErr w:type="spellStart"/>
      <w:proofErr w:type="gramStart"/>
      <w:r>
        <w:t>el</w:t>
      </w:r>
      <w:proofErr w:type="gramEnd"/>
      <w:r>
        <w:t>.</w:t>
      </w:r>
      <w:proofErr w:type="gramStart"/>
      <w:r>
        <w:t>energie</w:t>
      </w:r>
      <w:proofErr w:type="spellEnd"/>
      <w:proofErr w:type="gramEnd"/>
    </w:p>
    <w:p w:rsidR="00A71B0E" w:rsidRDefault="00AE47BB">
      <w:pPr>
        <w:numPr>
          <w:ilvl w:val="0"/>
          <w:numId w:val="4"/>
        </w:numPr>
        <w:ind w:left="1431" w:right="14" w:hanging="797"/>
      </w:pPr>
      <w:r>
        <w:t>dodávku vody</w:t>
      </w:r>
    </w:p>
    <w:p w:rsidR="00A71B0E" w:rsidRDefault="00AE47BB">
      <w:pPr>
        <w:spacing w:after="11" w:line="449" w:lineRule="auto"/>
        <w:ind w:left="624" w:right="4128"/>
      </w:pPr>
      <w:r>
        <w:rPr>
          <w:noProof/>
        </w:rPr>
        <w:drawing>
          <wp:inline distT="0" distB="0" distL="0" distR="0" wp14:anchorId="312BE817" wp14:editId="7C737FF6">
            <wp:extent cx="103639" cy="128022"/>
            <wp:effectExtent l="0" t="0" r="0" b="0"/>
            <wp:docPr id="17738" name="Picture 17738"/>
            <wp:cNvGraphicFramePr/>
            <a:graphic xmlns:a="http://schemas.openxmlformats.org/drawingml/2006/main">
              <a:graphicData uri="http://schemas.openxmlformats.org/drawingml/2006/picture">
                <pic:pic xmlns:pic="http://schemas.openxmlformats.org/drawingml/2006/picture">
                  <pic:nvPicPr>
                    <pic:cNvPr id="17738" name="Picture 17738"/>
                    <pic:cNvPicPr/>
                  </pic:nvPicPr>
                  <pic:blipFill>
                    <a:blip r:embed="rId6"/>
                    <a:stretch>
                      <a:fillRect/>
                    </a:stretch>
                  </pic:blipFill>
                  <pic:spPr>
                    <a:xfrm>
                      <a:off x="0" y="0"/>
                      <a:ext cx="103639" cy="128022"/>
                    </a:xfrm>
                    <a:prstGeom prst="rect">
                      <a:avLst/>
                    </a:prstGeom>
                  </pic:spPr>
                </pic:pic>
              </a:graphicData>
            </a:graphic>
          </wp:inline>
        </w:drawing>
      </w:r>
      <w:r>
        <w:t>odvádění odpadních vod kanalizacemi f) osvětlení společných prostor v domě</w:t>
      </w:r>
    </w:p>
    <w:p w:rsidR="00A71B0E" w:rsidRDefault="00AE47BB">
      <w:pPr>
        <w:numPr>
          <w:ilvl w:val="0"/>
          <w:numId w:val="5"/>
        </w:numPr>
        <w:spacing w:after="217"/>
        <w:ind w:right="14"/>
      </w:pPr>
      <w:r>
        <w:t>odvoz a likvidaci komunálního odpadu</w:t>
      </w:r>
    </w:p>
    <w:p w:rsidR="00A71B0E" w:rsidRDefault="00AE47BB">
      <w:pPr>
        <w:numPr>
          <w:ilvl w:val="0"/>
          <w:numId w:val="5"/>
        </w:numPr>
        <w:spacing w:after="214"/>
        <w:ind w:right="14"/>
      </w:pPr>
      <w:r>
        <w:t>vybavení bytu zařízením pro příjem televizního a rozhlasového signálu</w:t>
      </w:r>
    </w:p>
    <w:p w:rsidR="00A71B0E" w:rsidRDefault="00AE47BB">
      <w:pPr>
        <w:numPr>
          <w:ilvl w:val="0"/>
          <w:numId w:val="5"/>
        </w:numPr>
        <w:spacing w:after="0" w:line="453" w:lineRule="auto"/>
        <w:ind w:right="14"/>
      </w:pPr>
      <w:r>
        <w:t xml:space="preserve">připojení internetu </w:t>
      </w:r>
      <w:r>
        <w:rPr>
          <w:noProof/>
        </w:rPr>
        <w:drawing>
          <wp:inline distT="0" distB="0" distL="0" distR="0" wp14:anchorId="7600F6C0" wp14:editId="1E0723A8">
            <wp:extent cx="76205" cy="124974"/>
            <wp:effectExtent l="0" t="0" r="0" b="0"/>
            <wp:docPr id="17740" name="Picture 17740"/>
            <wp:cNvGraphicFramePr/>
            <a:graphic xmlns:a="http://schemas.openxmlformats.org/drawingml/2006/main">
              <a:graphicData uri="http://schemas.openxmlformats.org/drawingml/2006/picture">
                <pic:pic xmlns:pic="http://schemas.openxmlformats.org/drawingml/2006/picture">
                  <pic:nvPicPr>
                    <pic:cNvPr id="17740" name="Picture 17740"/>
                    <pic:cNvPicPr/>
                  </pic:nvPicPr>
                  <pic:blipFill>
                    <a:blip r:embed="rId7"/>
                    <a:stretch>
                      <a:fillRect/>
                    </a:stretch>
                  </pic:blipFill>
                  <pic:spPr>
                    <a:xfrm>
                      <a:off x="0" y="0"/>
                      <a:ext cx="76205" cy="124974"/>
                    </a:xfrm>
                    <a:prstGeom prst="rect">
                      <a:avLst/>
                    </a:prstGeom>
                  </pic:spPr>
                </pic:pic>
              </a:graphicData>
            </a:graphic>
          </wp:inline>
        </w:drawing>
      </w:r>
      <w:r>
        <w:t>úklid společných chodeb</w:t>
      </w:r>
    </w:p>
    <w:p w:rsidR="00A71B0E" w:rsidRDefault="00AE47BB">
      <w:pPr>
        <w:numPr>
          <w:ilvl w:val="0"/>
          <w:numId w:val="6"/>
        </w:numPr>
        <w:spacing w:after="235"/>
        <w:ind w:left="652" w:right="14" w:hanging="350"/>
        <w:jc w:val="left"/>
      </w:pPr>
      <w:r>
        <w:t>Ceny služeb poskytovaných podle této smlouvy, výše záloh na úhradu za služby a jejich vyúčtování se sjednávají ve výši stanovené zvláštním předpisem nebo rozhodnutím cenového orgánu. Pokud není cena plnění stanovena zvláštním předpisem ani rozhodnutím cenového orgánu, stanoví se jako měsíční podíl z předpokládané roční ceny odvozené z ceny sjednané v průběhu minulého roku, se zohledněním případných změn v rozsahu poskytovaných plnění nebo změny jejich dodavatelské ceny.</w:t>
      </w:r>
    </w:p>
    <w:p w:rsidR="00A71B0E" w:rsidRDefault="00AE47BB">
      <w:pPr>
        <w:numPr>
          <w:ilvl w:val="0"/>
          <w:numId w:val="6"/>
        </w:numPr>
        <w:ind w:left="652" w:right="14" w:hanging="350"/>
        <w:jc w:val="left"/>
      </w:pPr>
      <w:r>
        <w:t xml:space="preserve">Nesplní-li nájemce svoji povinnost dle článku </w:t>
      </w:r>
      <w:proofErr w:type="spellStart"/>
      <w:r>
        <w:t>Il</w:t>
      </w:r>
      <w:proofErr w:type="spellEnd"/>
      <w:r>
        <w:t>. odst. 2. (tj. oznámit zvýšení počtu osob žijících v bytě bez zbytečného odkladu pronajímateli), je pronajímatel oprávněn požadovat na nájemci příslušný doplatek (bezdůvodné obohacení) za služby čerpané zvýšeným počtem osob v bytě.</w:t>
      </w:r>
    </w:p>
    <w:p w:rsidR="00A71B0E" w:rsidRDefault="00AE47BB">
      <w:pPr>
        <w:numPr>
          <w:ilvl w:val="0"/>
          <w:numId w:val="6"/>
        </w:numPr>
        <w:spacing w:after="216" w:line="267" w:lineRule="auto"/>
        <w:ind w:left="652" w:right="14" w:hanging="350"/>
        <w:jc w:val="left"/>
      </w:pPr>
      <w:r>
        <w:t>Měsíční nájemné spolu se zálohami na služby je nájemce povinen platit pronajímateli řádně a včas na jeho účet v dohodnutém termínu, nejpozději však do posledního dne kalendářního měsíce, za který se platí nájemné (</w:t>
      </w:r>
      <w:proofErr w:type="spellStart"/>
      <w:r>
        <w:t>počínajel.měsícem</w:t>
      </w:r>
      <w:proofErr w:type="spellEnd"/>
      <w:r>
        <w:t xml:space="preserve"> nájmu), tento den je dnem uskutečnění plnění. O případné změně čísla účtu bude nájemce vhodným způsobem včas informován.</w:t>
      </w:r>
    </w:p>
    <w:p w:rsidR="00A71B0E" w:rsidRDefault="00AE47BB">
      <w:pPr>
        <w:numPr>
          <w:ilvl w:val="0"/>
          <w:numId w:val="6"/>
        </w:numPr>
        <w:spacing w:after="216" w:line="267" w:lineRule="auto"/>
        <w:ind w:left="652" w:right="14" w:hanging="350"/>
        <w:jc w:val="left"/>
      </w:pPr>
      <w:r>
        <w:t>Smluvní strany se dohodly, že měsíční nájemné a zálohy na služby budou nájemci jako zaměstnanci pronajímatele automaticky strhávány srážkou z jeho platu. Nebude-li možné srážku z platu provést (např. proto že z důvodu nemoci nájemce mu nevznikl nárok na plat atp.) je nájemce povinen tyto platby uhradit způsobem uvedeným v předchozím odstavci.</w:t>
      </w:r>
    </w:p>
    <w:p w:rsidR="00A71B0E" w:rsidRDefault="00AE47BB">
      <w:pPr>
        <w:numPr>
          <w:ilvl w:val="0"/>
          <w:numId w:val="6"/>
        </w:numPr>
        <w:ind w:left="652" w:right="14" w:hanging="350"/>
        <w:jc w:val="left"/>
      </w:pPr>
      <w:r>
        <w:t>Nezaplatí-li nájemce nájemné do jeho splatnosti nebo dostane-li se nájemce do prodlení s peněžitým plněním podle zákona č. 67/2013 Sb., je nájemce povinen zaplatit pronajímateli úrok z prodlení stanovený platným právním předpisem (nařízení vlády č. 351/2013 Sb.).</w:t>
      </w:r>
    </w:p>
    <w:p w:rsidR="00A71B0E" w:rsidRDefault="00AE47BB">
      <w:pPr>
        <w:numPr>
          <w:ilvl w:val="0"/>
          <w:numId w:val="6"/>
        </w:numPr>
        <w:spacing w:after="216" w:line="267" w:lineRule="auto"/>
        <w:ind w:left="652" w:right="14" w:hanging="350"/>
        <w:jc w:val="left"/>
      </w:pPr>
      <w:r>
        <w:t>Pronajímatel a nájemce se dohodli, že při změně nájemného z důvodu uplatnění inflace či z důvodu změny právního předpisu; z důvodu změny stavu a počtu zařizovacích předmětů; a při změně rozsahu, kvality nebo ceny plnění v probíhajícím roce, provede pronajímatel odpovídající změnu nájemného anebo záloh na úhradu cen služeb v evidenčním listu a o této změně informuje předem nájemce bytu způsobem stanoveným právním předpisem a není-li tento předpis, jiným vhodným způsobem.</w:t>
      </w:r>
    </w:p>
    <w:p w:rsidR="00A71B0E" w:rsidRDefault="00AE47BB">
      <w:pPr>
        <w:spacing w:after="176" w:line="259" w:lineRule="auto"/>
        <w:ind w:left="63" w:right="38" w:hanging="10"/>
        <w:jc w:val="center"/>
      </w:pPr>
      <w:r>
        <w:rPr>
          <w:sz w:val="24"/>
        </w:rPr>
        <w:t>Článek VII.</w:t>
      </w:r>
    </w:p>
    <w:p w:rsidR="00A71B0E" w:rsidRDefault="00AE47BB">
      <w:pPr>
        <w:spacing w:after="148" w:line="259" w:lineRule="auto"/>
        <w:ind w:left="19" w:right="230" w:hanging="5"/>
      </w:pPr>
      <w:r>
        <w:rPr>
          <w:sz w:val="24"/>
        </w:rPr>
        <w:lastRenderedPageBreak/>
        <w:t>Podmínky předání a převzetí bytu</w:t>
      </w:r>
    </w:p>
    <w:p w:rsidR="00A71B0E" w:rsidRDefault="00AE47BB">
      <w:pPr>
        <w:numPr>
          <w:ilvl w:val="0"/>
          <w:numId w:val="7"/>
        </w:numPr>
        <w:ind w:right="192"/>
      </w:pPr>
      <w:r>
        <w:t>Pronajímatel předá nájemci předmět nájmu do pěti pracovních dnů ode dne, kdy ji o předání bytu nájemce požádá, nejpozději však v den účinnosti této smlouvy.</w:t>
      </w:r>
    </w:p>
    <w:p w:rsidR="00A71B0E" w:rsidRDefault="00AE47BB">
      <w:pPr>
        <w:numPr>
          <w:ilvl w:val="0"/>
          <w:numId w:val="7"/>
        </w:numPr>
        <w:spacing w:after="231"/>
        <w:ind w:right="192"/>
      </w:pPr>
      <w:r>
        <w:t>O předání a převzetí bytu se mezi pronajímatelem a nájemcem se sepíše předávací protokol (ve 2 stejnopisech, z nichž každá ze smluvních stran obdrží po jednom), který se jejich podpisem stává přílohou této smlouvy. Do protokolu se uvede stav bytu a jeho vybavení a případné závady, budou-li zjištěny.</w:t>
      </w:r>
    </w:p>
    <w:p w:rsidR="00A71B0E" w:rsidRDefault="00AE47BB">
      <w:pPr>
        <w:numPr>
          <w:ilvl w:val="0"/>
          <w:numId w:val="7"/>
        </w:numPr>
        <w:ind w:right="192"/>
      </w:pPr>
      <w:r>
        <w:t>Při podpisu protokolu o předání a převzetí bytu předá pronajímatel nájemci evidenční list s výpočtem nájemného a záloh na cenu za služby poskytované s nájmem bytu. Evidenční list se předáním nájemci stává přílohou této smlouvy.</w:t>
      </w:r>
    </w:p>
    <w:p w:rsidR="00A71B0E" w:rsidRDefault="00AE47BB">
      <w:pPr>
        <w:numPr>
          <w:ilvl w:val="0"/>
          <w:numId w:val="7"/>
        </w:numPr>
        <w:ind w:right="192"/>
      </w:pPr>
      <w:r>
        <w:t>Po zániku nájmu bytu se nájemce zavazuje byt předat ve stavu, v jakém jej převzal, nehledě na běžné opotřebení při běžném užívání a na vady, které je povinen odstranit pronajímatel. Drobné opravy a náklady spojené s běžnou údržbou bytu, jejichž potřeba vznikla do doby skončení nájmu, zajistí nájemce nejpozději k termínu předání bytu. Pokud tak nájemce neučiní, zajistí potřebné opravy a běžnou údržbu pronajímatel na náklad nájemce.</w:t>
      </w:r>
    </w:p>
    <w:p w:rsidR="00A71B0E" w:rsidRDefault="00AE47BB">
      <w:pPr>
        <w:numPr>
          <w:ilvl w:val="0"/>
          <w:numId w:val="7"/>
        </w:numPr>
        <w:spacing w:after="213"/>
        <w:ind w:right="192"/>
      </w:pPr>
      <w:r>
        <w:t>Neodevzdá-li nájemce byt pronajímateli v den skončení nájmu, má pronajímatel právo na náhradu ve výši sjednaného nájemného až do dne, kdy nájemce pronajímateli byt skutečně odevzdá.</w:t>
      </w:r>
    </w:p>
    <w:p w:rsidR="00A71B0E" w:rsidRDefault="00AE47BB">
      <w:pPr>
        <w:spacing w:after="176" w:line="259" w:lineRule="auto"/>
        <w:ind w:left="63" w:right="48" w:hanging="10"/>
        <w:jc w:val="center"/>
      </w:pPr>
      <w:r>
        <w:rPr>
          <w:sz w:val="24"/>
        </w:rPr>
        <w:t>Článek Vlil.</w:t>
      </w:r>
    </w:p>
    <w:p w:rsidR="00A71B0E" w:rsidRDefault="00AE47BB">
      <w:pPr>
        <w:spacing w:after="148" w:line="259" w:lineRule="auto"/>
        <w:ind w:left="19" w:right="230" w:hanging="5"/>
      </w:pPr>
      <w:r>
        <w:rPr>
          <w:sz w:val="24"/>
        </w:rPr>
        <w:t>Práva a povinnosti spojené s nájmem bytu</w:t>
      </w:r>
    </w:p>
    <w:p w:rsidR="00A71B0E" w:rsidRDefault="00AE47BB">
      <w:pPr>
        <w:numPr>
          <w:ilvl w:val="0"/>
          <w:numId w:val="8"/>
        </w:numPr>
        <w:spacing w:after="176" w:line="267" w:lineRule="auto"/>
        <w:ind w:right="14"/>
      </w:pPr>
      <w:r>
        <w:t>Práva a povinnosti spojené s nájmem bytu jsou obecně upraveny v platných právních předpisech, zejména v občanském zákoníku, zvláštních právních předpisech, kterými se provádí občanský zákoník a dalších zvláštních předpisech souvisejících s nájmem bytu.</w:t>
      </w:r>
    </w:p>
    <w:p w:rsidR="00A71B0E" w:rsidRDefault="00AE47BB">
      <w:pPr>
        <w:numPr>
          <w:ilvl w:val="0"/>
          <w:numId w:val="8"/>
        </w:numPr>
        <w:spacing w:after="213"/>
        <w:ind w:right="14"/>
      </w:pPr>
      <w:r>
        <w:t>Nájemce je dále povinen dodržovat všechna ujednání obsažená v této nájemní smlouvě a v „Pravidlech pro užívání bytu a společných částí a zařízení domu” (domovní řád) a dále rozumné pokyny pronajímatele pro zachování náležitého pořádku obvyklého podle místních poměrů. Pokud v období po uzavření nájemní smlouvy dojde ke změně právních předpisů, řídí se smluvní strany vždy jejich platným zněním.</w:t>
      </w:r>
    </w:p>
    <w:p w:rsidR="00A71B0E" w:rsidRDefault="00AE47BB">
      <w:pPr>
        <w:numPr>
          <w:ilvl w:val="0"/>
          <w:numId w:val="8"/>
        </w:numPr>
        <w:ind w:right="14"/>
      </w:pPr>
      <w:r>
        <w:t>Nájemce není oprávněn uzavřít podnájemní smlouvu k bytu bez písemného souhlasu pronajímatele.</w:t>
      </w:r>
    </w:p>
    <w:p w:rsidR="00A71B0E" w:rsidRDefault="00AE47BB">
      <w:pPr>
        <w:spacing w:after="154" w:line="259" w:lineRule="auto"/>
        <w:ind w:left="63" w:right="43" w:hanging="10"/>
        <w:jc w:val="center"/>
      </w:pPr>
      <w:r>
        <w:rPr>
          <w:sz w:val="24"/>
        </w:rPr>
        <w:t>Článek IX.</w:t>
      </w:r>
    </w:p>
    <w:p w:rsidR="00A71B0E" w:rsidRDefault="00AE47BB">
      <w:pPr>
        <w:spacing w:after="213" w:line="259" w:lineRule="auto"/>
        <w:ind w:left="19" w:right="230" w:hanging="5"/>
      </w:pPr>
      <w:r>
        <w:rPr>
          <w:sz w:val="24"/>
        </w:rPr>
        <w:t>Závěrečná ustanovení</w:t>
      </w:r>
    </w:p>
    <w:p w:rsidR="00A71B0E" w:rsidRDefault="00AE47BB">
      <w:pPr>
        <w:numPr>
          <w:ilvl w:val="0"/>
          <w:numId w:val="9"/>
        </w:numPr>
        <w:spacing w:after="0"/>
        <w:ind w:right="14"/>
      </w:pPr>
      <w:r>
        <w:t>Tato smlouva nabývá platnosti dnem podpisu poslední ze smluvních stran a účinnosti dnem</w:t>
      </w:r>
    </w:p>
    <w:p w:rsidR="00A71B0E" w:rsidRDefault="00AE47BB">
      <w:pPr>
        <w:spacing w:after="253" w:line="259" w:lineRule="auto"/>
        <w:ind w:left="451" w:firstLine="0"/>
        <w:jc w:val="left"/>
      </w:pPr>
      <w:r>
        <w:rPr>
          <w:rFonts w:ascii="Times New Roman" w:eastAsia="Times New Roman" w:hAnsi="Times New Roman" w:cs="Times New Roman"/>
        </w:rPr>
        <w:t>1.3.2024.</w:t>
      </w:r>
    </w:p>
    <w:p w:rsidR="00A71B0E" w:rsidRDefault="00AE47BB">
      <w:pPr>
        <w:numPr>
          <w:ilvl w:val="0"/>
          <w:numId w:val="9"/>
        </w:numPr>
        <w:ind w:right="14"/>
      </w:pPr>
      <w:r>
        <w:t>Účastníci této smlouvy prohlašují, že souhlasí s jejím obsahem. Smlouva byla sepsána na základě jejich svobodné vůle a nebyla ujednána v tísni za nápadně nevýhodných podmínek.</w:t>
      </w:r>
    </w:p>
    <w:p w:rsidR="00A71B0E" w:rsidRDefault="00AE47BB">
      <w:pPr>
        <w:numPr>
          <w:ilvl w:val="0"/>
          <w:numId w:val="9"/>
        </w:numPr>
        <w:ind w:right="14"/>
      </w:pPr>
      <w:r>
        <w:lastRenderedPageBreak/>
        <w:t>Smluvní strany shodně prohlašují, že předmětem smlouvy není nájem služebního bytu podle S 2297 a násl. Zákona č. 89/2012 Sb. občanský zákoník</w:t>
      </w:r>
    </w:p>
    <w:p w:rsidR="00A71B0E" w:rsidRDefault="00AE47BB">
      <w:pPr>
        <w:numPr>
          <w:ilvl w:val="0"/>
          <w:numId w:val="9"/>
        </w:numPr>
        <w:spacing w:after="233"/>
        <w:ind w:right="14"/>
      </w:pPr>
      <w:r>
        <w:t>Smluvní strany výslovně souhlasí s tím, aby tato smlouva byla uvedena v centrální evidenci smluv.</w:t>
      </w:r>
    </w:p>
    <w:p w:rsidR="00A71B0E" w:rsidRDefault="00AE47BB">
      <w:pPr>
        <w:numPr>
          <w:ilvl w:val="0"/>
          <w:numId w:val="9"/>
        </w:numPr>
        <w:spacing w:after="242"/>
        <w:ind w:right="14"/>
      </w:pPr>
      <w:r>
        <w:t>Případné změny či doplňky této smlouvy mohou být uzavřeny pouze písemnou formou a po jejich podpisu se stávají nedílnou součástí této smlouvy.</w:t>
      </w:r>
    </w:p>
    <w:p w:rsidR="00A71B0E" w:rsidRDefault="00AE47BB">
      <w:pPr>
        <w:numPr>
          <w:ilvl w:val="0"/>
          <w:numId w:val="9"/>
        </w:numPr>
        <w:ind w:right="14"/>
      </w:pPr>
      <w:r>
        <w:t>Nájemci byl před podpisem smlouvy předán domovní řád a požární řád.</w:t>
      </w:r>
    </w:p>
    <w:p w:rsidR="00A71B0E" w:rsidRDefault="00AE47BB">
      <w:pPr>
        <w:numPr>
          <w:ilvl w:val="0"/>
          <w:numId w:val="9"/>
        </w:numPr>
        <w:ind w:right="14"/>
      </w:pPr>
      <w:r>
        <w:t>Tato smlouva je vyhotovena ve 2 stejnopisech, z nichž dva obdrží pronajímatel, po jednom</w:t>
      </w:r>
    </w:p>
    <w:p w:rsidR="00A71B0E" w:rsidRDefault="00A71B0E">
      <w:pPr>
        <w:sectPr w:rsidR="00A71B0E">
          <w:pgSz w:w="11900" w:h="16820"/>
          <w:pgMar w:top="1431" w:right="1445" w:bottom="1516" w:left="1392" w:header="708" w:footer="708" w:gutter="0"/>
          <w:cols w:space="708"/>
        </w:sectPr>
      </w:pPr>
    </w:p>
    <w:p w:rsidR="00A71B0E" w:rsidRDefault="00AE47BB">
      <w:pPr>
        <w:spacing w:after="1921"/>
        <w:ind w:left="605" w:right="14"/>
      </w:pPr>
      <w:r>
        <w:lastRenderedPageBreak/>
        <w:t>stejnopise každý nájemce.</w:t>
      </w:r>
    </w:p>
    <w:p w:rsidR="00A71B0E" w:rsidRDefault="00AE47BB">
      <w:pPr>
        <w:tabs>
          <w:tab w:val="right" w:pos="6485"/>
        </w:tabs>
        <w:spacing w:after="0"/>
        <w:ind w:left="0" w:firstLine="0"/>
        <w:jc w:val="left"/>
      </w:pPr>
      <w:r>
        <w:t xml:space="preserve">V Praze dne </w:t>
      </w:r>
      <w:r>
        <w:rPr>
          <w:noProof/>
        </w:rPr>
        <w:drawing>
          <wp:inline distT="0" distB="0" distL="0" distR="0" wp14:anchorId="12EF99E8" wp14:editId="0CF023C3">
            <wp:extent cx="570014" cy="167648"/>
            <wp:effectExtent l="0" t="0" r="0" b="0"/>
            <wp:docPr id="9627" name="Picture 9627"/>
            <wp:cNvGraphicFramePr/>
            <a:graphic xmlns:a="http://schemas.openxmlformats.org/drawingml/2006/main">
              <a:graphicData uri="http://schemas.openxmlformats.org/drawingml/2006/picture">
                <pic:pic xmlns:pic="http://schemas.openxmlformats.org/drawingml/2006/picture">
                  <pic:nvPicPr>
                    <pic:cNvPr id="9627" name="Picture 9627"/>
                    <pic:cNvPicPr/>
                  </pic:nvPicPr>
                  <pic:blipFill>
                    <a:blip r:embed="rId8"/>
                    <a:stretch>
                      <a:fillRect/>
                    </a:stretch>
                  </pic:blipFill>
                  <pic:spPr>
                    <a:xfrm>
                      <a:off x="0" y="0"/>
                      <a:ext cx="570014" cy="167648"/>
                    </a:xfrm>
                    <a:prstGeom prst="rect">
                      <a:avLst/>
                    </a:prstGeom>
                  </pic:spPr>
                </pic:pic>
              </a:graphicData>
            </a:graphic>
          </wp:inline>
        </w:drawing>
      </w:r>
      <w:r w:rsidR="00560DB4">
        <w:t>2023</w:t>
      </w:r>
      <w:r>
        <w:tab/>
        <w:t>V Praze dne</w:t>
      </w:r>
    </w:p>
    <w:p w:rsidR="00A71B0E" w:rsidRDefault="00A71B0E">
      <w:pPr>
        <w:spacing w:after="317" w:line="259" w:lineRule="auto"/>
        <w:ind w:left="154" w:right="-1762" w:firstLine="0"/>
        <w:jc w:val="left"/>
      </w:pPr>
    </w:p>
    <w:tbl>
      <w:tblPr>
        <w:tblStyle w:val="TableGrid"/>
        <w:tblW w:w="7344" w:type="dxa"/>
        <w:tblInd w:w="163" w:type="dxa"/>
        <w:tblCellMar>
          <w:top w:w="21" w:type="dxa"/>
          <w:bottom w:w="3" w:type="dxa"/>
        </w:tblCellMar>
        <w:tblLook w:val="04A0" w:firstRow="1" w:lastRow="0" w:firstColumn="1" w:lastColumn="0" w:noHBand="0" w:noVBand="1"/>
      </w:tblPr>
      <w:tblGrid>
        <w:gridCol w:w="5069"/>
        <w:gridCol w:w="2275"/>
      </w:tblGrid>
      <w:tr w:rsidR="00A71B0E">
        <w:trPr>
          <w:trHeight w:val="382"/>
        </w:trPr>
        <w:tc>
          <w:tcPr>
            <w:tcW w:w="5069" w:type="dxa"/>
            <w:tcBorders>
              <w:top w:val="nil"/>
              <w:left w:val="nil"/>
              <w:bottom w:val="nil"/>
              <w:right w:val="nil"/>
            </w:tcBorders>
          </w:tcPr>
          <w:p w:rsidR="00A71B0E" w:rsidRDefault="00AE47BB">
            <w:pPr>
              <w:spacing w:after="0" w:line="259" w:lineRule="auto"/>
              <w:ind w:left="0" w:firstLine="0"/>
              <w:jc w:val="left"/>
            </w:pPr>
            <w:r>
              <w:t>Za pronajímatele</w:t>
            </w:r>
          </w:p>
        </w:tc>
        <w:tc>
          <w:tcPr>
            <w:tcW w:w="2275" w:type="dxa"/>
            <w:tcBorders>
              <w:top w:val="nil"/>
              <w:left w:val="nil"/>
              <w:bottom w:val="nil"/>
              <w:right w:val="nil"/>
            </w:tcBorders>
          </w:tcPr>
          <w:p w:rsidR="00A71B0E" w:rsidRDefault="00AE47BB">
            <w:pPr>
              <w:spacing w:after="0" w:line="259" w:lineRule="auto"/>
              <w:ind w:left="475" w:firstLine="0"/>
              <w:jc w:val="left"/>
            </w:pPr>
            <w:r>
              <w:t>Za nájemce</w:t>
            </w:r>
          </w:p>
        </w:tc>
      </w:tr>
    </w:tbl>
    <w:p w:rsidR="00A71B0E" w:rsidRDefault="00A71B0E">
      <w:pPr>
        <w:spacing w:after="0" w:line="259" w:lineRule="auto"/>
        <w:ind w:left="1229" w:firstLine="0"/>
        <w:jc w:val="left"/>
      </w:pPr>
      <w:bookmarkStart w:id="0" w:name="_GoBack"/>
      <w:bookmarkEnd w:id="0"/>
    </w:p>
    <w:sectPr w:rsidR="00A71B0E">
      <w:type w:val="continuous"/>
      <w:pgSz w:w="11900" w:h="16820"/>
      <w:pgMar w:top="1431" w:right="4191" w:bottom="2655" w:left="122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725CF"/>
    <w:multiLevelType w:val="hybridMultilevel"/>
    <w:tmpl w:val="47B4560A"/>
    <w:lvl w:ilvl="0" w:tplc="2C68F7D0">
      <w:start w:val="1"/>
      <w:numFmt w:val="decimal"/>
      <w:lvlText w:val="%1."/>
      <w:lvlJc w:val="left"/>
      <w:pPr>
        <w:ind w:left="7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F9852A6">
      <w:start w:val="1"/>
      <w:numFmt w:val="lowerLetter"/>
      <w:lvlText w:val="%2"/>
      <w:lvlJc w:val="left"/>
      <w:pPr>
        <w:ind w:left="14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306E7BE">
      <w:start w:val="1"/>
      <w:numFmt w:val="lowerRoman"/>
      <w:lvlText w:val="%3"/>
      <w:lvlJc w:val="left"/>
      <w:pPr>
        <w:ind w:left="21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DA410D4">
      <w:start w:val="1"/>
      <w:numFmt w:val="decimal"/>
      <w:lvlText w:val="%4"/>
      <w:lvlJc w:val="left"/>
      <w:pPr>
        <w:ind w:left="29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5FA52E8">
      <w:start w:val="1"/>
      <w:numFmt w:val="lowerLetter"/>
      <w:lvlText w:val="%5"/>
      <w:lvlJc w:val="left"/>
      <w:pPr>
        <w:ind w:left="36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B8AEAD4">
      <w:start w:val="1"/>
      <w:numFmt w:val="lowerRoman"/>
      <w:lvlText w:val="%6"/>
      <w:lvlJc w:val="left"/>
      <w:pPr>
        <w:ind w:left="43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610E172">
      <w:start w:val="1"/>
      <w:numFmt w:val="decimal"/>
      <w:lvlText w:val="%7"/>
      <w:lvlJc w:val="left"/>
      <w:pPr>
        <w:ind w:left="50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3F62B78">
      <w:start w:val="1"/>
      <w:numFmt w:val="lowerLetter"/>
      <w:lvlText w:val="%8"/>
      <w:lvlJc w:val="left"/>
      <w:pPr>
        <w:ind w:left="57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B0C814A">
      <w:start w:val="1"/>
      <w:numFmt w:val="lowerRoman"/>
      <w:lvlText w:val="%9"/>
      <w:lvlJc w:val="left"/>
      <w:pPr>
        <w:ind w:left="65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nsid w:val="103034BC"/>
    <w:multiLevelType w:val="hybridMultilevel"/>
    <w:tmpl w:val="AED6DDE4"/>
    <w:lvl w:ilvl="0" w:tplc="31F283BE">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2F28428">
      <w:start w:val="1"/>
      <w:numFmt w:val="lowerLetter"/>
      <w:lvlText w:val="%2"/>
      <w:lvlJc w:val="left"/>
      <w:pPr>
        <w:ind w:left="14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076D9E8">
      <w:start w:val="1"/>
      <w:numFmt w:val="lowerRoman"/>
      <w:lvlText w:val="%3"/>
      <w:lvlJc w:val="left"/>
      <w:pPr>
        <w:ind w:left="22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35C1876">
      <w:start w:val="1"/>
      <w:numFmt w:val="decimal"/>
      <w:lvlText w:val="%4"/>
      <w:lvlJc w:val="left"/>
      <w:pPr>
        <w:ind w:left="29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8140C24">
      <w:start w:val="1"/>
      <w:numFmt w:val="lowerLetter"/>
      <w:lvlText w:val="%5"/>
      <w:lvlJc w:val="left"/>
      <w:pPr>
        <w:ind w:left="36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5185550">
      <w:start w:val="1"/>
      <w:numFmt w:val="lowerRoman"/>
      <w:lvlText w:val="%6"/>
      <w:lvlJc w:val="left"/>
      <w:pPr>
        <w:ind w:left="4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6DEA876">
      <w:start w:val="1"/>
      <w:numFmt w:val="decimal"/>
      <w:lvlText w:val="%7"/>
      <w:lvlJc w:val="left"/>
      <w:pPr>
        <w:ind w:left="50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0F67B38">
      <w:start w:val="1"/>
      <w:numFmt w:val="lowerLetter"/>
      <w:lvlText w:val="%8"/>
      <w:lvlJc w:val="left"/>
      <w:pPr>
        <w:ind w:left="58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646C1D4">
      <w:start w:val="1"/>
      <w:numFmt w:val="lowerRoman"/>
      <w:lvlText w:val="%9"/>
      <w:lvlJc w:val="left"/>
      <w:pPr>
        <w:ind w:left="6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18483454"/>
    <w:multiLevelType w:val="hybridMultilevel"/>
    <w:tmpl w:val="96D6F79A"/>
    <w:lvl w:ilvl="0" w:tplc="8550E326">
      <w:start w:val="1"/>
      <w:numFmt w:val="decimal"/>
      <w:lvlText w:val="%1."/>
      <w:lvlJc w:val="left"/>
      <w:pPr>
        <w:ind w:left="7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884D41C">
      <w:start w:val="1"/>
      <w:numFmt w:val="lowerLetter"/>
      <w:lvlText w:val="%2"/>
      <w:lvlJc w:val="left"/>
      <w:pPr>
        <w:ind w:left="14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E6CB9BA">
      <w:start w:val="1"/>
      <w:numFmt w:val="lowerRoman"/>
      <w:lvlText w:val="%3"/>
      <w:lvlJc w:val="left"/>
      <w:pPr>
        <w:ind w:left="21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E52423E">
      <w:start w:val="1"/>
      <w:numFmt w:val="decimal"/>
      <w:lvlText w:val="%4"/>
      <w:lvlJc w:val="left"/>
      <w:pPr>
        <w:ind w:left="28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B701842">
      <w:start w:val="1"/>
      <w:numFmt w:val="lowerLetter"/>
      <w:lvlText w:val="%5"/>
      <w:lvlJc w:val="left"/>
      <w:pPr>
        <w:ind w:left="36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F64562E">
      <w:start w:val="1"/>
      <w:numFmt w:val="lowerRoman"/>
      <w:lvlText w:val="%6"/>
      <w:lvlJc w:val="left"/>
      <w:pPr>
        <w:ind w:left="43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E1CD28C">
      <w:start w:val="1"/>
      <w:numFmt w:val="decimal"/>
      <w:lvlText w:val="%7"/>
      <w:lvlJc w:val="left"/>
      <w:pPr>
        <w:ind w:left="50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9369360">
      <w:start w:val="1"/>
      <w:numFmt w:val="lowerLetter"/>
      <w:lvlText w:val="%8"/>
      <w:lvlJc w:val="left"/>
      <w:pPr>
        <w:ind w:left="57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6B6F0FA">
      <w:start w:val="1"/>
      <w:numFmt w:val="lowerRoman"/>
      <w:lvlText w:val="%9"/>
      <w:lvlJc w:val="left"/>
      <w:pPr>
        <w:ind w:left="64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nsid w:val="1B3C0D0B"/>
    <w:multiLevelType w:val="hybridMultilevel"/>
    <w:tmpl w:val="4734142C"/>
    <w:lvl w:ilvl="0" w:tplc="19D450C8">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436BC4A">
      <w:start w:val="1"/>
      <w:numFmt w:val="lowerLetter"/>
      <w:lvlText w:val="%2"/>
      <w:lvlJc w:val="left"/>
      <w:pPr>
        <w:ind w:left="1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6543FE0">
      <w:start w:val="1"/>
      <w:numFmt w:val="lowerRoman"/>
      <w:lvlText w:val="%3"/>
      <w:lvlJc w:val="left"/>
      <w:pPr>
        <w:ind w:left="2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2B4BD56">
      <w:start w:val="1"/>
      <w:numFmt w:val="decimal"/>
      <w:lvlText w:val="%4"/>
      <w:lvlJc w:val="left"/>
      <w:pPr>
        <w:ind w:left="29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48305C">
      <w:start w:val="1"/>
      <w:numFmt w:val="lowerLetter"/>
      <w:lvlText w:val="%5"/>
      <w:lvlJc w:val="left"/>
      <w:pPr>
        <w:ind w:left="3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E685300">
      <w:start w:val="1"/>
      <w:numFmt w:val="lowerRoman"/>
      <w:lvlText w:val="%6"/>
      <w:lvlJc w:val="left"/>
      <w:pPr>
        <w:ind w:left="4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9D0E394">
      <w:start w:val="1"/>
      <w:numFmt w:val="decimal"/>
      <w:lvlText w:val="%7"/>
      <w:lvlJc w:val="left"/>
      <w:pPr>
        <w:ind w:left="5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0E08482">
      <w:start w:val="1"/>
      <w:numFmt w:val="lowerLetter"/>
      <w:lvlText w:val="%8"/>
      <w:lvlJc w:val="left"/>
      <w:pPr>
        <w:ind w:left="5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096810E">
      <w:start w:val="1"/>
      <w:numFmt w:val="lowerRoman"/>
      <w:lvlText w:val="%9"/>
      <w:lvlJc w:val="left"/>
      <w:pPr>
        <w:ind w:left="6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nsid w:val="202F6ED7"/>
    <w:multiLevelType w:val="hybridMultilevel"/>
    <w:tmpl w:val="F8E4E2E0"/>
    <w:lvl w:ilvl="0" w:tplc="3A90339C">
      <w:start w:val="1"/>
      <w:numFmt w:val="decimal"/>
      <w:lvlText w:val="%1."/>
      <w:lvlJc w:val="left"/>
      <w:pPr>
        <w:ind w:left="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B23828">
      <w:start w:val="1"/>
      <w:numFmt w:val="lowerLetter"/>
      <w:lvlText w:val="%2"/>
      <w:lvlJc w:val="left"/>
      <w:pPr>
        <w:ind w:left="1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CDA5BDA">
      <w:start w:val="1"/>
      <w:numFmt w:val="lowerRoman"/>
      <w:lvlText w:val="%3"/>
      <w:lvlJc w:val="left"/>
      <w:pPr>
        <w:ind w:left="2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796D4DA">
      <w:start w:val="1"/>
      <w:numFmt w:val="decimal"/>
      <w:lvlText w:val="%4"/>
      <w:lvlJc w:val="left"/>
      <w:pPr>
        <w:ind w:left="30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6B2BD10">
      <w:start w:val="1"/>
      <w:numFmt w:val="lowerLetter"/>
      <w:lvlText w:val="%5"/>
      <w:lvlJc w:val="left"/>
      <w:pPr>
        <w:ind w:left="37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3D40ED0">
      <w:start w:val="1"/>
      <w:numFmt w:val="lowerRoman"/>
      <w:lvlText w:val="%6"/>
      <w:lvlJc w:val="left"/>
      <w:pPr>
        <w:ind w:left="44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73882CC">
      <w:start w:val="1"/>
      <w:numFmt w:val="decimal"/>
      <w:lvlText w:val="%7"/>
      <w:lvlJc w:val="left"/>
      <w:pPr>
        <w:ind w:left="5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666CE90">
      <w:start w:val="1"/>
      <w:numFmt w:val="lowerLetter"/>
      <w:lvlText w:val="%8"/>
      <w:lvlJc w:val="left"/>
      <w:pPr>
        <w:ind w:left="58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1D073BA">
      <w:start w:val="1"/>
      <w:numFmt w:val="lowerRoman"/>
      <w:lvlText w:val="%9"/>
      <w:lvlJc w:val="left"/>
      <w:pPr>
        <w:ind w:left="66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nsid w:val="3182186A"/>
    <w:multiLevelType w:val="hybridMultilevel"/>
    <w:tmpl w:val="86F6FCB2"/>
    <w:lvl w:ilvl="0" w:tplc="04FCA45A">
      <w:start w:val="1"/>
      <w:numFmt w:val="lowerLetter"/>
      <w:lvlText w:val="%1)"/>
      <w:lvlJc w:val="left"/>
      <w:pPr>
        <w:ind w:left="1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5A6A338">
      <w:start w:val="1"/>
      <w:numFmt w:val="lowerLetter"/>
      <w:lvlText w:val="%2"/>
      <w:lvlJc w:val="left"/>
      <w:pPr>
        <w:ind w:left="1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000CB8">
      <w:start w:val="1"/>
      <w:numFmt w:val="lowerRoman"/>
      <w:lvlText w:val="%3"/>
      <w:lvlJc w:val="left"/>
      <w:pPr>
        <w:ind w:left="2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B18536E">
      <w:start w:val="1"/>
      <w:numFmt w:val="decimal"/>
      <w:lvlText w:val="%4"/>
      <w:lvlJc w:val="left"/>
      <w:pPr>
        <w:ind w:left="2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965252">
      <w:start w:val="1"/>
      <w:numFmt w:val="lowerLetter"/>
      <w:lvlText w:val="%5"/>
      <w:lvlJc w:val="left"/>
      <w:pPr>
        <w:ind w:left="3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F3A2A94">
      <w:start w:val="1"/>
      <w:numFmt w:val="lowerRoman"/>
      <w:lvlText w:val="%6"/>
      <w:lvlJc w:val="left"/>
      <w:pPr>
        <w:ind w:left="4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060C808">
      <w:start w:val="1"/>
      <w:numFmt w:val="decimal"/>
      <w:lvlText w:val="%7"/>
      <w:lvlJc w:val="left"/>
      <w:pPr>
        <w:ind w:left="5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B0863C">
      <w:start w:val="1"/>
      <w:numFmt w:val="lowerLetter"/>
      <w:lvlText w:val="%8"/>
      <w:lvlJc w:val="left"/>
      <w:pPr>
        <w:ind w:left="5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1E2C480">
      <w:start w:val="1"/>
      <w:numFmt w:val="lowerRoman"/>
      <w:lvlText w:val="%9"/>
      <w:lvlJc w:val="left"/>
      <w:pPr>
        <w:ind w:left="6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nsid w:val="36727645"/>
    <w:multiLevelType w:val="hybridMultilevel"/>
    <w:tmpl w:val="E9421B5A"/>
    <w:lvl w:ilvl="0" w:tplc="C78A80D2">
      <w:start w:val="7"/>
      <w:numFmt w:val="lowerLetter"/>
      <w:lvlText w:val="%1)"/>
      <w:lvlJc w:val="left"/>
      <w:pPr>
        <w:ind w:left="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44396C">
      <w:start w:val="1"/>
      <w:numFmt w:val="lowerLetter"/>
      <w:lvlText w:val="%2"/>
      <w:lvlJc w:val="left"/>
      <w:pPr>
        <w:ind w:left="1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3268452">
      <w:start w:val="1"/>
      <w:numFmt w:val="lowerRoman"/>
      <w:lvlText w:val="%3"/>
      <w:lvlJc w:val="left"/>
      <w:pPr>
        <w:ind w:left="2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9CE6E7A">
      <w:start w:val="1"/>
      <w:numFmt w:val="decimal"/>
      <w:lvlText w:val="%4"/>
      <w:lvlJc w:val="left"/>
      <w:pPr>
        <w:ind w:left="3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63863CC">
      <w:start w:val="1"/>
      <w:numFmt w:val="lowerLetter"/>
      <w:lvlText w:val="%5"/>
      <w:lvlJc w:val="left"/>
      <w:pPr>
        <w:ind w:left="38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67CC2F8">
      <w:start w:val="1"/>
      <w:numFmt w:val="lowerRoman"/>
      <w:lvlText w:val="%6"/>
      <w:lvlJc w:val="left"/>
      <w:pPr>
        <w:ind w:left="4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912794E">
      <w:start w:val="1"/>
      <w:numFmt w:val="decimal"/>
      <w:lvlText w:val="%7"/>
      <w:lvlJc w:val="left"/>
      <w:pPr>
        <w:ind w:left="52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9FC52F0">
      <w:start w:val="1"/>
      <w:numFmt w:val="lowerLetter"/>
      <w:lvlText w:val="%8"/>
      <w:lvlJc w:val="left"/>
      <w:pPr>
        <w:ind w:left="60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E5A5D92">
      <w:start w:val="1"/>
      <w:numFmt w:val="lowerRoman"/>
      <w:lvlText w:val="%9"/>
      <w:lvlJc w:val="left"/>
      <w:pPr>
        <w:ind w:left="6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nsid w:val="46B55559"/>
    <w:multiLevelType w:val="hybridMultilevel"/>
    <w:tmpl w:val="112E8338"/>
    <w:lvl w:ilvl="0" w:tplc="75AEEF78">
      <w:start w:val="3"/>
      <w:numFmt w:val="decimal"/>
      <w:lvlText w:val="%1."/>
      <w:lvlJc w:val="left"/>
      <w:pPr>
        <w:ind w:left="6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90CE94C">
      <w:start w:val="1"/>
      <w:numFmt w:val="lowerLetter"/>
      <w:lvlText w:val="%2"/>
      <w:lvlJc w:val="left"/>
      <w:pPr>
        <w:ind w:left="1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93A8058">
      <w:start w:val="1"/>
      <w:numFmt w:val="lowerRoman"/>
      <w:lvlText w:val="%3"/>
      <w:lvlJc w:val="left"/>
      <w:pPr>
        <w:ind w:left="2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0463668">
      <w:start w:val="1"/>
      <w:numFmt w:val="decimal"/>
      <w:lvlText w:val="%4"/>
      <w:lvlJc w:val="left"/>
      <w:pPr>
        <w:ind w:left="2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7EAABA8">
      <w:start w:val="1"/>
      <w:numFmt w:val="lowerLetter"/>
      <w:lvlText w:val="%5"/>
      <w:lvlJc w:val="left"/>
      <w:pPr>
        <w:ind w:left="3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1D2E648">
      <w:start w:val="1"/>
      <w:numFmt w:val="lowerRoman"/>
      <w:lvlText w:val="%6"/>
      <w:lvlJc w:val="left"/>
      <w:pPr>
        <w:ind w:left="4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9A4FF6A">
      <w:start w:val="1"/>
      <w:numFmt w:val="decimal"/>
      <w:lvlText w:val="%7"/>
      <w:lvlJc w:val="left"/>
      <w:pPr>
        <w:ind w:left="4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CCA1204">
      <w:start w:val="1"/>
      <w:numFmt w:val="lowerLetter"/>
      <w:lvlText w:val="%8"/>
      <w:lvlJc w:val="left"/>
      <w:pPr>
        <w:ind w:left="5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B204546">
      <w:start w:val="1"/>
      <w:numFmt w:val="lowerRoman"/>
      <w:lvlText w:val="%9"/>
      <w:lvlJc w:val="left"/>
      <w:pPr>
        <w:ind w:left="6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nsid w:val="55335931"/>
    <w:multiLevelType w:val="hybridMultilevel"/>
    <w:tmpl w:val="0A84A9A4"/>
    <w:lvl w:ilvl="0" w:tplc="7B74913C">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E589426">
      <w:start w:val="1"/>
      <w:numFmt w:val="lowerLetter"/>
      <w:lvlText w:val="%2"/>
      <w:lvlJc w:val="left"/>
      <w:pPr>
        <w:ind w:left="1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1848D0">
      <w:start w:val="1"/>
      <w:numFmt w:val="lowerRoman"/>
      <w:lvlText w:val="%3"/>
      <w:lvlJc w:val="left"/>
      <w:pPr>
        <w:ind w:left="2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C2CC940">
      <w:start w:val="1"/>
      <w:numFmt w:val="decimal"/>
      <w:lvlText w:val="%4"/>
      <w:lvlJc w:val="left"/>
      <w:pPr>
        <w:ind w:left="2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701D02">
      <w:start w:val="1"/>
      <w:numFmt w:val="lowerLetter"/>
      <w:lvlText w:val="%5"/>
      <w:lvlJc w:val="left"/>
      <w:pPr>
        <w:ind w:left="3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7D446CA">
      <w:start w:val="1"/>
      <w:numFmt w:val="lowerRoman"/>
      <w:lvlText w:val="%6"/>
      <w:lvlJc w:val="left"/>
      <w:pPr>
        <w:ind w:left="4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FC27FA">
      <w:start w:val="1"/>
      <w:numFmt w:val="decimal"/>
      <w:lvlText w:val="%7"/>
      <w:lvlJc w:val="left"/>
      <w:pPr>
        <w:ind w:left="5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9D4F22C">
      <w:start w:val="1"/>
      <w:numFmt w:val="lowerLetter"/>
      <w:lvlText w:val="%8"/>
      <w:lvlJc w:val="left"/>
      <w:pPr>
        <w:ind w:left="58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7AC2626">
      <w:start w:val="1"/>
      <w:numFmt w:val="lowerRoman"/>
      <w:lvlText w:val="%9"/>
      <w:lvlJc w:val="left"/>
      <w:pPr>
        <w:ind w:left="65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4"/>
  </w:num>
  <w:num w:numId="3">
    <w:abstractNumId w:val="2"/>
  </w:num>
  <w:num w:numId="4">
    <w:abstractNumId w:val="5"/>
  </w:num>
  <w:num w:numId="5">
    <w:abstractNumId w:val="6"/>
  </w:num>
  <w:num w:numId="6">
    <w:abstractNumId w:val="7"/>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B0E"/>
    <w:rsid w:val="00560DB4"/>
    <w:rsid w:val="00A71B0E"/>
    <w:rsid w:val="00AE47BB"/>
    <w:rsid w:val="00B1539E"/>
    <w:rsid w:val="00F92E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191" w:line="260" w:lineRule="auto"/>
      <w:ind w:left="62" w:firstLine="4"/>
      <w:jc w:val="both"/>
    </w:pPr>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560DB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60DB4"/>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191" w:line="260" w:lineRule="auto"/>
      <w:ind w:left="62" w:firstLine="4"/>
      <w:jc w:val="both"/>
    </w:pPr>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560DB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60DB4"/>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1369</Words>
  <Characters>8079</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Krondak</dc:creator>
  <cp:lastModifiedBy>xxx@swe.cz</cp:lastModifiedBy>
  <cp:revision>2</cp:revision>
  <dcterms:created xsi:type="dcterms:W3CDTF">2023-12-20T09:31:00Z</dcterms:created>
  <dcterms:modified xsi:type="dcterms:W3CDTF">2023-12-20T09:31:00Z</dcterms:modified>
</cp:coreProperties>
</file>