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C13BC" w14:textId="77777777" w:rsidR="00C825B3" w:rsidRDefault="003A1951" w:rsidP="00905FD9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Dodatek č. </w:t>
      </w:r>
      <w:r w:rsidR="00413186"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504F0070" w14:textId="1162BD74" w:rsidR="00905FD9" w:rsidRPr="00512DFF" w:rsidRDefault="003A1951" w:rsidP="00905FD9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ke </w:t>
      </w:r>
      <w:r w:rsidR="00905FD9" w:rsidRPr="00512DFF">
        <w:rPr>
          <w:rFonts w:ascii="Tahoma" w:hAnsi="Tahoma" w:cs="Tahoma"/>
          <w:sz w:val="21"/>
          <w:szCs w:val="21"/>
        </w:rPr>
        <w:t>KUPNÍ SMLOUV</w:t>
      </w:r>
      <w:r>
        <w:rPr>
          <w:rFonts w:ascii="Tahoma" w:hAnsi="Tahoma" w:cs="Tahoma"/>
          <w:sz w:val="21"/>
          <w:szCs w:val="21"/>
        </w:rPr>
        <w:t>Ě</w:t>
      </w:r>
      <w:r w:rsidR="00905FD9" w:rsidRPr="00512DFF">
        <w:rPr>
          <w:rFonts w:ascii="Tahoma" w:hAnsi="Tahoma" w:cs="Tahoma"/>
          <w:sz w:val="21"/>
          <w:szCs w:val="21"/>
        </w:rPr>
        <w:t xml:space="preserve"> </w:t>
      </w:r>
      <w:r w:rsidR="00C825B3">
        <w:rPr>
          <w:rFonts w:ascii="Tahoma" w:hAnsi="Tahoma" w:cs="Tahoma"/>
          <w:sz w:val="21"/>
          <w:szCs w:val="21"/>
        </w:rPr>
        <w:t xml:space="preserve">ze dne </w:t>
      </w:r>
      <w:proofErr w:type="gramStart"/>
      <w:r w:rsidR="00C825B3">
        <w:rPr>
          <w:rFonts w:ascii="Tahoma" w:hAnsi="Tahoma" w:cs="Tahoma"/>
          <w:sz w:val="21"/>
          <w:szCs w:val="21"/>
        </w:rPr>
        <w:t>1.8.2023</w:t>
      </w:r>
      <w:proofErr w:type="gramEnd"/>
    </w:p>
    <w:p w14:paraId="3B095173" w14:textId="77777777" w:rsidR="00905FD9" w:rsidRPr="00512DFF" w:rsidRDefault="00905FD9" w:rsidP="00905FD9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14:paraId="6F867EF2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15C0F66A" w14:textId="77777777" w:rsidR="00905FD9" w:rsidRPr="00512DFF" w:rsidRDefault="00905FD9" w:rsidP="00905FD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Smluvní strany</w:t>
      </w:r>
    </w:p>
    <w:p w14:paraId="26B9F496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6E8DB2F" w14:textId="77777777" w:rsidR="00905FD9" w:rsidRPr="00855DD1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/>
          <w:sz w:val="22"/>
          <w:szCs w:val="22"/>
        </w:rPr>
      </w:pPr>
      <w:r w:rsidRPr="00855DD1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6E2D78DB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Se sídlem: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5B29FC8D" w14:textId="4010718A" w:rsidR="00905FD9" w:rsidRPr="008F3B53" w:rsidRDefault="00905FD9" w:rsidP="008F3B5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Zastoupena:</w:t>
      </w:r>
      <w:r w:rsidRPr="00855DD1">
        <w:rPr>
          <w:rFonts w:ascii="Tahoma" w:hAnsi="Tahoma" w:cs="Tahoma"/>
          <w:sz w:val="22"/>
          <w:szCs w:val="22"/>
        </w:rPr>
        <w:tab/>
        <w:t xml:space="preserve">Ing. Karlem </w:t>
      </w:r>
      <w:proofErr w:type="spellStart"/>
      <w:r w:rsidRPr="00855DD1">
        <w:rPr>
          <w:rFonts w:ascii="Tahoma" w:hAnsi="Tahoma" w:cs="Tahoma"/>
          <w:sz w:val="22"/>
          <w:szCs w:val="22"/>
        </w:rPr>
        <w:t>Siebertem</w:t>
      </w:r>
      <w:proofErr w:type="spellEnd"/>
      <w:r w:rsidRPr="00855DD1">
        <w:rPr>
          <w:rFonts w:ascii="Tahoma" w:hAnsi="Tahoma" w:cs="Tahoma"/>
          <w:sz w:val="22"/>
          <w:szCs w:val="22"/>
        </w:rPr>
        <w:t xml:space="preserve">, MBA, ředitelem </w:t>
      </w:r>
    </w:p>
    <w:p w14:paraId="74CA9D16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IČO: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14:paraId="1BF95C77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14:paraId="485D044B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Zapsaná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14:paraId="337A7A87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Bankovní spojení: </w:t>
      </w:r>
      <w:r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7CBB593E" w14:textId="18864CF0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Číslo účtu: </w:t>
      </w:r>
      <w:r w:rsidRPr="00855DD1">
        <w:rPr>
          <w:rFonts w:ascii="Tahoma" w:hAnsi="Tahoma" w:cs="Tahoma"/>
          <w:sz w:val="22"/>
          <w:szCs w:val="22"/>
        </w:rPr>
        <w:tab/>
      </w:r>
      <w:r w:rsidR="00142410">
        <w:rPr>
          <w:rFonts w:ascii="Tahoma" w:hAnsi="Tahoma" w:cs="Tahoma"/>
          <w:sz w:val="22"/>
          <w:szCs w:val="22"/>
        </w:rPr>
        <w:t>XXX</w:t>
      </w:r>
    </w:p>
    <w:p w14:paraId="3A5B9550" w14:textId="77777777" w:rsidR="00905FD9" w:rsidRPr="00855DD1" w:rsidRDefault="00905FD9" w:rsidP="00905FD9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67BE637" w14:textId="77777777" w:rsidR="00905FD9" w:rsidRPr="00855DD1" w:rsidRDefault="00905FD9" w:rsidP="00905FD9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14:paraId="3A3BC91D" w14:textId="77777777" w:rsidR="00905FD9" w:rsidRPr="00512DFF" w:rsidRDefault="00905FD9" w:rsidP="00905FD9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14:paraId="229F1E0D" w14:textId="77777777" w:rsidR="00905FD9" w:rsidRPr="0074132C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Cs/>
          <w:i/>
          <w:iCs/>
          <w:color w:val="FF0000"/>
          <w:sz w:val="22"/>
          <w:szCs w:val="22"/>
        </w:rPr>
      </w:pPr>
      <w:r w:rsidRPr="0074132C">
        <w:rPr>
          <w:rFonts w:ascii="Tahoma" w:hAnsi="Tahoma" w:cs="Tahoma"/>
          <w:b/>
          <w:sz w:val="22"/>
          <w:szCs w:val="22"/>
        </w:rPr>
        <w:t>KASCH – interiér, s.r.o</w:t>
      </w:r>
    </w:p>
    <w:p w14:paraId="4D509B42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se sídlem:</w:t>
      </w:r>
      <w:r w:rsidRPr="0074132C">
        <w:rPr>
          <w:rFonts w:ascii="Tahoma" w:hAnsi="Tahoma" w:cs="Tahoma"/>
          <w:sz w:val="22"/>
          <w:szCs w:val="22"/>
        </w:rPr>
        <w:tab/>
        <w:t>Jaromíra Šamala 318/10, 725 25 Ostrava – Polanka nad Odrou</w:t>
      </w:r>
    </w:p>
    <w:p w14:paraId="28611835" w14:textId="1FDD18D4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zastoupen: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  <w:t xml:space="preserve">Zbyňkem </w:t>
      </w:r>
      <w:proofErr w:type="spellStart"/>
      <w:r w:rsidRPr="0074132C">
        <w:rPr>
          <w:rFonts w:ascii="Tahoma" w:hAnsi="Tahoma" w:cs="Tahoma"/>
          <w:sz w:val="22"/>
          <w:szCs w:val="22"/>
        </w:rPr>
        <w:t>Klapuchem</w:t>
      </w:r>
      <w:proofErr w:type="spellEnd"/>
      <w:r w:rsidR="008F3B53">
        <w:rPr>
          <w:rFonts w:ascii="Tahoma" w:hAnsi="Tahoma" w:cs="Tahoma"/>
          <w:sz w:val="22"/>
          <w:szCs w:val="22"/>
        </w:rPr>
        <w:t>, jednatelem</w:t>
      </w:r>
    </w:p>
    <w:p w14:paraId="2FEA6BF1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IČO: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  <w:t>26831724</w:t>
      </w:r>
    </w:p>
    <w:p w14:paraId="4F3BC95A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DIČ:                    CZ26831724</w:t>
      </w:r>
    </w:p>
    <w:p w14:paraId="43A86281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bankovní spojení:</w:t>
      </w:r>
      <w:r w:rsidRPr="0074132C">
        <w:rPr>
          <w:rFonts w:ascii="Tahoma" w:hAnsi="Tahoma" w:cs="Tahoma"/>
          <w:sz w:val="22"/>
          <w:szCs w:val="22"/>
        </w:rPr>
        <w:tab/>
        <w:t>MONETA Money Bank</w:t>
      </w:r>
    </w:p>
    <w:p w14:paraId="2DD7BC6A" w14:textId="590A857D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číslo účtu: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</w:r>
      <w:r w:rsidR="00142410">
        <w:rPr>
          <w:rFonts w:ascii="Tahoma" w:hAnsi="Tahoma" w:cs="Tahoma"/>
          <w:sz w:val="22"/>
          <w:szCs w:val="22"/>
        </w:rPr>
        <w:t>XXX</w:t>
      </w:r>
    </w:p>
    <w:p w14:paraId="48640846" w14:textId="77777777" w:rsidR="00905FD9" w:rsidRPr="00855DD1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zapsaná v obchodním rejstříku vedeném Krajským soudem v Ostravě oddíl C, vložka 27896</w:t>
      </w:r>
    </w:p>
    <w:p w14:paraId="409E3022" w14:textId="77777777" w:rsidR="00905FD9" w:rsidRPr="00855DD1" w:rsidRDefault="00905FD9" w:rsidP="00905FD9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FA965DE" w14:textId="77777777" w:rsidR="00905FD9" w:rsidRPr="00855DD1" w:rsidRDefault="00905FD9" w:rsidP="00905FD9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551859C" w14:textId="3C97A11B" w:rsidR="00413186" w:rsidRPr="00684E60" w:rsidRDefault="00A938A2" w:rsidP="0041318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7EE38D3E" w:rsidR="00A53E19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>Smluvní strany mezi sebou</w:t>
      </w:r>
      <w:r w:rsidR="00905FD9">
        <w:rPr>
          <w:rFonts w:ascii="Tahoma" w:hAnsi="Tahoma" w:cs="Tahoma"/>
          <w:sz w:val="22"/>
          <w:szCs w:val="22"/>
        </w:rPr>
        <w:t xml:space="preserve"> uzavřely</w:t>
      </w:r>
      <w:r w:rsidRPr="00AD096E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C825B3">
        <w:rPr>
          <w:rFonts w:ascii="Tahoma" w:hAnsi="Tahoma" w:cs="Tahoma"/>
          <w:sz w:val="22"/>
          <w:szCs w:val="22"/>
        </w:rPr>
        <w:t>1.8.2023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905FD9">
        <w:rPr>
          <w:rFonts w:ascii="Tahoma" w:hAnsi="Tahoma" w:cs="Tahoma"/>
          <w:sz w:val="22"/>
          <w:szCs w:val="22"/>
        </w:rPr>
        <w:t>Kupní smlouv</w:t>
      </w:r>
      <w:r w:rsidR="008F3B53">
        <w:rPr>
          <w:rFonts w:ascii="Tahoma" w:hAnsi="Tahoma" w:cs="Tahoma"/>
          <w:sz w:val="22"/>
          <w:szCs w:val="22"/>
        </w:rPr>
        <w:t>u</w:t>
      </w:r>
      <w:r w:rsidR="00905FD9">
        <w:rPr>
          <w:rFonts w:ascii="Tahoma" w:hAnsi="Tahoma" w:cs="Tahoma"/>
          <w:sz w:val="22"/>
          <w:szCs w:val="22"/>
        </w:rPr>
        <w:t>, na základě které se prodávající zavázal dodat kupujícímu nábytek</w:t>
      </w:r>
      <w:r w:rsidR="000B1BC3">
        <w:rPr>
          <w:rFonts w:ascii="Tahoma" w:hAnsi="Tahoma" w:cs="Tahoma"/>
          <w:sz w:val="22"/>
          <w:szCs w:val="22"/>
        </w:rPr>
        <w:t xml:space="preserve"> tvořící vybavení interiéru – pavilonu V/D SN v Opavě,</w:t>
      </w:r>
      <w:r w:rsidR="000663AB">
        <w:rPr>
          <w:rFonts w:ascii="Tahoma" w:hAnsi="Tahoma" w:cs="Tahoma"/>
          <w:sz w:val="22"/>
          <w:szCs w:val="22"/>
        </w:rPr>
        <w:t xml:space="preserve"> blíže specifikovaný v příloze č. 1</w:t>
      </w:r>
      <w:r w:rsidR="000B1BC3">
        <w:rPr>
          <w:rFonts w:ascii="Tahoma" w:hAnsi="Tahoma" w:cs="Tahoma"/>
          <w:sz w:val="22"/>
          <w:szCs w:val="22"/>
        </w:rPr>
        <w:t xml:space="preserve"> této smlouvy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>dále jen „</w:t>
      </w:r>
      <w:r w:rsidR="008F3B53">
        <w:rPr>
          <w:rFonts w:ascii="Tahoma" w:hAnsi="Tahoma" w:cs="Tahoma"/>
          <w:sz w:val="22"/>
          <w:szCs w:val="22"/>
        </w:rPr>
        <w:t>kupní smlouva</w:t>
      </w:r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8F3B53">
        <w:rPr>
          <w:rFonts w:ascii="Tahoma" w:hAnsi="Tahoma" w:cs="Tahoma"/>
          <w:sz w:val="22"/>
          <w:szCs w:val="22"/>
        </w:rPr>
        <w:t>.</w:t>
      </w:r>
      <w:r w:rsidR="00413186">
        <w:rPr>
          <w:rFonts w:ascii="Tahoma" w:hAnsi="Tahoma" w:cs="Tahoma"/>
          <w:sz w:val="22"/>
          <w:szCs w:val="22"/>
        </w:rPr>
        <w:t xml:space="preserve"> Dne 29. 9. 2023 spolu smluvní strany uzavřeli dodatek č. 1 ke kupní smlouvě (dále jen jako „dodatek č. 1“)</w:t>
      </w:r>
    </w:p>
    <w:p w14:paraId="1317EFAC" w14:textId="6068FA9F" w:rsidR="00413186" w:rsidRDefault="00413186" w:rsidP="00413186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35669C85" w14:textId="62086039" w:rsidR="00413186" w:rsidRDefault="00413186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smlouva, ve znění dodatku č. 1, je platná a účinná a nebyla k dnešnímu dni ukončena.</w:t>
      </w:r>
    </w:p>
    <w:p w14:paraId="225DB469" w14:textId="1A1A5128" w:rsidR="005A2C32" w:rsidRPr="005A2C32" w:rsidRDefault="005A2C32" w:rsidP="005A2C32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</w:p>
    <w:p w14:paraId="5B94A502" w14:textId="771147A8" w:rsidR="00EB085B" w:rsidRDefault="00A938A2" w:rsidP="00EB085B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EB085B">
        <w:rPr>
          <w:rFonts w:ascii="Tahoma" w:hAnsi="Tahoma" w:cs="Tahoma"/>
          <w:sz w:val="22"/>
          <w:szCs w:val="22"/>
        </w:rPr>
        <w:t xml:space="preserve">Smluvní strany </w:t>
      </w:r>
      <w:r w:rsidR="005A2C32">
        <w:rPr>
          <w:rFonts w:ascii="Tahoma" w:hAnsi="Tahoma" w:cs="Tahoma"/>
          <w:sz w:val="22"/>
          <w:szCs w:val="22"/>
        </w:rPr>
        <w:t>se, na základě vzájemného konsenzu a s ohledem na skutečnost, že</w:t>
      </w:r>
      <w:r w:rsidR="00413186">
        <w:rPr>
          <w:rFonts w:ascii="Tahoma" w:hAnsi="Tahoma" w:cs="Tahoma"/>
          <w:sz w:val="22"/>
          <w:szCs w:val="22"/>
        </w:rPr>
        <w:t xml:space="preserve"> kupující nebude potřebovat některé z položek vybavení interiéru</w:t>
      </w:r>
      <w:r w:rsidR="004D160D">
        <w:rPr>
          <w:rFonts w:ascii="Tahoma" w:hAnsi="Tahoma" w:cs="Tahoma"/>
          <w:sz w:val="22"/>
          <w:szCs w:val="22"/>
        </w:rPr>
        <w:t>,</w:t>
      </w:r>
      <w:r w:rsidR="005A2C32">
        <w:rPr>
          <w:rFonts w:ascii="Tahoma" w:hAnsi="Tahoma" w:cs="Tahoma"/>
          <w:sz w:val="22"/>
          <w:szCs w:val="22"/>
        </w:rPr>
        <w:t xml:space="preserve"> dohodly na změně </w:t>
      </w:r>
      <w:r w:rsidR="00413186">
        <w:rPr>
          <w:rFonts w:ascii="Tahoma" w:hAnsi="Tahoma" w:cs="Tahoma"/>
          <w:sz w:val="22"/>
          <w:szCs w:val="22"/>
        </w:rPr>
        <w:t>předmětu kupní smlouvy a kupní ceny</w:t>
      </w:r>
      <w:r w:rsidR="004D160D">
        <w:rPr>
          <w:rFonts w:ascii="Tahoma" w:hAnsi="Tahoma" w:cs="Tahoma"/>
          <w:sz w:val="22"/>
          <w:szCs w:val="22"/>
        </w:rPr>
        <w:t>.</w:t>
      </w:r>
    </w:p>
    <w:p w14:paraId="692129DC" w14:textId="77777777" w:rsidR="00EB085B" w:rsidRPr="00EB085B" w:rsidRDefault="00EB085B" w:rsidP="00EB085B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7B86A19C" w14:textId="2A8A9094" w:rsidR="00413186" w:rsidRDefault="00413186" w:rsidP="004D16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Řádky č. 37, 38 a 39 tabulky uvedené v Příloze č. 1 kupní smlouvy se zrušují</w:t>
      </w:r>
    </w:p>
    <w:p w14:paraId="4BF19344" w14:textId="77777777" w:rsidR="00413186" w:rsidRDefault="00413186" w:rsidP="00413186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1B653F3B" w14:textId="064C465E" w:rsidR="00EB085B" w:rsidRDefault="00413186" w:rsidP="004D16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Tabulka uvedená v č</w:t>
      </w:r>
      <w:r w:rsidR="004D160D">
        <w:rPr>
          <w:rFonts w:ascii="Tahoma" w:hAnsi="Tahoma" w:cs="Tahoma"/>
          <w:sz w:val="22"/>
          <w:szCs w:val="22"/>
        </w:rPr>
        <w:t xml:space="preserve">l. V odst. 1 kupní smlouvy se zcela ruší a nově </w:t>
      </w:r>
      <w:r>
        <w:rPr>
          <w:rFonts w:ascii="Tahoma" w:hAnsi="Tahoma" w:cs="Tahoma"/>
          <w:sz w:val="22"/>
          <w:szCs w:val="22"/>
        </w:rPr>
        <w:t>vypadá takto</w:t>
      </w:r>
      <w:r w:rsidR="004D160D">
        <w:rPr>
          <w:rFonts w:ascii="Tahoma" w:hAnsi="Tahoma" w:cs="Tahoma"/>
          <w:sz w:val="22"/>
          <w:szCs w:val="22"/>
        </w:rPr>
        <w:t>:</w:t>
      </w:r>
    </w:p>
    <w:p w14:paraId="7A3234CB" w14:textId="77777777" w:rsidR="004D160D" w:rsidRDefault="004D160D" w:rsidP="004D160D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485E783E" w14:textId="77777777" w:rsidR="00413186" w:rsidRDefault="004D160D" w:rsidP="004D160D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4329"/>
        <w:gridCol w:w="4367"/>
      </w:tblGrid>
      <w:tr w:rsidR="00413186" w14:paraId="0D25E2F3" w14:textId="77777777" w:rsidTr="00413186">
        <w:tc>
          <w:tcPr>
            <w:tcW w:w="4505" w:type="dxa"/>
          </w:tcPr>
          <w:p w14:paraId="7982A57A" w14:textId="4A5546F7" w:rsidR="00413186" w:rsidRPr="00413186" w:rsidRDefault="00413186" w:rsidP="004D160D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both"/>
              <w:textAlignment w:val="auto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  <w:r w:rsidRPr="00413186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  <w:t>Cena v Kč bez DPH</w:t>
            </w:r>
          </w:p>
        </w:tc>
        <w:tc>
          <w:tcPr>
            <w:tcW w:w="4505" w:type="dxa"/>
          </w:tcPr>
          <w:p w14:paraId="241322AC" w14:textId="68E3B7AC" w:rsidR="00413186" w:rsidRPr="009173AA" w:rsidRDefault="009173AA" w:rsidP="009173AA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right"/>
              <w:textAlignment w:val="auto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 </w:t>
            </w: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1</w:t>
            </w: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8</w:t>
            </w: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76,00</w:t>
            </w:r>
          </w:p>
        </w:tc>
      </w:tr>
      <w:tr w:rsidR="00413186" w14:paraId="74E337F5" w14:textId="77777777" w:rsidTr="00413186">
        <w:tc>
          <w:tcPr>
            <w:tcW w:w="4505" w:type="dxa"/>
          </w:tcPr>
          <w:p w14:paraId="01803C2E" w14:textId="33830F79" w:rsidR="00413186" w:rsidRPr="00413186" w:rsidRDefault="00413186" w:rsidP="004D160D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both"/>
              <w:textAlignment w:val="auto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  <w:r w:rsidRPr="00413186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  <w:t>DPH (v Kč)</w:t>
            </w:r>
          </w:p>
        </w:tc>
        <w:tc>
          <w:tcPr>
            <w:tcW w:w="4505" w:type="dxa"/>
          </w:tcPr>
          <w:p w14:paraId="2F915128" w14:textId="66016736" w:rsidR="00413186" w:rsidRPr="009173AA" w:rsidRDefault="009173AA" w:rsidP="009173AA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right"/>
              <w:textAlignment w:val="auto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527</w:t>
            </w: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</w:t>
            </w: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283,96</w:t>
            </w:r>
          </w:p>
        </w:tc>
      </w:tr>
      <w:tr w:rsidR="00413186" w14:paraId="1EFD8830" w14:textId="77777777" w:rsidTr="00413186">
        <w:tc>
          <w:tcPr>
            <w:tcW w:w="4505" w:type="dxa"/>
          </w:tcPr>
          <w:p w14:paraId="4BE6A1D6" w14:textId="5DA40895" w:rsidR="00413186" w:rsidRPr="00413186" w:rsidRDefault="00413186" w:rsidP="004D160D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both"/>
              <w:textAlignment w:val="auto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  <w:r w:rsidRPr="00413186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  <w:t>DPH (v %)</w:t>
            </w:r>
          </w:p>
        </w:tc>
        <w:tc>
          <w:tcPr>
            <w:tcW w:w="4505" w:type="dxa"/>
          </w:tcPr>
          <w:p w14:paraId="69DB594B" w14:textId="5A10E4A6" w:rsidR="00413186" w:rsidRPr="009173AA" w:rsidRDefault="009173AA" w:rsidP="009173AA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right"/>
              <w:textAlignment w:val="auto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21</w:t>
            </w:r>
          </w:p>
        </w:tc>
      </w:tr>
      <w:tr w:rsidR="00413186" w14:paraId="607D0411" w14:textId="77777777" w:rsidTr="00413186">
        <w:tc>
          <w:tcPr>
            <w:tcW w:w="4505" w:type="dxa"/>
          </w:tcPr>
          <w:p w14:paraId="7F5E492A" w14:textId="4286307E" w:rsidR="00413186" w:rsidRPr="00413186" w:rsidRDefault="00413186" w:rsidP="004D160D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both"/>
              <w:textAlignment w:val="auto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  <w:r w:rsidRPr="00413186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  <w:t>Cena v Kč včetně DPH</w:t>
            </w:r>
          </w:p>
        </w:tc>
        <w:tc>
          <w:tcPr>
            <w:tcW w:w="4505" w:type="dxa"/>
          </w:tcPr>
          <w:p w14:paraId="5F29C525" w14:textId="14481785" w:rsidR="00413186" w:rsidRPr="009173AA" w:rsidRDefault="009173AA" w:rsidP="009173AA">
            <w:pPr>
              <w:widowControl w:val="0"/>
              <w:tabs>
                <w:tab w:val="left" w:pos="1620"/>
              </w:tabs>
              <w:overflowPunct/>
              <w:autoSpaceDE/>
              <w:autoSpaceDN/>
              <w:adjustRightInd/>
              <w:ind w:right="284"/>
              <w:jc w:val="right"/>
              <w:textAlignment w:val="auto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9173AA">
              <w:rPr>
                <w:rFonts w:ascii="Tahoma" w:hAnsi="Tahoma" w:cs="Tahoma"/>
                <w:b/>
                <w:iCs/>
                <w:sz w:val="22"/>
                <w:szCs w:val="22"/>
              </w:rPr>
              <w:t>3 038 159,96</w:t>
            </w:r>
          </w:p>
        </w:tc>
      </w:tr>
    </w:tbl>
    <w:p w14:paraId="3267F2BC" w14:textId="2D80FC5E" w:rsidR="00EB085B" w:rsidRPr="004D160D" w:rsidRDefault="004D160D" w:rsidP="004D160D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“</w:t>
      </w:r>
    </w:p>
    <w:p w14:paraId="4B9C4B76" w14:textId="4E7C8125" w:rsidR="00EB085B" w:rsidRDefault="00EB085B" w:rsidP="00EB085B">
      <w:pPr>
        <w:widowControl w:val="0"/>
        <w:tabs>
          <w:tab w:val="left" w:pos="10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1246B839" w14:textId="77777777" w:rsidR="00C769DE" w:rsidRDefault="00C769DE" w:rsidP="00EB085B">
      <w:pPr>
        <w:rPr>
          <w:rFonts w:ascii="Tahoma" w:hAnsi="Tahoma" w:cs="Tahoma"/>
          <w:b/>
          <w:sz w:val="22"/>
          <w:szCs w:val="22"/>
        </w:rPr>
      </w:pPr>
    </w:p>
    <w:p w14:paraId="29EDF172" w14:textId="0A950753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5A19E244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Ostatní ustanovení </w:t>
      </w:r>
      <w:r w:rsidR="00C769DE">
        <w:rPr>
          <w:rFonts w:ascii="Tahoma" w:hAnsi="Tahoma" w:cs="Tahoma"/>
          <w:sz w:val="22"/>
          <w:szCs w:val="22"/>
        </w:rPr>
        <w:t>kupní smlouvy</w:t>
      </w:r>
      <w:r w:rsidR="00685581">
        <w:rPr>
          <w:rFonts w:ascii="Tahoma" w:hAnsi="Tahoma" w:cs="Tahoma"/>
          <w:sz w:val="22"/>
          <w:szCs w:val="22"/>
        </w:rPr>
        <w:t xml:space="preserve">,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C769DE">
        <w:rPr>
          <w:rFonts w:ascii="Tahoma" w:hAnsi="Tahoma" w:cs="Tahoma"/>
          <w:sz w:val="22"/>
          <w:szCs w:val="22"/>
        </w:rPr>
        <w:t>1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13764E87" w14:textId="77777777" w:rsidR="00C825B3" w:rsidRDefault="00C825B3" w:rsidP="00365423">
      <w:pPr>
        <w:jc w:val="both"/>
        <w:rPr>
          <w:rFonts w:ascii="Tahoma" w:hAnsi="Tahoma" w:cs="Tahoma"/>
          <w:sz w:val="22"/>
          <w:szCs w:val="22"/>
        </w:rPr>
      </w:pPr>
    </w:p>
    <w:p w14:paraId="3CAF511B" w14:textId="77777777" w:rsidR="00C825B3" w:rsidRDefault="00C825B3" w:rsidP="00365423">
      <w:pPr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EB085B" w:rsidRPr="00855DD1" w14:paraId="6C495DAB" w14:textId="77777777" w:rsidTr="00FC31B6">
        <w:trPr>
          <w:trHeight w:val="1792"/>
        </w:trPr>
        <w:tc>
          <w:tcPr>
            <w:tcW w:w="3614" w:type="dxa"/>
          </w:tcPr>
          <w:p w14:paraId="1F0138E3" w14:textId="73548716" w:rsidR="00EB085B" w:rsidRPr="00855DD1" w:rsidRDefault="00C825B3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142410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Opavě</w:t>
            </w:r>
            <w:r w:rsidR="00142410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gramStart"/>
            <w:r w:rsidR="00142410">
              <w:rPr>
                <w:rFonts w:ascii="Tahoma" w:hAnsi="Tahoma" w:cs="Tahoma"/>
                <w:sz w:val="22"/>
                <w:szCs w:val="22"/>
              </w:rPr>
              <w:t>20.12.2023</w:t>
            </w:r>
            <w:proofErr w:type="gramEnd"/>
          </w:p>
        </w:tc>
        <w:tc>
          <w:tcPr>
            <w:tcW w:w="1289" w:type="dxa"/>
          </w:tcPr>
          <w:p w14:paraId="0CF01916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14:paraId="71FF1271" w14:textId="0CCF5BB2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Ostravě</w:t>
            </w:r>
            <w:r w:rsidR="00142410">
              <w:rPr>
                <w:rFonts w:ascii="Tahoma" w:hAnsi="Tahoma" w:cs="Tahoma"/>
                <w:sz w:val="22"/>
                <w:szCs w:val="22"/>
              </w:rPr>
              <w:t xml:space="preserve">   19.12.2023</w:t>
            </w:r>
            <w:bookmarkStart w:id="0" w:name="_GoBack"/>
            <w:bookmarkEnd w:id="0"/>
          </w:p>
          <w:p w14:paraId="617374C1" w14:textId="77777777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B08B7B5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87C86BA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85B" w:rsidRPr="00855DD1" w14:paraId="4806DD6B" w14:textId="77777777" w:rsidTr="00FC31B6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14:paraId="559B49A1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41647D87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</w:p>
        </w:tc>
        <w:tc>
          <w:tcPr>
            <w:tcW w:w="1289" w:type="dxa"/>
            <w:vAlign w:val="center"/>
          </w:tcPr>
          <w:p w14:paraId="47308E4B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2CCF9C74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33B1D360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Klapuch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jednatel</w:t>
            </w:r>
          </w:p>
        </w:tc>
      </w:tr>
    </w:tbl>
    <w:p w14:paraId="291CABD5" w14:textId="3CDA034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E8C7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9053C5" w16cex:dateUtc="2023-12-14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8C719" w16cid:durableId="669053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CB400" w14:textId="77777777" w:rsidR="00123E48" w:rsidRDefault="00123E48">
      <w:r>
        <w:separator/>
      </w:r>
    </w:p>
  </w:endnote>
  <w:endnote w:type="continuationSeparator" w:id="0">
    <w:p w14:paraId="76DCAC3D" w14:textId="77777777" w:rsidR="00123E48" w:rsidRDefault="001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13BA" w14:textId="31F7CE7B" w:rsidR="00833BAC" w:rsidRPr="00C825B3" w:rsidRDefault="00C825B3" w:rsidP="00C825B3">
    <w:pPr>
      <w:pStyle w:val="Zpat"/>
      <w:jc w:val="right"/>
      <w:rPr>
        <w:rFonts w:ascii="Tahoma" w:hAnsi="Tahoma" w:cs="Tahoma"/>
      </w:rPr>
    </w:pPr>
    <w:r w:rsidRPr="00C825B3">
      <w:rPr>
        <w:rFonts w:ascii="Tahoma" w:hAnsi="Tahoma" w:cs="Tahoma"/>
      </w:rPr>
      <w:t xml:space="preserve">    OPA/Hal/2023/19/nábytek-pavilon V/D</w:t>
    </w: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1FD29" w14:textId="77777777" w:rsidR="00123E48" w:rsidRDefault="00123E48">
      <w:r>
        <w:separator/>
      </w:r>
    </w:p>
  </w:footnote>
  <w:footnote w:type="continuationSeparator" w:id="0">
    <w:p w14:paraId="14465AE4" w14:textId="77777777" w:rsidR="00123E48" w:rsidRDefault="0012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B63A8704"/>
    <w:lvl w:ilvl="0" w:tplc="2A5C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D7A71"/>
    <w:multiLevelType w:val="hybridMultilevel"/>
    <w:tmpl w:val="682498C2"/>
    <w:lvl w:ilvl="0" w:tplc="4878A6B8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62C2D"/>
    <w:rsid w:val="000663AB"/>
    <w:rsid w:val="000707D2"/>
    <w:rsid w:val="0009153B"/>
    <w:rsid w:val="000B1BC3"/>
    <w:rsid w:val="000B218D"/>
    <w:rsid w:val="000D1876"/>
    <w:rsid w:val="000D5690"/>
    <w:rsid w:val="00111137"/>
    <w:rsid w:val="00123E48"/>
    <w:rsid w:val="00142410"/>
    <w:rsid w:val="00150746"/>
    <w:rsid w:val="001658C5"/>
    <w:rsid w:val="00167E22"/>
    <w:rsid w:val="001904E5"/>
    <w:rsid w:val="00197CE6"/>
    <w:rsid w:val="001A19DE"/>
    <w:rsid w:val="001A5CFA"/>
    <w:rsid w:val="00251AB4"/>
    <w:rsid w:val="00260273"/>
    <w:rsid w:val="0027744D"/>
    <w:rsid w:val="00277CE1"/>
    <w:rsid w:val="002834EB"/>
    <w:rsid w:val="0029671C"/>
    <w:rsid w:val="002C1F4E"/>
    <w:rsid w:val="002F3470"/>
    <w:rsid w:val="002F4325"/>
    <w:rsid w:val="00314306"/>
    <w:rsid w:val="00314D58"/>
    <w:rsid w:val="00332B5C"/>
    <w:rsid w:val="003372C7"/>
    <w:rsid w:val="0035281B"/>
    <w:rsid w:val="00365423"/>
    <w:rsid w:val="003A09D4"/>
    <w:rsid w:val="003A0C5C"/>
    <w:rsid w:val="003A1951"/>
    <w:rsid w:val="003A4047"/>
    <w:rsid w:val="003A6EA5"/>
    <w:rsid w:val="003B1BCD"/>
    <w:rsid w:val="003D536D"/>
    <w:rsid w:val="003F7E4E"/>
    <w:rsid w:val="00413186"/>
    <w:rsid w:val="004342C5"/>
    <w:rsid w:val="00434D0D"/>
    <w:rsid w:val="004B12E9"/>
    <w:rsid w:val="004B44BC"/>
    <w:rsid w:val="004B5927"/>
    <w:rsid w:val="004C1A53"/>
    <w:rsid w:val="004D160D"/>
    <w:rsid w:val="00533943"/>
    <w:rsid w:val="005372B6"/>
    <w:rsid w:val="00541C93"/>
    <w:rsid w:val="0056024E"/>
    <w:rsid w:val="005818BF"/>
    <w:rsid w:val="00583BA6"/>
    <w:rsid w:val="005A2C32"/>
    <w:rsid w:val="005C3EE6"/>
    <w:rsid w:val="005D301D"/>
    <w:rsid w:val="005D365D"/>
    <w:rsid w:val="005E78AD"/>
    <w:rsid w:val="006373F3"/>
    <w:rsid w:val="006420E1"/>
    <w:rsid w:val="00685581"/>
    <w:rsid w:val="006C326E"/>
    <w:rsid w:val="006C37C3"/>
    <w:rsid w:val="006C5621"/>
    <w:rsid w:val="006D0E9F"/>
    <w:rsid w:val="00704DE9"/>
    <w:rsid w:val="00750CFA"/>
    <w:rsid w:val="0077472A"/>
    <w:rsid w:val="007B4CDC"/>
    <w:rsid w:val="007F7539"/>
    <w:rsid w:val="00813FCF"/>
    <w:rsid w:val="00833BAC"/>
    <w:rsid w:val="008764D9"/>
    <w:rsid w:val="00891893"/>
    <w:rsid w:val="008A4930"/>
    <w:rsid w:val="008B3307"/>
    <w:rsid w:val="008C30B3"/>
    <w:rsid w:val="008F3B53"/>
    <w:rsid w:val="00905FD9"/>
    <w:rsid w:val="00914741"/>
    <w:rsid w:val="009173AA"/>
    <w:rsid w:val="00953295"/>
    <w:rsid w:val="00960986"/>
    <w:rsid w:val="0097680D"/>
    <w:rsid w:val="009B6B35"/>
    <w:rsid w:val="00A103B6"/>
    <w:rsid w:val="00A11DFB"/>
    <w:rsid w:val="00A27439"/>
    <w:rsid w:val="00A4556E"/>
    <w:rsid w:val="00A53E19"/>
    <w:rsid w:val="00A6680C"/>
    <w:rsid w:val="00A938A2"/>
    <w:rsid w:val="00AA4894"/>
    <w:rsid w:val="00AC5D2A"/>
    <w:rsid w:val="00AD096E"/>
    <w:rsid w:val="00AD0EDE"/>
    <w:rsid w:val="00AD1DB3"/>
    <w:rsid w:val="00AF3F13"/>
    <w:rsid w:val="00B218F8"/>
    <w:rsid w:val="00B22A9F"/>
    <w:rsid w:val="00B31474"/>
    <w:rsid w:val="00B5217F"/>
    <w:rsid w:val="00B5761C"/>
    <w:rsid w:val="00BA023E"/>
    <w:rsid w:val="00BB3A08"/>
    <w:rsid w:val="00C1506D"/>
    <w:rsid w:val="00C62EE1"/>
    <w:rsid w:val="00C70F6E"/>
    <w:rsid w:val="00C73EA0"/>
    <w:rsid w:val="00C769DE"/>
    <w:rsid w:val="00C825B3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318E9"/>
    <w:rsid w:val="00D50515"/>
    <w:rsid w:val="00D60230"/>
    <w:rsid w:val="00D77C2A"/>
    <w:rsid w:val="00D910BF"/>
    <w:rsid w:val="00DA2129"/>
    <w:rsid w:val="00DF63CD"/>
    <w:rsid w:val="00E1274E"/>
    <w:rsid w:val="00E14363"/>
    <w:rsid w:val="00E30676"/>
    <w:rsid w:val="00E604EC"/>
    <w:rsid w:val="00E722A4"/>
    <w:rsid w:val="00E75A64"/>
    <w:rsid w:val="00E928A4"/>
    <w:rsid w:val="00EB085B"/>
    <w:rsid w:val="00EF1D54"/>
    <w:rsid w:val="00EF3FFF"/>
    <w:rsid w:val="00F025C6"/>
    <w:rsid w:val="00F10B3C"/>
    <w:rsid w:val="00F7000B"/>
    <w:rsid w:val="00F95297"/>
    <w:rsid w:val="00FA0ECB"/>
    <w:rsid w:val="00FB11D8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ED51-D5AF-44F5-9CD9-9BAA77C4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2022-08-15T10:45:00Z</cp:lastPrinted>
  <dcterms:created xsi:type="dcterms:W3CDTF">2023-12-20T09:10:00Z</dcterms:created>
  <dcterms:modified xsi:type="dcterms:W3CDTF">2023-12-20T09:11:00Z</dcterms:modified>
</cp:coreProperties>
</file>