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13B80B9C" w:rsidR="00D859C2" w:rsidRPr="00726B26" w:rsidRDefault="00502D01" w:rsidP="00D859C2">
      <w:pPr>
        <w:rPr>
          <w:b/>
        </w:rPr>
      </w:pPr>
      <w:r>
        <w:rPr>
          <w:b/>
        </w:rPr>
        <w:t>SYNPRO, s.r.o.</w:t>
      </w:r>
    </w:p>
    <w:p w14:paraId="3DADA2B1" w14:textId="663AC2A4" w:rsidR="00D859C2" w:rsidRDefault="00D859C2" w:rsidP="00D859C2">
      <w:r>
        <w:t xml:space="preserve">IČ: </w:t>
      </w:r>
      <w:r w:rsidR="00502D01">
        <w:t>29228298</w:t>
      </w:r>
    </w:p>
    <w:p w14:paraId="494735B8" w14:textId="519D585F" w:rsidR="00D859C2" w:rsidRPr="00512AB9" w:rsidRDefault="00D859C2" w:rsidP="00D859C2">
      <w:r>
        <w:t xml:space="preserve">DIČ: </w:t>
      </w:r>
      <w:r w:rsidR="00502D01">
        <w:t>CZ29228298</w:t>
      </w:r>
    </w:p>
    <w:p w14:paraId="4BE4B061" w14:textId="5AF4B51D" w:rsidR="00D859C2" w:rsidRPr="00512AB9" w:rsidRDefault="00D859C2" w:rsidP="00D859C2">
      <w:r>
        <w:t>se sídlem</w:t>
      </w:r>
      <w:r w:rsidRPr="00512AB9">
        <w:t xml:space="preserve">: </w:t>
      </w:r>
      <w:r w:rsidR="00502D01">
        <w:t>Hlavní 406, 696 17 Dolní Bojanovice</w:t>
      </w:r>
    </w:p>
    <w:p w14:paraId="1F4F5F98" w14:textId="689274E3" w:rsidR="00D859C2" w:rsidRPr="00512AB9" w:rsidRDefault="00D859C2" w:rsidP="00D859C2">
      <w:r>
        <w:t>zastoupena</w:t>
      </w:r>
      <w:r w:rsidRPr="00512AB9">
        <w:t xml:space="preserve">: </w:t>
      </w:r>
      <w:r w:rsidR="00502D01">
        <w:t xml:space="preserve">Janou </w:t>
      </w:r>
      <w:proofErr w:type="spellStart"/>
      <w:r w:rsidR="00502D01">
        <w:t>Grmolcovou</w:t>
      </w:r>
      <w:proofErr w:type="spellEnd"/>
      <w:r w:rsidR="00502D01">
        <w:t>, prokuristkou</w:t>
      </w:r>
    </w:p>
    <w:p w14:paraId="43130257" w14:textId="1DCF8F33" w:rsidR="00D859C2" w:rsidRPr="00512AB9" w:rsidRDefault="00D859C2" w:rsidP="00D859C2">
      <w:r w:rsidRPr="00512AB9">
        <w:t xml:space="preserve">bankovní spojení: </w:t>
      </w:r>
      <w:r w:rsidR="00502D01">
        <w:t>ČSOB, a.s.</w:t>
      </w:r>
    </w:p>
    <w:p w14:paraId="4B4D9F51" w14:textId="4CD46DFB" w:rsidR="00D859C2" w:rsidRPr="00512AB9" w:rsidRDefault="00D859C2" w:rsidP="00D859C2">
      <w:r w:rsidRPr="00512AB9">
        <w:t xml:space="preserve">číslo účtu: </w:t>
      </w:r>
      <w:r w:rsidR="00502D01">
        <w:t>266071682/0300</w:t>
      </w:r>
    </w:p>
    <w:p w14:paraId="7BE5CCD9" w14:textId="3FFE60DF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502D01">
        <w:t>Krajským</w:t>
      </w:r>
      <w:r>
        <w:t xml:space="preserve"> </w:t>
      </w:r>
      <w:r w:rsidRPr="00652864">
        <w:t>soudem v </w:t>
      </w:r>
      <w:r w:rsidR="00502D01">
        <w:t>Brně</w:t>
      </w:r>
      <w:r w:rsidRPr="00652864">
        <w:t xml:space="preserve">, oddíl </w:t>
      </w:r>
      <w:r w:rsidR="00502D01">
        <w:t>C</w:t>
      </w:r>
      <w:r w:rsidRPr="00652864">
        <w:t xml:space="preserve">, vložka </w:t>
      </w:r>
      <w:r w:rsidR="00502D01" w:rsidRPr="00502D01">
        <w:t>67094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</w:pPr>
      <w:r>
        <w:lastRenderedPageBreak/>
        <w:t>Účel smlouvy</w:t>
      </w:r>
    </w:p>
    <w:p w14:paraId="29B026B9" w14:textId="6F4CC3FF" w:rsidR="00095C75" w:rsidRPr="00CF0C56" w:rsidRDefault="00095C75" w:rsidP="00A05D45">
      <w:pPr>
        <w:pStyle w:val="Odstavecsmlouvy"/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4F2032">
        <w:t>Nákup nákladního automobilu II - elektrovozidlo</w:t>
      </w:r>
      <w:r>
        <w:t>“ (dále jen „</w:t>
      </w:r>
      <w:r w:rsidRPr="00512300">
        <w:rPr>
          <w:b/>
        </w:rPr>
        <w:t>Zadávací dokumentace</w:t>
      </w:r>
      <w:r>
        <w:t>“).</w:t>
      </w:r>
    </w:p>
    <w:p w14:paraId="65CA5F78" w14:textId="2E932AFD" w:rsidR="00095C75" w:rsidRDefault="00271FDF" w:rsidP="003E4543">
      <w:pPr>
        <w:pStyle w:val="Odstavecsmlouvy"/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1FBD7DC0" w14:textId="77777777" w:rsidR="00095C75" w:rsidRPr="00D859C2" w:rsidRDefault="00095C75" w:rsidP="00A05D45">
      <w:pPr>
        <w:pStyle w:val="Nadpis1"/>
        <w:spacing w:line="240" w:lineRule="auto"/>
      </w:pPr>
      <w:r w:rsidRPr="00D859C2">
        <w:t>Předmět smlouvy</w:t>
      </w:r>
    </w:p>
    <w:p w14:paraId="3693EC94" w14:textId="29FFCFD3" w:rsidR="00095C75" w:rsidRDefault="00095C75" w:rsidP="00A05D45">
      <w:pPr>
        <w:pStyle w:val="Odstavecsmlouvy"/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6D2AF4AD" w14:textId="4C5D8B7E" w:rsidR="00662DC6" w:rsidRDefault="00662DC6" w:rsidP="00A05D45">
      <w:pPr>
        <w:pStyle w:val="Odstavecsmlouvy"/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1E8B3942" w14:textId="16E5571F" w:rsidR="00662DC6" w:rsidRDefault="00662DC6" w:rsidP="00662DC6">
      <w:pPr>
        <w:pStyle w:val="Odstavecsmlouvy"/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EC1904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75136A5F" w14:textId="03C4B6D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AD3305">
        <w:t>1</w:t>
      </w:r>
      <w:r w:rsidR="002F4F30" w:rsidRPr="00D859C2">
        <w:t xml:space="preserve"> ks </w:t>
      </w:r>
      <w:r w:rsidR="00AD3305">
        <w:t>nákladního elektrovozidla</w:t>
      </w:r>
      <w:r w:rsidR="008645D8" w:rsidRPr="00D859C2">
        <w:rPr>
          <w:b/>
        </w:rPr>
        <w:t xml:space="preserve">, typ: </w:t>
      </w:r>
      <w:proofErr w:type="spellStart"/>
      <w:r w:rsidR="00AD3305">
        <w:rPr>
          <w:b/>
        </w:rPr>
        <w:t>Pickman</w:t>
      </w:r>
      <w:proofErr w:type="spellEnd"/>
      <w:r w:rsidR="00AD3305">
        <w:rPr>
          <w:b/>
        </w:rPr>
        <w:t>, KY10220</w:t>
      </w:r>
      <w:r w:rsidR="004453FF" w:rsidRPr="00D859C2">
        <w:rPr>
          <w:b/>
        </w:rPr>
        <w:t xml:space="preserve">, výrobce </w:t>
      </w:r>
      <w:proofErr w:type="spellStart"/>
      <w:r w:rsidR="00AD3305">
        <w:rPr>
          <w:b/>
        </w:rPr>
        <w:t>Kai</w:t>
      </w:r>
      <w:proofErr w:type="spellEnd"/>
      <w:r w:rsidR="00AD3305">
        <w:rPr>
          <w:b/>
        </w:rPr>
        <w:t xml:space="preserve"> </w:t>
      </w:r>
      <w:proofErr w:type="spellStart"/>
      <w:r w:rsidR="00AD3305">
        <w:rPr>
          <w:b/>
        </w:rPr>
        <w:t>Yun</w:t>
      </w:r>
      <w:proofErr w:type="spellEnd"/>
      <w:r w:rsidR="00AD3305">
        <w:rPr>
          <w:b/>
        </w:rPr>
        <w:t xml:space="preserve"> Automobile </w:t>
      </w:r>
      <w:proofErr w:type="spellStart"/>
      <w:r w:rsidR="00AD3305">
        <w:rPr>
          <w:b/>
        </w:rPr>
        <w:t>Manufacturing</w:t>
      </w:r>
      <w:proofErr w:type="spellEnd"/>
      <w:r w:rsidR="00AD3305">
        <w:rPr>
          <w:b/>
        </w:rPr>
        <w:t xml:space="preserve"> Co., Ltd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</w:t>
      </w:r>
      <w:r w:rsidR="00A05D45">
        <w:t xml:space="preserve">, případně rovněž v příloze č. 2 </w:t>
      </w:r>
      <w:proofErr w:type="gramStart"/>
      <w:r w:rsidR="00A05D45">
        <w:t>této</w:t>
      </w:r>
      <w:proofErr w:type="gramEnd"/>
      <w:r w:rsidR="00A05D45">
        <w:t xml:space="preserve">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0B6863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24C3874" w:rsidR="002E3B0B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</w:t>
      </w:r>
      <w:r w:rsidRPr="00D231CC">
        <w:lastRenderedPageBreak/>
        <w:t>vystavení. Zároveň bude na Zboží a v uživatelském návodu ke Zboží grafické znázornění této shody prostřednictvím značky CE</w:t>
      </w:r>
      <w:r w:rsidR="007C7A0E">
        <w:t>;</w:t>
      </w:r>
    </w:p>
    <w:p w14:paraId="511E981A" w14:textId="5BF76E28" w:rsidR="007C7A0E" w:rsidRPr="00D859C2" w:rsidRDefault="007C7A0E" w:rsidP="00D859C2">
      <w:pPr>
        <w:pStyle w:val="Psmenoodstavce"/>
      </w:pPr>
      <w:r>
        <w:t>katalog náhradních dílů</w:t>
      </w: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A" w14:textId="46D05E87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 xml:space="preserve">do </w:t>
      </w:r>
      <w:r w:rsidR="00A45933">
        <w:rPr>
          <w:b/>
        </w:rPr>
        <w:t>16</w:t>
      </w:r>
      <w:r w:rsidR="0042712C" w:rsidRPr="00D859C2">
        <w:rPr>
          <w:b/>
        </w:rPr>
        <w:t xml:space="preserve"> </w:t>
      </w:r>
      <w:r w:rsidR="006C3751" w:rsidRPr="00D859C2">
        <w:rPr>
          <w:b/>
        </w:rPr>
        <w:t>týdnů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C" w14:textId="557B39B6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D50BBE" w:rsidRPr="00D859C2">
        <w:t xml:space="preserve">je </w:t>
      </w:r>
      <w:r w:rsidR="004F2032">
        <w:t>Oddělení hospodářsko-technické správy - Doprava</w:t>
      </w:r>
      <w:r w:rsidR="004F2032" w:rsidRPr="00D45FBD">
        <w:t>, pracoviště Nemocnice Bohunice a Porodnice (NBP), Jihlavská 20, 625 00 Brno</w:t>
      </w:r>
      <w:r w:rsidR="00DE3A3F" w:rsidRPr="00D859C2">
        <w:t>.</w:t>
      </w:r>
    </w:p>
    <w:p w14:paraId="75136A6E" w14:textId="125DDDB2" w:rsidR="009A3D16" w:rsidRPr="00D859C2" w:rsidRDefault="004F2032" w:rsidP="00D859C2">
      <w:pPr>
        <w:pStyle w:val="Odstavecsmlouvy"/>
      </w:pPr>
      <w:r w:rsidRPr="00D859C2">
        <w:t xml:space="preserve">Prodávající se zavazuje oznámit Kupujícímu konkrétní termín dodání Zboží pět pracovních dnů před plánovaným termínem dodání </w:t>
      </w:r>
      <w:r w:rsidRPr="00BE1C5B">
        <w:t xml:space="preserve">vedoucímu dopravy </w:t>
      </w:r>
      <w:r w:rsidR="00F62055">
        <w:t>XXXXXXXXX</w:t>
      </w:r>
      <w:r w:rsidRPr="00BE1C5B">
        <w:t xml:space="preserve"> </w:t>
      </w:r>
      <w:proofErr w:type="spellStart"/>
      <w:r w:rsidR="00F62055">
        <w:t>XXXXXXXXX</w:t>
      </w:r>
      <w:proofErr w:type="spellEnd"/>
      <w:r w:rsidRPr="00BE1C5B">
        <w:t xml:space="preserve"> na e-mail: </w:t>
      </w:r>
      <w:r w:rsidR="00F62055" w:rsidRPr="00F62055">
        <w:t>XXXXXXXXX</w:t>
      </w:r>
      <w:r w:rsidRPr="00BE1C5B">
        <w:rPr>
          <w:rStyle w:val="Hypertextovodkaz"/>
          <w:bCs/>
          <w:u w:val="none"/>
        </w:rPr>
        <w:t xml:space="preserve"> </w:t>
      </w:r>
      <w:r w:rsidRPr="00BE1C5B">
        <w:t xml:space="preserve">a na obchodní oddělení FN Brno paní </w:t>
      </w:r>
      <w:r w:rsidR="00F62055">
        <w:t>XXXXXXX</w:t>
      </w:r>
      <w:r>
        <w:t xml:space="preserve">, tel.: </w:t>
      </w:r>
      <w:r w:rsidR="00F62055">
        <w:t>XXXXXXXX</w:t>
      </w:r>
      <w:r>
        <w:t xml:space="preserve"> a</w:t>
      </w:r>
      <w:r w:rsidRPr="00BE1C5B">
        <w:t xml:space="preserve"> </w:t>
      </w:r>
      <w:r>
        <w:t xml:space="preserve">písemně </w:t>
      </w:r>
      <w:r w:rsidRPr="00BE1C5B">
        <w:t xml:space="preserve">na e-mail: </w:t>
      </w:r>
      <w:r w:rsidR="00F62055" w:rsidRPr="00F62055">
        <w:t>XXXXXXXXXX</w:t>
      </w:r>
      <w:r w:rsidRPr="00BE1C5B">
        <w:t>.</w:t>
      </w:r>
      <w:r>
        <w:t xml:space="preserve"> </w:t>
      </w:r>
      <w:r w:rsidRPr="00D859C2">
        <w:t>Bez tohoto oznámení není Kupující povinen Zboží převzít.</w:t>
      </w: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50552332" w14:textId="03D8275C" w:rsidR="00662DC6" w:rsidRDefault="0040242A" w:rsidP="007D3CF9">
      <w:pPr>
        <w:pStyle w:val="Odstavecsmlouvy"/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36B44289" w14:textId="77777777" w:rsidR="00271FDF" w:rsidRDefault="00271FDF" w:rsidP="00271FDF">
      <w:pPr>
        <w:pStyle w:val="Odstavecsmlouvy"/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00EEB4E" w14:textId="77777777" w:rsidR="00271FDF" w:rsidRDefault="00271FDF" w:rsidP="00271FDF">
      <w:pPr>
        <w:pStyle w:val="Odstavecsmlouvy"/>
      </w:pPr>
      <w:r>
        <w:t xml:space="preserve"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</w:t>
      </w:r>
      <w:r>
        <w:lastRenderedPageBreak/>
        <w:t>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276DC609" w14:textId="77777777" w:rsidR="00271FDF" w:rsidRDefault="00271FDF" w:rsidP="00271FDF">
      <w:pPr>
        <w:pStyle w:val="Odstavecsmlouvy"/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437234A1" w14:textId="77777777" w:rsidR="00271FDF" w:rsidRDefault="00271FDF" w:rsidP="00271FDF">
      <w:pPr>
        <w:pStyle w:val="Odstavecsmlouvy"/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1617508A" w:rsidR="00D859C2" w:rsidRPr="005B49AA" w:rsidRDefault="000936F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459 770,00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2AD42AA7" w:rsidR="00D859C2" w:rsidRPr="005B49AA" w:rsidRDefault="00D859C2" w:rsidP="000936F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0936FE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6D366E18" w:rsidR="00D859C2" w:rsidRPr="005B49AA" w:rsidRDefault="000936F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96 551,70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028BDA66" w:rsidR="00D859C2" w:rsidRPr="005B49AA" w:rsidRDefault="000936FE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556 321,70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733A9A72" w:rsidR="00D70368" w:rsidRPr="00D859C2" w:rsidRDefault="00D70368" w:rsidP="00D70368">
      <w:pPr>
        <w:pStyle w:val="Odstavecsmlouvy"/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 xml:space="preserve">splňovat veškeré náležitosti daňového a účetního dokladu stanovené právními předpisy, zejména musí splňovat ustanovení </w:t>
      </w:r>
      <w:r w:rsidR="00A17F49" w:rsidRPr="00D859C2">
        <w:rPr>
          <w:color w:val="000000"/>
        </w:rPr>
        <w:lastRenderedPageBreak/>
        <w:t>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B0" w14:textId="26663191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="004F2032">
        <w:rPr>
          <w:b/>
        </w:rPr>
        <w:t>12</w:t>
      </w:r>
      <w:r w:rsidRPr="00841443">
        <w:rPr>
          <w:b/>
        </w:rPr>
        <w:t xml:space="preserve">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 xml:space="preserve">vadného stavu, není-li mezi </w:t>
      </w:r>
      <w:r w:rsidRPr="00D859C2">
        <w:lastRenderedPageBreak/>
        <w:t>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4D2B490" w14:textId="31736871" w:rsidR="00271FDF" w:rsidRDefault="00271FDF" w:rsidP="00271FDF">
      <w:pPr>
        <w:pStyle w:val="Odstavecsmlouvy"/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36109284" w14:textId="231C4B91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2647F1">
        <w:t>, ledaže se na takové prodlení vztahuje jiná smluvní pokuta sjednaná touto smlouvou</w:t>
      </w:r>
      <w:r w:rsidRPr="00D859C2">
        <w:t>.</w:t>
      </w: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C3378E5" w:rsidR="004A1880" w:rsidRDefault="004A1880" w:rsidP="004A1880">
      <w:pPr>
        <w:pStyle w:val="Odstavecsmlouvy"/>
      </w:pPr>
      <w:r>
        <w:lastRenderedPageBreak/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EC1904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58E9FD70" w14:textId="77777777" w:rsidR="004A1880" w:rsidRPr="000976C2" w:rsidRDefault="004A1880" w:rsidP="004A1880">
      <w:pPr>
        <w:pStyle w:val="Nadpis1"/>
      </w:pPr>
      <w:bookmarkStart w:id="2" w:name="_Ref497897106"/>
      <w:r w:rsidRPr="000976C2">
        <w:t>Bezpečnost informací</w:t>
      </w:r>
    </w:p>
    <w:p w14:paraId="31D57926" w14:textId="77777777" w:rsidR="004A1880" w:rsidRDefault="004A1880" w:rsidP="004A1880">
      <w:pPr>
        <w:pStyle w:val="Odstavecsmlouvy"/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3360EC85" w14:textId="77777777" w:rsidR="004A1880" w:rsidRPr="004D3843" w:rsidRDefault="004A1880" w:rsidP="004A1880">
      <w:pPr>
        <w:pStyle w:val="Odstavecsmlouvy"/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5000A0">
      <w:pPr>
        <w:pStyle w:val="Psmenoodstavce"/>
      </w:pPr>
      <w:proofErr w:type="gramStart"/>
      <w:r w:rsidRPr="004D3843">
        <w:t>si</w:t>
      </w:r>
      <w:proofErr w:type="gramEnd"/>
      <w:r w:rsidRPr="004D3843">
        <w:t xml:space="preserve"> mohou vzájemně vědomě nebo opom</w:t>
      </w:r>
      <w:r>
        <w:t>e</w:t>
      </w:r>
      <w:r w:rsidRPr="004D3843">
        <w:t xml:space="preserve">nutím poskytnout informace, které budou </w:t>
      </w:r>
      <w:r>
        <w:t xml:space="preserve">poskytující stranou </w:t>
      </w:r>
      <w:r w:rsidRPr="004D3843">
        <w:t>považovány za důvěrné (dále jen „</w:t>
      </w:r>
      <w:r w:rsidRPr="004D3843">
        <w:rPr>
          <w:b/>
        </w:rPr>
        <w:t>Důvěrné informace</w:t>
      </w:r>
      <w:r>
        <w:t>“);</w:t>
      </w:r>
    </w:p>
    <w:p w14:paraId="4B827567" w14:textId="77777777" w:rsidR="004A1880" w:rsidRDefault="004A1880" w:rsidP="005000A0">
      <w:pPr>
        <w:pStyle w:val="Psmenoodstavce"/>
      </w:pPr>
      <w:r w:rsidRPr="004D3843">
        <w:t>mohou jejich zaměstnanci a osoby v obdobném postavení</w:t>
      </w:r>
      <w:r>
        <w:t>, zejména osoby jednající z jejich pověření,</w:t>
      </w:r>
      <w:r w:rsidRPr="004D3843">
        <w:t xml:space="preserve"> získat vědomou činností druhé strany nebo i jejím opom</w:t>
      </w:r>
      <w:r>
        <w:t>e</w:t>
      </w:r>
      <w:r w:rsidRPr="004D3843">
        <w:t>nutím přístup k</w:t>
      </w:r>
      <w:r>
        <w:t> D</w:t>
      </w:r>
      <w:r w:rsidRPr="004D3843">
        <w:t>ůvěrným</w:t>
      </w:r>
      <w:r>
        <w:t xml:space="preserve"> </w:t>
      </w:r>
      <w:r w:rsidRPr="004D3843">
        <w:t>informacím druhé strany</w:t>
      </w:r>
      <w:r>
        <w:t>.</w:t>
      </w:r>
    </w:p>
    <w:p w14:paraId="0D97656B" w14:textId="77777777" w:rsidR="004A1880" w:rsidRDefault="004A1880" w:rsidP="004A1880">
      <w:pPr>
        <w:pStyle w:val="Odstavecsmlouvy"/>
      </w:pPr>
      <w:r>
        <w:t>Za Důvěrné informace se vždy považují:</w:t>
      </w:r>
    </w:p>
    <w:p w14:paraId="041A6748" w14:textId="77777777" w:rsidR="004A1880" w:rsidRDefault="004A1880" w:rsidP="005000A0">
      <w:pPr>
        <w:pStyle w:val="Psmenoodstavce"/>
      </w:pPr>
      <w:r>
        <w:t>veškeré Osobní údaje;</w:t>
      </w:r>
    </w:p>
    <w:p w14:paraId="03F8EB7C" w14:textId="77777777" w:rsidR="004A1880" w:rsidRDefault="004A1880" w:rsidP="005000A0">
      <w:pPr>
        <w:pStyle w:val="Psmenoodstavce"/>
      </w:pPr>
      <w:r>
        <w:t>informace, které jako důvěrné smluvní strana výslovně označí;</w:t>
      </w:r>
    </w:p>
    <w:p w14:paraId="7F6E9B9B" w14:textId="77777777" w:rsidR="004A1880" w:rsidRDefault="004A1880" w:rsidP="005000A0">
      <w:pPr>
        <w:pStyle w:val="Psmenoodstavce"/>
      </w:pPr>
      <w:r>
        <w:t>veškeré informace související se zabezpečením Důvěrných informací;</w:t>
      </w:r>
    </w:p>
    <w:p w14:paraId="515485EA" w14:textId="77777777" w:rsidR="004A1880" w:rsidRDefault="004A1880" w:rsidP="005000A0">
      <w:pPr>
        <w:pStyle w:val="Psmenoodstavce"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5000A0">
      <w:pPr>
        <w:pStyle w:val="Psmenoodstavce"/>
      </w:pPr>
      <w:r>
        <w:t>veškeré informace související s provozem a zabezpečením počítačových sítí a informační a komunikační infrastruktury Kupujícího.</w:t>
      </w:r>
    </w:p>
    <w:p w14:paraId="4332A351" w14:textId="77777777" w:rsidR="004A1880" w:rsidRDefault="004A1880" w:rsidP="004A1880">
      <w:pPr>
        <w:pStyle w:val="Odstavecsmlouvy"/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6B19C324" w14:textId="77777777" w:rsidR="004A1880" w:rsidRDefault="004A1880" w:rsidP="004A1880">
      <w:pPr>
        <w:pStyle w:val="Odstavecsmlouvy"/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</w:t>
      </w:r>
      <w:r>
        <w:lastRenderedPageBreak/>
        <w:t>existenci právního vztahu se třetí osobou splňujícího podmínky věty předchozí, a to do 10 pracovních dnů od doručení takové písemné výzvy.</w:t>
      </w:r>
      <w:bookmarkEnd w:id="3"/>
    </w:p>
    <w:bookmarkEnd w:id="4"/>
    <w:p w14:paraId="40F33626" w14:textId="77777777" w:rsidR="004A1880" w:rsidRDefault="004A1880" w:rsidP="004A1880">
      <w:pPr>
        <w:pStyle w:val="Odstavecsmlouvy"/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079FA467" w14:textId="77777777" w:rsidR="004A1880" w:rsidRDefault="004A1880" w:rsidP="004A1880">
      <w:pPr>
        <w:pStyle w:val="Odstavecsmlouvy"/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584F04CC" w14:textId="77777777" w:rsidR="004A1880" w:rsidRDefault="004A1880" w:rsidP="004A1880">
      <w:pPr>
        <w:pStyle w:val="Odstavecsmlouvy"/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17BCB213" w14:textId="77777777" w:rsidR="004A1880" w:rsidRDefault="004A1880" w:rsidP="004A1880">
      <w:pPr>
        <w:pStyle w:val="Odstavecsmlouvy"/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lastRenderedPageBreak/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8" w14:textId="5554CB0C" w:rsidR="00327588" w:rsidRPr="00D859C2" w:rsidRDefault="004F2032" w:rsidP="00094B12">
      <w:pPr>
        <w:pStyle w:val="Odstavecsmlouvy"/>
        <w:rPr>
          <w:snapToGrid w:val="0"/>
        </w:rPr>
      </w:pPr>
      <w:r w:rsidRPr="002F35E4">
        <w:rPr>
          <w:snapToGrid w:val="0"/>
        </w:rPr>
        <w:t>Tato smlouva je sepsána ve dvou vyhotoveních stejné platnosti a závaznosti, přičemž každá smluvní strana obdrží jedno vyhotovení.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6770D5CD" w14:textId="77777777" w:rsidR="0096600E" w:rsidRDefault="0096600E" w:rsidP="0096600E">
      <w:pPr>
        <w:pStyle w:val="Odstavecsmlouvy"/>
      </w:pPr>
      <w:r>
        <w:t>Nedílnou součástí této smlouvy jsou:</w:t>
      </w:r>
    </w:p>
    <w:p w14:paraId="6EC6FB1A" w14:textId="72AD2378" w:rsidR="0096600E" w:rsidRDefault="0096600E" w:rsidP="006449D0">
      <w:pPr>
        <w:pStyle w:val="Psmenoodstavce"/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6449D0">
        <w:t>;</w:t>
      </w:r>
    </w:p>
    <w:p w14:paraId="7736A90D" w14:textId="10F116D2" w:rsidR="006449D0" w:rsidRDefault="006449D0" w:rsidP="006449D0">
      <w:pPr>
        <w:pStyle w:val="Psmenoodstavce"/>
      </w:pPr>
      <w:r>
        <w:t>Příloha č. 2 – Nabídka předložená do Veřejné zakázky.</w:t>
      </w:r>
    </w:p>
    <w:p w14:paraId="4665DF3A" w14:textId="1ED3EED6" w:rsidR="00D071E8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437E4841" w14:textId="7E344458" w:rsidR="007C7A0E" w:rsidRDefault="007C7A0E" w:rsidP="007C7A0E">
      <w:pPr>
        <w:tabs>
          <w:tab w:val="center" w:pos="2552"/>
          <w:tab w:val="center" w:pos="7371"/>
        </w:tabs>
      </w:pPr>
      <w:r>
        <w:tab/>
      </w:r>
      <w:r w:rsidRPr="00D722DC">
        <w:t>V</w:t>
      </w:r>
      <w:r>
        <w:t> Dolních Bojanovicích</w:t>
      </w:r>
      <w:r w:rsidRPr="001150C5">
        <w:t xml:space="preserve"> dne</w:t>
      </w:r>
      <w:r>
        <w:tab/>
      </w:r>
      <w:r w:rsidRPr="00D722DC">
        <w:t>V Brně dne</w:t>
      </w:r>
    </w:p>
    <w:p w14:paraId="362EE020" w14:textId="65349B7F" w:rsidR="007C7A0E" w:rsidRDefault="007C7A0E" w:rsidP="007C7A0E">
      <w:pPr>
        <w:tabs>
          <w:tab w:val="center" w:pos="2552"/>
          <w:tab w:val="center" w:pos="7371"/>
        </w:tabs>
      </w:pPr>
    </w:p>
    <w:p w14:paraId="2E3E3566" w14:textId="29C71240" w:rsidR="007C7A0E" w:rsidRDefault="007C7A0E" w:rsidP="007C7A0E">
      <w:pPr>
        <w:tabs>
          <w:tab w:val="center" w:pos="2552"/>
          <w:tab w:val="center" w:pos="7371"/>
        </w:tabs>
      </w:pPr>
    </w:p>
    <w:p w14:paraId="5513E19D" w14:textId="66156578" w:rsidR="007C7A0E" w:rsidRDefault="007C7A0E" w:rsidP="007C7A0E">
      <w:pPr>
        <w:tabs>
          <w:tab w:val="center" w:pos="2552"/>
          <w:tab w:val="center" w:pos="7371"/>
        </w:tabs>
      </w:pPr>
      <w:r>
        <w:tab/>
        <w:t>_________________________</w:t>
      </w:r>
      <w:r>
        <w:tab/>
        <w:t>_________________________</w:t>
      </w:r>
    </w:p>
    <w:p w14:paraId="5DE29BDC" w14:textId="509CBFA4" w:rsidR="007C7A0E" w:rsidRDefault="007C7A0E" w:rsidP="007C7A0E">
      <w:pPr>
        <w:tabs>
          <w:tab w:val="center" w:pos="2552"/>
          <w:tab w:val="center" w:pos="7371"/>
        </w:tabs>
      </w:pPr>
      <w:r>
        <w:tab/>
        <w:t>za Prodávajícího</w:t>
      </w:r>
      <w:r>
        <w:tab/>
        <w:t>za Kupujícího</w:t>
      </w:r>
    </w:p>
    <w:p w14:paraId="2870DD4E" w14:textId="6066D067" w:rsidR="007C7A0E" w:rsidRDefault="007C7A0E" w:rsidP="007C7A0E">
      <w:pPr>
        <w:tabs>
          <w:tab w:val="center" w:pos="2552"/>
          <w:tab w:val="center" w:pos="7371"/>
        </w:tabs>
      </w:pPr>
      <w:r>
        <w:tab/>
      </w:r>
      <w:r>
        <w:rPr>
          <w:b/>
        </w:rPr>
        <w:t>SYNPRO, s.r.o.</w:t>
      </w:r>
      <w:r>
        <w:rPr>
          <w:b/>
        </w:rPr>
        <w:tab/>
      </w:r>
      <w:r w:rsidRPr="00D722DC">
        <w:rPr>
          <w:b/>
        </w:rPr>
        <w:t>Fakultní nemocnice Brno</w:t>
      </w:r>
    </w:p>
    <w:p w14:paraId="4E38D762" w14:textId="0A1E20BE" w:rsidR="007C7A0E" w:rsidRPr="00D859C2" w:rsidRDefault="007C7A0E" w:rsidP="007C7A0E">
      <w:pPr>
        <w:tabs>
          <w:tab w:val="center" w:pos="2552"/>
          <w:tab w:val="center" w:pos="7371"/>
        </w:tabs>
      </w:pPr>
      <w:r>
        <w:tab/>
        <w:t xml:space="preserve">Jana </w:t>
      </w:r>
      <w:proofErr w:type="spellStart"/>
      <w:r>
        <w:t>Grmolcová</w:t>
      </w:r>
      <w:proofErr w:type="spellEnd"/>
      <w:r>
        <w:t>, prokurista</w:t>
      </w:r>
      <w:r>
        <w:tab/>
      </w:r>
      <w:r w:rsidRPr="001150C5">
        <w:t xml:space="preserve">MUDr. </w:t>
      </w:r>
      <w:r>
        <w:t>Ivo Rovný</w:t>
      </w:r>
      <w:r w:rsidRPr="001150C5">
        <w:t xml:space="preserve">, </w:t>
      </w:r>
      <w:r>
        <w:t>MBA</w:t>
      </w:r>
      <w:r w:rsidRPr="001150C5">
        <w:t>, ředitel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61BFE008" w14:textId="77777777" w:rsidR="005D1FAE" w:rsidRDefault="005D1FAE">
      <w:pPr>
        <w:spacing w:line="240" w:lineRule="auto"/>
        <w:jc w:val="left"/>
        <w:sectPr w:rsidR="005D1FAE" w:rsidSect="00D071E8">
          <w:headerReference w:type="default" r:id="rId11"/>
          <w:footerReference w:type="default" r:id="rId12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4111A61" w14:textId="4982BA92" w:rsidR="00094B12" w:rsidRDefault="00094B12">
      <w:pPr>
        <w:spacing w:line="240" w:lineRule="auto"/>
        <w:jc w:val="left"/>
      </w:pP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46EF4B78" w14:textId="77777777" w:rsidR="00094B12" w:rsidRDefault="00094B12" w:rsidP="00094B12"/>
    <w:p w14:paraId="474D6284" w14:textId="77777777" w:rsidR="00C47614" w:rsidRDefault="00C47614" w:rsidP="00094B12"/>
    <w:tbl>
      <w:tblPr>
        <w:tblW w:w="750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3118"/>
      </w:tblGrid>
      <w:tr w:rsidR="00C47614" w:rsidRPr="00B41A9F" w14:paraId="4BDABA6F" w14:textId="77777777" w:rsidTr="00C47614">
        <w:trPr>
          <w:cantSplit/>
          <w:trHeight w:val="594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C84E0" w14:textId="77777777" w:rsidR="00C47614" w:rsidRPr="00B41A9F" w:rsidRDefault="00C47614" w:rsidP="003C61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41A9F">
              <w:rPr>
                <w:rFonts w:ascii="Arial" w:hAnsi="Arial" w:cs="Arial"/>
                <w:b/>
                <w:bCs/>
                <w:szCs w:val="22"/>
              </w:rPr>
              <w:t>Technické parametry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A00D" w14:textId="77777777" w:rsidR="00C47614" w:rsidRPr="00B41A9F" w:rsidRDefault="00C47614" w:rsidP="003C6110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41A9F">
              <w:rPr>
                <w:rFonts w:ascii="Arial" w:hAnsi="Arial" w:cs="Arial"/>
                <w:b/>
                <w:bCs/>
                <w:szCs w:val="22"/>
              </w:rPr>
              <w:t>Nabízené uchazečem</w:t>
            </w:r>
          </w:p>
        </w:tc>
      </w:tr>
      <w:tr w:rsidR="00C47614" w:rsidRPr="00B41A9F" w14:paraId="2AEA8E67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1881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1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Style w:val="Standardnpsmoodstavce1"/>
                <w:rFonts w:ascii="Arial" w:hAnsi="Arial" w:cs="Arial"/>
                <w:szCs w:val="22"/>
              </w:rPr>
              <w:t>Provozní hmotnost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6C2C2" w14:textId="7733DE72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915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47614">
              <w:rPr>
                <w:rStyle w:val="Standardnpsmoodstavce1"/>
                <w:rFonts w:ascii="Arial" w:hAnsi="Arial" w:cs="Arial"/>
                <w:color w:val="auto"/>
                <w:szCs w:val="22"/>
              </w:rPr>
              <w:t>530 kg</w:t>
            </w:r>
          </w:p>
        </w:tc>
      </w:tr>
      <w:tr w:rsidR="00C47614" w:rsidRPr="00B41A9F" w14:paraId="643724B8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5DE10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Max. výkon motoru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BF372" w14:textId="6EB026A9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4 kW</w:t>
            </w:r>
          </w:p>
        </w:tc>
      </w:tr>
      <w:tr w:rsidR="00C47614" w:rsidRPr="00B41A9F" w14:paraId="19D6E46C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88B8C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Elektrický pohon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C36C" w14:textId="741EFCFC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0139AE9E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5C312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Pohon zadní nápravy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19FBC" w14:textId="63DC585D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359E04C2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C832C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Délka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3A501" w14:textId="4CD0EF6D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3 570 mm</w:t>
            </w:r>
          </w:p>
        </w:tc>
      </w:tr>
      <w:tr w:rsidR="00C47614" w:rsidRPr="00B41A9F" w14:paraId="54CDB988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67D0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Šířka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5689" w14:textId="0D17903C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1 370 mm</w:t>
            </w:r>
          </w:p>
        </w:tc>
      </w:tr>
      <w:tr w:rsidR="00C47614" w:rsidRPr="00B41A9F" w14:paraId="6E515699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38898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 xml:space="preserve">Výška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B9FE0" w14:textId="1F3412A4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1 550 mm</w:t>
            </w:r>
          </w:p>
        </w:tc>
      </w:tr>
      <w:tr w:rsidR="00C47614" w:rsidRPr="00B41A9F" w14:paraId="4E17A8C9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2019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Rozvor kol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FAB9E" w14:textId="213A4A7D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2 310 mm</w:t>
            </w:r>
          </w:p>
        </w:tc>
      </w:tr>
      <w:tr w:rsidR="00C47614" w:rsidRPr="00B41A9F" w14:paraId="65050BFD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FF6E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 xml:space="preserve">Maximální rychlost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C9C3" w14:textId="5EAE23B2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50 km/h</w:t>
            </w:r>
          </w:p>
        </w:tc>
      </w:tr>
      <w:tr w:rsidR="00C47614" w:rsidRPr="00B41A9F" w14:paraId="38C06831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D410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Nosnost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FC25D" w14:textId="6379EBC2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660 kg</w:t>
            </w:r>
          </w:p>
        </w:tc>
      </w:tr>
      <w:tr w:rsidR="00C47614" w:rsidRPr="00B41A9F" w14:paraId="3A67C099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E3C3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Počet míst k sezení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DA92" w14:textId="0C80EA2C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2</w:t>
            </w:r>
          </w:p>
        </w:tc>
      </w:tr>
      <w:tr w:rsidR="00C47614" w:rsidRPr="00B41A9F" w14:paraId="76CA0662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71D8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 xml:space="preserve">Dotykový displej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A7C29" w14:textId="207D80C6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3AA7EAEE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3E778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Elektrické topení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C2582" w14:textId="09C1EBB3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23BBC320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C8C38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Uzavřený úložný prostor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E85B1" w14:textId="6F7BD53E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21716198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64C9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Parkovací kamera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6C02" w14:textId="7CB09398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69032E47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C808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Posilovač řízení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5DCB" w14:textId="1D1B39F6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3ECE0EA6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4B9C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Dřevěná podlaha s oky na uchycení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90E15" w14:textId="388B6311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210AA618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DA0A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Zvuková signalizace couvání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E47F" w14:textId="56644EB4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18581B93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A4E9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Zábleskový LED maják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9AE7F" w14:textId="612C2CD3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ano</w:t>
            </w:r>
          </w:p>
        </w:tc>
      </w:tr>
      <w:tr w:rsidR="00C47614" w:rsidRPr="00B41A9F" w14:paraId="1C4DD984" w14:textId="77777777" w:rsidTr="00C47614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69D4A" w14:textId="77777777" w:rsidR="00C47614" w:rsidRPr="00B41A9F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szCs w:val="22"/>
              </w:rPr>
            </w:pPr>
            <w:r w:rsidRPr="00B41A9F">
              <w:rPr>
                <w:rFonts w:ascii="Arial" w:hAnsi="Arial" w:cs="Arial"/>
                <w:szCs w:val="22"/>
              </w:rPr>
              <w:t>Kategorie vozidla L7e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E0D37" w14:textId="0E7BD939" w:rsidR="00C47614" w:rsidRPr="00040B3D" w:rsidRDefault="00040B3D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040B3D">
              <w:rPr>
                <w:rFonts w:ascii="Arial" w:hAnsi="Arial" w:cs="Arial"/>
              </w:rPr>
              <w:t>L7E-CU</w:t>
            </w:r>
          </w:p>
        </w:tc>
      </w:tr>
      <w:tr w:rsidR="00C47614" w:rsidRPr="00C47614" w14:paraId="3F04BED1" w14:textId="77777777" w:rsidTr="00040B3D">
        <w:trPr>
          <w:cantSplit/>
          <w:trHeight w:val="330"/>
          <w:jc w:val="center"/>
        </w:trPr>
        <w:tc>
          <w:tcPr>
            <w:tcW w:w="4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E4AF5" w14:textId="77777777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Ložná plocha (</w:t>
            </w:r>
            <w:proofErr w:type="spellStart"/>
            <w:r w:rsidRPr="00C47614">
              <w:rPr>
                <w:rFonts w:ascii="Arial" w:hAnsi="Arial" w:cs="Arial"/>
                <w:color w:val="auto"/>
                <w:szCs w:val="22"/>
              </w:rPr>
              <w:t>DxŠxV</w:t>
            </w:r>
            <w:proofErr w:type="spellEnd"/>
            <w:r w:rsidRPr="00C47614">
              <w:rPr>
                <w:rFonts w:ascii="Arial" w:hAnsi="Arial" w:cs="Arial"/>
                <w:color w:val="auto"/>
                <w:szCs w:val="22"/>
              </w:rPr>
              <w:t>)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B74D" w14:textId="5C04CB25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1620x1245x300 mm</w:t>
            </w:r>
          </w:p>
        </w:tc>
      </w:tr>
      <w:tr w:rsidR="00C47614" w:rsidRPr="00C47614" w14:paraId="3CACABF3" w14:textId="77777777" w:rsidTr="00040B3D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93A75" w14:textId="77777777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Záruční doba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E4F15" w14:textId="1BC11538" w:rsidR="00C47614" w:rsidRPr="00C47614" w:rsidRDefault="00C47614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  <w:highlight w:val="yellow"/>
              </w:rPr>
            </w:pPr>
            <w:r w:rsidRPr="00C47614">
              <w:rPr>
                <w:rFonts w:ascii="Arial" w:hAnsi="Arial" w:cs="Arial"/>
                <w:color w:val="auto"/>
                <w:szCs w:val="22"/>
              </w:rPr>
              <w:t>12 měsíců</w:t>
            </w:r>
          </w:p>
        </w:tc>
      </w:tr>
      <w:tr w:rsidR="00EF03CA" w:rsidRPr="00C47614" w14:paraId="0ED7B8CC" w14:textId="77777777" w:rsidTr="00040B3D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F1973" w14:textId="18FD4D68" w:rsidR="00EF03CA" w:rsidRPr="00C47614" w:rsidRDefault="00EF03CA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Barva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02F69" w14:textId="488F5716" w:rsidR="00EF03CA" w:rsidRPr="00C47614" w:rsidRDefault="00EF03CA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bílá</w:t>
            </w:r>
          </w:p>
        </w:tc>
      </w:tr>
      <w:tr w:rsidR="00040B3D" w:rsidRPr="00C47614" w14:paraId="090311DB" w14:textId="77777777" w:rsidTr="00040B3D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6A715" w14:textId="43140BE4" w:rsidR="00040B3D" w:rsidRPr="00C47614" w:rsidRDefault="00040B3D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Brzdy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4A8F9" w14:textId="4D61782B" w:rsidR="00040B3D" w:rsidRPr="00C47614" w:rsidRDefault="00040B3D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přední kotoučové / zadní buben</w:t>
            </w:r>
          </w:p>
        </w:tc>
      </w:tr>
      <w:tr w:rsidR="00040B3D" w:rsidRPr="00C47614" w14:paraId="451456E6" w14:textId="77777777" w:rsidTr="00EF03CA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6B243" w14:textId="6BAE0886" w:rsidR="00040B3D" w:rsidRDefault="00040B3D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Baterie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1BFB5" w14:textId="4DE0A674" w:rsidR="00040B3D" w:rsidRDefault="00040B3D" w:rsidP="00040B3D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Lithium - 20 kW s nabíječkou</w:t>
            </w:r>
          </w:p>
        </w:tc>
      </w:tr>
      <w:tr w:rsidR="00EF03CA" w:rsidRPr="00C47614" w14:paraId="24F0ACCA" w14:textId="77777777" w:rsidTr="00040B3D">
        <w:trPr>
          <w:cantSplit/>
          <w:trHeight w:val="33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CE308" w14:textId="61670CBE" w:rsidR="00EF03CA" w:rsidRDefault="00EF03CA" w:rsidP="00C47614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Vybavení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E6E77" w14:textId="773038B2" w:rsidR="00EF03CA" w:rsidRDefault="00EF03CA" w:rsidP="00040B3D">
            <w:pPr>
              <w:pStyle w:val="Mkatabulky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7“ displej, rádio s 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bluetooth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 xml:space="preserve"> a USB, držák na mobilní telefon + USB nabíječka, uzamykatelný prostor pod kapotou, ventilace a topení</w:t>
            </w:r>
          </w:p>
        </w:tc>
      </w:tr>
    </w:tbl>
    <w:p w14:paraId="3F806710" w14:textId="77777777" w:rsidR="00A05D45" w:rsidRDefault="00A05D45" w:rsidP="00094B12">
      <w:pPr>
        <w:ind w:left="284" w:hanging="5"/>
      </w:pPr>
    </w:p>
    <w:p w14:paraId="23CB5D42" w14:textId="77777777" w:rsidR="005D1FAE" w:rsidRDefault="005D1FAE" w:rsidP="00094B12">
      <w:pPr>
        <w:ind w:left="284" w:hanging="5"/>
        <w:sectPr w:rsidR="005D1FAE" w:rsidSect="00D071E8">
          <w:footerReference w:type="default" r:id="rId13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537A384" w14:textId="6C6CE149" w:rsidR="00C47614" w:rsidRDefault="005D1FAE" w:rsidP="00094B12">
      <w:pPr>
        <w:ind w:left="284" w:hanging="5"/>
        <w:rPr>
          <w:b/>
        </w:rPr>
      </w:pPr>
      <w:r w:rsidRPr="005D1FAE">
        <w:rPr>
          <w:b/>
        </w:rPr>
        <w:lastRenderedPageBreak/>
        <w:t xml:space="preserve">Příloha </w:t>
      </w:r>
      <w:proofErr w:type="gramStart"/>
      <w:r w:rsidRPr="005D1FAE">
        <w:rPr>
          <w:b/>
        </w:rPr>
        <w:t>č. 2</w:t>
      </w:r>
      <w:r>
        <w:rPr>
          <w:b/>
        </w:rPr>
        <w:t xml:space="preserve"> </w:t>
      </w:r>
      <w:r w:rsidRPr="005D1FAE">
        <w:rPr>
          <w:b/>
        </w:rPr>
        <w:t xml:space="preserve"> </w:t>
      </w:r>
      <w:r>
        <w:rPr>
          <w:b/>
        </w:rPr>
        <w:t xml:space="preserve"> </w:t>
      </w:r>
      <w:r w:rsidRPr="005D1FAE">
        <w:rPr>
          <w:b/>
        </w:rPr>
        <w:t>Nabídka</w:t>
      </w:r>
      <w:proofErr w:type="gramEnd"/>
      <w:r w:rsidRPr="005D1FAE">
        <w:rPr>
          <w:b/>
        </w:rPr>
        <w:t xml:space="preserve"> předložená do Veřejné zakázky</w:t>
      </w:r>
    </w:p>
    <w:p w14:paraId="323AA809" w14:textId="77777777" w:rsidR="005D1FAE" w:rsidRPr="006F4920" w:rsidRDefault="005D1FAE" w:rsidP="005D1FAE">
      <w:pPr>
        <w:keepNext/>
        <w:tabs>
          <w:tab w:val="num" w:pos="0"/>
          <w:tab w:val="left" w:pos="2160"/>
          <w:tab w:val="left" w:pos="5220"/>
          <w:tab w:val="left" w:pos="7740"/>
          <w:tab w:val="left" w:pos="8100"/>
        </w:tabs>
        <w:suppressAutoHyphens/>
        <w:jc w:val="center"/>
        <w:outlineLvl w:val="0"/>
        <w:rPr>
          <w:rFonts w:asciiTheme="minorHAnsi" w:hAnsiTheme="minorHAnsi" w:cstheme="minorHAnsi"/>
          <w:b/>
          <w:bCs/>
          <w:sz w:val="40"/>
          <w:szCs w:val="40"/>
          <w:lang w:eastAsia="ar-SA"/>
        </w:rPr>
      </w:pPr>
      <w:r w:rsidRPr="00974DEF">
        <w:rPr>
          <w:rFonts w:asciiTheme="minorHAnsi" w:hAnsiTheme="minorHAnsi" w:cstheme="minorHAnsi"/>
          <w:b/>
          <w:bCs/>
          <w:sz w:val="40"/>
          <w:szCs w:val="40"/>
          <w:lang w:eastAsia="ar-SA"/>
        </w:rPr>
        <w:t xml:space="preserve">Elektromobil </w:t>
      </w:r>
      <w:proofErr w:type="spellStart"/>
      <w:r w:rsidRPr="00974DEF">
        <w:rPr>
          <w:rFonts w:asciiTheme="minorHAnsi" w:hAnsiTheme="minorHAnsi" w:cstheme="minorHAnsi"/>
          <w:b/>
          <w:bCs/>
          <w:sz w:val="40"/>
          <w:szCs w:val="40"/>
          <w:lang w:eastAsia="ar-SA"/>
        </w:rPr>
        <w:t>Pickman</w:t>
      </w:r>
      <w:proofErr w:type="spellEnd"/>
    </w:p>
    <w:p w14:paraId="0AEA468C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8A12699" w14:textId="77777777" w:rsidR="005D1FAE" w:rsidRPr="00F86193" w:rsidRDefault="005D1FAE" w:rsidP="005D1FAE">
      <w:pPr>
        <w:rPr>
          <w:rFonts w:asciiTheme="minorHAnsi" w:hAnsiTheme="minorHAnsi" w:cstheme="minorHAnsi"/>
        </w:rPr>
      </w:pPr>
      <w:r w:rsidRPr="00F86193">
        <w:rPr>
          <w:rFonts w:asciiTheme="minorHAnsi" w:hAnsiTheme="minorHAnsi" w:cstheme="minorHAnsi"/>
        </w:rPr>
        <w:t xml:space="preserve">Nabídka zpracovaná pro: </w:t>
      </w:r>
    </w:p>
    <w:tbl>
      <w:tblPr>
        <w:tblStyle w:val="Mkatabulky"/>
        <w:tblpPr w:leftFromText="141" w:rightFromText="141" w:vertAnchor="page" w:horzAnchor="margin" w:tblpY="249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2"/>
      </w:tblGrid>
      <w:tr w:rsidR="005D1FAE" w14:paraId="752A4492" w14:textId="77777777" w:rsidTr="005D1FAE">
        <w:trPr>
          <w:trHeight w:val="395"/>
        </w:trPr>
        <w:tc>
          <w:tcPr>
            <w:tcW w:w="4872" w:type="dxa"/>
          </w:tcPr>
          <w:p w14:paraId="248AA009" w14:textId="7C98C6B3" w:rsidR="005D1FAE" w:rsidRPr="00974DEF" w:rsidRDefault="005D1FAE" w:rsidP="00F857F7">
            <w:pPr>
              <w:keepNext/>
              <w:tabs>
                <w:tab w:val="num" w:pos="0"/>
                <w:tab w:val="left" w:pos="2160"/>
                <w:tab w:val="left" w:pos="5220"/>
                <w:tab w:val="left" w:pos="7740"/>
                <w:tab w:val="left" w:pos="8100"/>
              </w:tabs>
              <w:suppressAutoHyphens/>
              <w:outlineLvl w:val="0"/>
              <w:rPr>
                <w:rFonts w:asciiTheme="minorHAnsi" w:hAnsiTheme="minorHAnsi" w:cstheme="minorHAnsi"/>
                <w:lang w:eastAsia="ar-SA"/>
              </w:rPr>
            </w:pPr>
            <w:r w:rsidRPr="00974DEF">
              <w:rPr>
                <w:rFonts w:asciiTheme="minorHAnsi" w:hAnsiTheme="minorHAnsi" w:cstheme="minorHAnsi"/>
                <w:b/>
                <w:bCs/>
                <w:lang w:eastAsia="ar-SA"/>
              </w:rPr>
              <w:t>Zákazník: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974DEF">
              <w:rPr>
                <w:rFonts w:asciiTheme="minorHAnsi" w:hAnsiTheme="minorHAnsi" w:cstheme="minorHAnsi"/>
                <w:lang w:eastAsia="ar-SA"/>
              </w:rPr>
              <w:t xml:space="preserve"> </w:t>
            </w:r>
            <w:r>
              <w:t xml:space="preserve"> </w:t>
            </w:r>
          </w:p>
        </w:tc>
      </w:tr>
      <w:tr w:rsidR="005D1FAE" w14:paraId="0FF33B13" w14:textId="77777777" w:rsidTr="005D1FAE">
        <w:trPr>
          <w:trHeight w:val="395"/>
        </w:trPr>
        <w:tc>
          <w:tcPr>
            <w:tcW w:w="4872" w:type="dxa"/>
          </w:tcPr>
          <w:p w14:paraId="719583EE" w14:textId="286873CE" w:rsidR="005D1FAE" w:rsidRPr="003652F4" w:rsidRDefault="005D1FAE" w:rsidP="00F857F7">
            <w:pPr>
              <w:keepNext/>
              <w:tabs>
                <w:tab w:val="num" w:pos="0"/>
                <w:tab w:val="left" w:pos="2160"/>
                <w:tab w:val="left" w:pos="5220"/>
                <w:tab w:val="left" w:pos="7740"/>
                <w:tab w:val="left" w:pos="8100"/>
              </w:tabs>
              <w:suppressAutoHyphens/>
              <w:outlineLvl w:val="0"/>
              <w:rPr>
                <w:rFonts w:asciiTheme="minorHAnsi" w:hAnsiTheme="minorHAnsi" w:cstheme="minorHAnsi"/>
                <w:lang w:eastAsia="ar-SA"/>
              </w:rPr>
            </w:pPr>
            <w:r w:rsidRPr="00974DEF">
              <w:rPr>
                <w:rFonts w:asciiTheme="minorHAnsi" w:hAnsiTheme="minorHAnsi" w:cstheme="minorHAnsi"/>
                <w:b/>
                <w:bCs/>
                <w:lang w:eastAsia="ar-SA"/>
              </w:rPr>
              <w:t>Telefon:</w:t>
            </w:r>
            <w:r w:rsidRPr="003652F4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974DEF">
              <w:rPr>
                <w:rFonts w:asciiTheme="minorHAnsi" w:hAnsiTheme="minorHAnsi" w:cstheme="minorHAnsi"/>
                <w:lang w:eastAsia="ar-SA"/>
              </w:rPr>
              <w:t xml:space="preserve">  </w:t>
            </w:r>
            <w:r>
              <w:rPr>
                <w:rFonts w:asciiTheme="minorHAnsi" w:hAnsiTheme="minorHAnsi" w:cstheme="minorHAnsi"/>
                <w:lang w:eastAsia="ar-SA"/>
              </w:rPr>
              <w:t xml:space="preserve"> </w:t>
            </w:r>
          </w:p>
        </w:tc>
      </w:tr>
      <w:tr w:rsidR="005D1FAE" w:rsidRPr="00173107" w14:paraId="5AF216D7" w14:textId="77777777" w:rsidTr="005D1FAE">
        <w:trPr>
          <w:trHeight w:val="395"/>
        </w:trPr>
        <w:tc>
          <w:tcPr>
            <w:tcW w:w="4872" w:type="dxa"/>
          </w:tcPr>
          <w:p w14:paraId="012DF3E4" w14:textId="72B9A9D4" w:rsidR="005D1FAE" w:rsidRPr="003652F4" w:rsidRDefault="005D1FAE" w:rsidP="00F857F7">
            <w:pPr>
              <w:keepNext/>
              <w:tabs>
                <w:tab w:val="num" w:pos="0"/>
                <w:tab w:val="left" w:pos="2160"/>
                <w:tab w:val="left" w:pos="5220"/>
                <w:tab w:val="left" w:pos="7740"/>
                <w:tab w:val="left" w:pos="8100"/>
              </w:tabs>
              <w:suppressAutoHyphens/>
              <w:outlineLvl w:val="0"/>
              <w:rPr>
                <w:rFonts w:asciiTheme="minorHAnsi" w:hAnsiTheme="minorHAnsi" w:cstheme="minorHAnsi"/>
                <w:lang w:eastAsia="ar-SA"/>
              </w:rPr>
            </w:pPr>
            <w:r w:rsidRPr="00974DEF">
              <w:rPr>
                <w:rFonts w:asciiTheme="minorHAnsi" w:hAnsiTheme="minorHAnsi" w:cstheme="minorHAnsi"/>
                <w:b/>
                <w:bCs/>
                <w:lang w:eastAsia="ar-SA"/>
              </w:rPr>
              <w:t>E-mail:</w:t>
            </w:r>
            <w:r w:rsidRPr="003652F4">
              <w:rPr>
                <w:rFonts w:asciiTheme="minorHAnsi" w:hAnsiTheme="minorHAnsi" w:cstheme="minorHAnsi"/>
                <w:lang w:eastAsia="ar-SA"/>
              </w:rPr>
              <w:t xml:space="preserve"> </w:t>
            </w:r>
            <w:r w:rsidRPr="00974DEF">
              <w:rPr>
                <w:rFonts w:asciiTheme="minorHAnsi" w:hAnsiTheme="minorHAnsi" w:cstheme="minorHAnsi"/>
                <w:lang w:eastAsia="ar-SA"/>
              </w:rPr>
              <w:t xml:space="preserve"> </w:t>
            </w:r>
            <w:r>
              <w:rPr>
                <w:rFonts w:asciiTheme="minorHAnsi" w:hAnsiTheme="minorHAnsi" w:cstheme="minorHAnsi"/>
                <w:lang w:eastAsia="ar-SA"/>
              </w:rPr>
              <w:t xml:space="preserve">     </w:t>
            </w:r>
            <w:bookmarkStart w:id="5" w:name="_GoBack"/>
            <w:bookmarkEnd w:id="5"/>
          </w:p>
        </w:tc>
      </w:tr>
    </w:tbl>
    <w:p w14:paraId="3952AF32" w14:textId="77777777" w:rsidR="005D1FAE" w:rsidRDefault="005D1FAE" w:rsidP="005D1FAE">
      <w:pPr>
        <w:rPr>
          <w:rFonts w:asciiTheme="minorHAnsi" w:hAnsiTheme="minorHAnsi" w:cstheme="minorHAnsi"/>
          <w:noProof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9264" behindDoc="0" locked="0" layoutInCell="1" allowOverlap="1" wp14:anchorId="23275FCB" wp14:editId="3892B421">
            <wp:simplePos x="0" y="0"/>
            <wp:positionH relativeFrom="margin">
              <wp:posOffset>3737610</wp:posOffset>
            </wp:positionH>
            <wp:positionV relativeFrom="paragraph">
              <wp:posOffset>52070</wp:posOffset>
            </wp:positionV>
            <wp:extent cx="2133600" cy="758190"/>
            <wp:effectExtent l="0" t="0" r="0" b="3810"/>
            <wp:wrapNone/>
            <wp:docPr id="1750365959" name="Obrázek 1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65959" name="Obrázek 1" descr="Obsah obrázku text, Písmo, logo, Grafika&#10;&#10;Popis byl vytvořen automaticky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17F56B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t xml:space="preserve">                                </w:t>
      </w:r>
    </w:p>
    <w:p w14:paraId="162EE510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20164C77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128026CF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95D81CE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734994EC" w14:textId="55AC1BA9" w:rsidR="005D1FAE" w:rsidRDefault="005D1FAE" w:rsidP="005D1FAE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60288" behindDoc="0" locked="0" layoutInCell="1" allowOverlap="1" wp14:anchorId="6F153778" wp14:editId="33587BBB">
            <wp:simplePos x="0" y="0"/>
            <wp:positionH relativeFrom="column">
              <wp:posOffset>-1347470</wp:posOffset>
            </wp:positionH>
            <wp:positionV relativeFrom="paragraph">
              <wp:posOffset>289560</wp:posOffset>
            </wp:positionV>
            <wp:extent cx="8410575" cy="4465310"/>
            <wp:effectExtent l="0" t="0" r="0" b="0"/>
            <wp:wrapNone/>
            <wp:docPr id="519813972" name="Obrázek 2" descr="Obsah obrázku pneumatika, vozidlo, kolo, nárazní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813972" name="Obrázek 2" descr="Obsah obrázku pneumatika, vozidlo, kolo, nárazník&#10;&#10;Popis byl vytvořen automaticky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0575" cy="446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8E320D0" w14:textId="0BEEC761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C6EA7CC" w14:textId="5E5C26C1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C282DF3" w14:textId="26912DF0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C77B265" w14:textId="41D2F920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7703B4EA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440683F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15EC20D1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1EB3A2EE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C7E565B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45C3CF5A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03F697ED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262F059D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74F71972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46981A35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4323D64" w14:textId="2B35A550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266A12E0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4E62E448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42DC6DE1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1D7034C5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74A52FD9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00298036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3284C24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4BFDE795" w14:textId="28B971F6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D55B1D9" w14:textId="14C31D75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1C4DCE33" w14:textId="6FEC32F2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36B6580" w14:textId="5A21B571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5A3A9700" w14:textId="57BA72A2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26CC8C44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66AA1392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25BDBD14" w14:textId="77777777" w:rsidR="005D1FAE" w:rsidRDefault="005D1FAE" w:rsidP="005D1FAE">
      <w:pPr>
        <w:rPr>
          <w:rFonts w:asciiTheme="minorHAnsi" w:hAnsiTheme="minorHAnsi" w:cstheme="minorHAnsi"/>
          <w:sz w:val="28"/>
        </w:rPr>
      </w:pPr>
    </w:p>
    <w:p w14:paraId="0B65352E" w14:textId="480F6A88" w:rsidR="005D1FAE" w:rsidRDefault="005D1FAE" w:rsidP="005D1FAE">
      <w:pPr>
        <w:rPr>
          <w:rFonts w:asciiTheme="minorHAnsi" w:hAnsiTheme="minorHAnsi" w:cstheme="minorHAnsi"/>
          <w:sz w:val="28"/>
        </w:rPr>
      </w:pPr>
    </w:p>
    <w:tbl>
      <w:tblPr>
        <w:tblStyle w:val="Mkatabulky3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5D1FAE" w:rsidRPr="005D1FAE" w14:paraId="122A013E" w14:textId="77777777" w:rsidTr="005D1FAE">
        <w:trPr>
          <w:trHeight w:val="57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/>
            <w:vAlign w:val="center"/>
            <w:hideMark/>
          </w:tcPr>
          <w:p w14:paraId="61FBC10D" w14:textId="77777777" w:rsidR="005D1FAE" w:rsidRPr="005D1FAE" w:rsidRDefault="005D1FAE" w:rsidP="005D1FAE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color w:val="FFFFFF"/>
                <w:sz w:val="18"/>
                <w:szCs w:val="18"/>
              </w:rPr>
            </w:pPr>
            <w:r w:rsidRPr="005D1FAE">
              <w:rPr>
                <w:rFonts w:ascii="Tahoma" w:hAnsi="Tahoma" w:cs="Tahoma"/>
                <w:color w:val="FFFFFF"/>
                <w:sz w:val="18"/>
                <w:szCs w:val="18"/>
              </w:rPr>
              <w:t>Technické údaje</w:t>
            </w:r>
          </w:p>
        </w:tc>
      </w:tr>
      <w:tr w:rsidR="005D1FAE" w:rsidRPr="005D1FAE" w14:paraId="068167D0" w14:textId="77777777" w:rsidTr="005D1FAE">
        <w:trPr>
          <w:trHeight w:val="41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E621D" w14:textId="77777777" w:rsidR="005D1FAE" w:rsidRPr="005D1FAE" w:rsidRDefault="005D1FAE" w:rsidP="005D1FAE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</w:p>
          <w:p w14:paraId="3B86F463" w14:textId="77777777" w:rsidR="005D1FAE" w:rsidRPr="005D1FAE" w:rsidRDefault="005D1FAE" w:rsidP="005D1FAE">
            <w:pPr>
              <w:widowControl w:val="0"/>
              <w:numPr>
                <w:ilvl w:val="0"/>
                <w:numId w:val="16"/>
              </w:numPr>
              <w:spacing w:after="60" w:line="240" w:lineRule="auto"/>
              <w:jc w:val="left"/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  <w:t>OBECNÉ</w:t>
            </w:r>
          </w:p>
          <w:p w14:paraId="435A4B90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KATEGORIE VOZIDLA L7E-CU (MALÁ UŽITKOVÁ)</w:t>
            </w:r>
          </w:p>
          <w:p w14:paraId="7A11A5BB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COC DOKUMENTACE K HOMOLOGACI</w:t>
            </w:r>
          </w:p>
          <w:p w14:paraId="120FEFA5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SERVISNÍ MANUÁL</w:t>
            </w:r>
          </w:p>
          <w:p w14:paraId="08695866" w14:textId="77777777" w:rsidR="005D1FAE" w:rsidRPr="005D1FAE" w:rsidRDefault="005D1FAE" w:rsidP="005D1FAE">
            <w:pPr>
              <w:widowControl w:val="0"/>
              <w:numPr>
                <w:ilvl w:val="0"/>
                <w:numId w:val="16"/>
              </w:numPr>
              <w:spacing w:after="60" w:line="240" w:lineRule="auto"/>
              <w:jc w:val="left"/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  <w:t>ROZMĚRY</w:t>
            </w:r>
          </w:p>
          <w:p w14:paraId="4C70F129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CELKOVÁ DÉLKA 3 570 mm</w:t>
            </w:r>
          </w:p>
          <w:p w14:paraId="23E07CE6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CELKOVÁ ŠÍŘKA 1 375 mm</w:t>
            </w:r>
          </w:p>
          <w:p w14:paraId="76245692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CELKOVÁ VÝŠKA 1.550mm</w:t>
            </w:r>
          </w:p>
          <w:p w14:paraId="6B1A2921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LOŽNÁ PLOCHA (</w:t>
            </w:r>
            <w:proofErr w:type="spellStart"/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DxŠxV</w:t>
            </w:r>
            <w:proofErr w:type="spellEnd"/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) 1.620x1.245x300 mm</w:t>
            </w:r>
          </w:p>
          <w:p w14:paraId="65A8CE32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ROZVOR 2 310 mm</w:t>
            </w:r>
          </w:p>
          <w:p w14:paraId="17FB5412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PROVOZNÍ HMOTNOST 530 kg</w:t>
            </w:r>
          </w:p>
          <w:p w14:paraId="1FD4EC57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NOSNOST 660 kg</w:t>
            </w:r>
          </w:p>
          <w:p w14:paraId="467B891E" w14:textId="77777777" w:rsidR="005D1FAE" w:rsidRPr="005D1FAE" w:rsidRDefault="005D1FAE" w:rsidP="005D1FAE">
            <w:pPr>
              <w:widowControl w:val="0"/>
              <w:numPr>
                <w:ilvl w:val="0"/>
                <w:numId w:val="16"/>
              </w:numPr>
              <w:spacing w:after="60" w:line="240" w:lineRule="auto"/>
              <w:jc w:val="left"/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  <w:t>VÝKON</w:t>
            </w:r>
          </w:p>
          <w:p w14:paraId="0C4810A1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HNACÍ MOTOR AC, VÝKON 4 KW</w:t>
            </w:r>
          </w:p>
          <w:p w14:paraId="43B2A3F7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POHON ZADNÍCH KOL</w:t>
            </w:r>
          </w:p>
          <w:p w14:paraId="37490C67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BATERIE LITHIUM – 20kW S NABÍJEČKOU</w:t>
            </w:r>
          </w:p>
          <w:p w14:paraId="086DA4D0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MAXIMÁLNÍ RYCHLOST 50 km/h</w:t>
            </w:r>
          </w:p>
          <w:p w14:paraId="7158676C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DOJEZD 100 km</w:t>
            </w:r>
          </w:p>
          <w:p w14:paraId="67848C59" w14:textId="77777777" w:rsidR="005D1FAE" w:rsidRPr="005D1FAE" w:rsidRDefault="005D1FAE" w:rsidP="005D1FAE">
            <w:pPr>
              <w:widowControl w:val="0"/>
              <w:numPr>
                <w:ilvl w:val="0"/>
                <w:numId w:val="16"/>
              </w:numPr>
              <w:spacing w:after="60" w:line="240" w:lineRule="auto"/>
              <w:jc w:val="left"/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  <w:t>BRZDY, PÉROVÁNÍ A ŘÍZENÍ</w:t>
            </w:r>
          </w:p>
          <w:p w14:paraId="630924BF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BRZDY (PŘEDNÍ) KOTOUČOVÉ / (ZADNÍ) BUBEN</w:t>
            </w:r>
          </w:p>
          <w:p w14:paraId="70D39B3C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RUČNÍ OVLÁDÁNÍ PARKOVACÍ BRZDY</w:t>
            </w:r>
          </w:p>
          <w:p w14:paraId="00F74390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POSILOVAČ ŘÍZENÍ</w:t>
            </w:r>
          </w:p>
          <w:p w14:paraId="28E79B0B" w14:textId="77777777" w:rsidR="005D1FAE" w:rsidRPr="005D1FAE" w:rsidRDefault="005D1FAE" w:rsidP="005D1FAE">
            <w:pPr>
              <w:spacing w:line="240" w:lineRule="auto"/>
              <w:rPr>
                <w:rFonts w:ascii="Tahoma" w:hAnsi="Tahoma" w:cs="Tahoma"/>
                <w:b/>
                <w:sz w:val="18"/>
                <w:szCs w:val="18"/>
                <w:u w:val="single"/>
                <w:lang w:eastAsia="cs-CZ"/>
              </w:rPr>
            </w:pPr>
            <w:r w:rsidRPr="005D1FA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PNEUMATIKY 145 R12</w:t>
            </w:r>
          </w:p>
          <w:p w14:paraId="5833C385" w14:textId="77777777" w:rsidR="005D1FAE" w:rsidRPr="005D1FAE" w:rsidRDefault="005D1FAE" w:rsidP="005D1FAE">
            <w:pPr>
              <w:numPr>
                <w:ilvl w:val="0"/>
                <w:numId w:val="16"/>
              </w:numPr>
              <w:spacing w:line="240" w:lineRule="auto"/>
              <w:jc w:val="left"/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/>
                <w:sz w:val="18"/>
                <w:szCs w:val="18"/>
                <w:u w:val="single"/>
                <w:lang w:val="en-US" w:eastAsia="cs-CZ"/>
              </w:rPr>
              <w:t>VYBAVENÍ</w:t>
            </w:r>
          </w:p>
          <w:p w14:paraId="54E0B871" w14:textId="77777777" w:rsidR="005D1FAE" w:rsidRPr="005D1FAE" w:rsidRDefault="005D1FAE" w:rsidP="005D1FAE">
            <w:pPr>
              <w:spacing w:line="240" w:lineRule="auto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5D1FA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 xml:space="preserve">2 SEDADLA </w:t>
            </w:r>
          </w:p>
          <w:p w14:paraId="4C10B798" w14:textId="77777777" w:rsidR="005D1FAE" w:rsidRPr="005D1FAE" w:rsidRDefault="005D1FAE" w:rsidP="005D1FAE">
            <w:pPr>
              <w:spacing w:line="240" w:lineRule="auto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5D1FA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7“ DOTYKOVÝ DISPLEJ</w:t>
            </w:r>
          </w:p>
          <w:p w14:paraId="38601551" w14:textId="77777777" w:rsidR="005D1FAE" w:rsidRPr="005D1FAE" w:rsidRDefault="005D1FAE" w:rsidP="005D1FAE">
            <w:pPr>
              <w:spacing w:line="240" w:lineRule="auto"/>
              <w:rPr>
                <w:rFonts w:ascii="Tahoma" w:hAnsi="Tahoma" w:cs="Tahoma"/>
                <w:bCs/>
                <w:sz w:val="18"/>
                <w:szCs w:val="18"/>
                <w:lang w:eastAsia="cs-CZ"/>
              </w:rPr>
            </w:pPr>
            <w:r w:rsidRPr="005D1FAE">
              <w:rPr>
                <w:rFonts w:ascii="Tahoma" w:hAnsi="Tahoma" w:cs="Tahoma"/>
                <w:bCs/>
                <w:sz w:val="18"/>
                <w:szCs w:val="18"/>
                <w:lang w:eastAsia="cs-CZ"/>
              </w:rPr>
              <w:t>PARKOVACÍ KAMERA</w:t>
            </w:r>
          </w:p>
          <w:p w14:paraId="591E88C2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RÁDIO S BLUETOOTH A USB</w:t>
            </w:r>
          </w:p>
          <w:p w14:paraId="03716D7F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DRŽÁK NA MOBILNÍ TELEFON + USB NABÍJEČKA</w:t>
            </w:r>
          </w:p>
          <w:p w14:paraId="31824DA5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UZAMYKATELNÝ PROSTOR POD KAPOTOU</w:t>
            </w:r>
          </w:p>
          <w:p w14:paraId="6EE988BB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VENTILACE A TOPENÍ</w:t>
            </w:r>
          </w:p>
          <w:p w14:paraId="102F6D51" w14:textId="77777777" w:rsidR="005D1FAE" w:rsidRPr="005D1FAE" w:rsidRDefault="005D1FAE" w:rsidP="005D1FAE">
            <w:pPr>
              <w:widowControl w:val="0"/>
              <w:spacing w:after="60" w:line="240" w:lineRule="auto"/>
              <w:jc w:val="left"/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</w:pPr>
            <w:r w:rsidRPr="005D1FAE">
              <w:rPr>
                <w:rFonts w:ascii="Tahoma" w:eastAsia="Calibri" w:hAnsi="Tahoma" w:cs="Tahoma"/>
                <w:bCs/>
                <w:sz w:val="18"/>
                <w:szCs w:val="18"/>
                <w:lang w:val="en-US" w:eastAsia="cs-CZ"/>
              </w:rPr>
              <w:t>VÝBĚR BARVY ZDARMA - ČERVENÁ, ZELENÁ, MODRÁ, STŘÍBRNÁ, BÍLÁ, ČERNÁ</w:t>
            </w:r>
          </w:p>
        </w:tc>
      </w:tr>
    </w:tbl>
    <w:p w14:paraId="1276C664" w14:textId="00BFD2D9" w:rsidR="005D1FAE" w:rsidRDefault="005D1FAE" w:rsidP="005D1FAE">
      <w:pPr>
        <w:rPr>
          <w:noProof/>
        </w:rPr>
      </w:pPr>
    </w:p>
    <w:p w14:paraId="14255E34" w14:textId="77777777" w:rsidR="005D1FAE" w:rsidRPr="005D1FAE" w:rsidRDefault="005D1FAE" w:rsidP="005D1FAE">
      <w:pPr>
        <w:suppressAutoHyphens/>
        <w:spacing w:line="240" w:lineRule="auto"/>
        <w:rPr>
          <w:rFonts w:ascii="Tahoma" w:hAnsi="Tahoma" w:cs="Tahoma"/>
          <w:b/>
          <w:color w:val="000000"/>
          <w:sz w:val="24"/>
          <w:szCs w:val="24"/>
          <w:lang w:eastAsia="ar-SA"/>
        </w:rPr>
      </w:pPr>
    </w:p>
    <w:p w14:paraId="789BA02B" w14:textId="77777777" w:rsidR="005D1FAE" w:rsidRPr="005D1FAE" w:rsidRDefault="005D1FAE" w:rsidP="005D1FAE">
      <w:pPr>
        <w:suppressAutoHyphens/>
        <w:spacing w:line="240" w:lineRule="auto"/>
        <w:ind w:hanging="567"/>
        <w:rPr>
          <w:rFonts w:ascii="Tahoma" w:hAnsi="Tahoma" w:cs="Tahoma"/>
          <w:b/>
          <w:color w:val="000000"/>
          <w:lang w:eastAsia="ar-SA"/>
        </w:rPr>
      </w:pPr>
      <w:bookmarkStart w:id="6" w:name="_Hlk84594823"/>
      <w:r w:rsidRPr="005D1FAE">
        <w:rPr>
          <w:rFonts w:ascii="Calibri" w:hAnsi="Calibri" w:cs="Calibri"/>
          <w:color w:val="538135"/>
          <w:sz w:val="32"/>
          <w:szCs w:val="32"/>
          <w:lang w:eastAsia="ar-SA"/>
        </w:rPr>
        <w:t>NABÍDKOVÁ CENA</w:t>
      </w:r>
      <w:bookmarkEnd w:id="6"/>
      <w:r w:rsidRPr="005D1FAE">
        <w:rPr>
          <w:rFonts w:ascii="Calibri" w:hAnsi="Calibri" w:cs="Calibri"/>
          <w:color w:val="538135"/>
          <w:sz w:val="32"/>
          <w:szCs w:val="32"/>
          <w:lang w:eastAsia="ar-SA"/>
        </w:rPr>
        <w:t xml:space="preserve"> – bez DPH</w:t>
      </w:r>
    </w:p>
    <w:p w14:paraId="055C8311" w14:textId="77777777" w:rsidR="005D1FAE" w:rsidRPr="005D1FAE" w:rsidRDefault="005D1FAE" w:rsidP="005D1FAE">
      <w:pPr>
        <w:widowControl w:val="0"/>
        <w:numPr>
          <w:ilvl w:val="0"/>
          <w:numId w:val="17"/>
        </w:numPr>
        <w:suppressAutoHyphens/>
        <w:spacing w:line="240" w:lineRule="auto"/>
        <w:jc w:val="left"/>
        <w:rPr>
          <w:rFonts w:ascii="Tahoma" w:eastAsia="Calibri" w:hAnsi="Tahoma" w:cs="Tahoma"/>
          <w:b/>
          <w:color w:val="000000"/>
          <w:lang w:val="en-US" w:eastAsia="ar-SA"/>
        </w:rPr>
      </w:pPr>
      <w:proofErr w:type="spellStart"/>
      <w:r w:rsidRPr="005D1FAE">
        <w:rPr>
          <w:rFonts w:ascii="Tahoma" w:eastAsia="Calibri" w:hAnsi="Tahoma" w:cs="Tahoma"/>
          <w:lang w:val="en-US" w:eastAsia="en-US"/>
        </w:rPr>
        <w:t>Pickman</w:t>
      </w:r>
      <w:proofErr w:type="spellEnd"/>
      <w:r w:rsidRPr="005D1FAE">
        <w:rPr>
          <w:rFonts w:ascii="Tahoma" w:eastAsia="Calibri" w:hAnsi="Tahoma" w:cs="Tahoma"/>
          <w:lang w:val="en-US" w:eastAsia="en-US"/>
        </w:rPr>
        <w:t xml:space="preserve"> (LiFePO4 </w:t>
      </w:r>
      <w:proofErr w:type="spellStart"/>
      <w:r w:rsidRPr="005D1FAE">
        <w:rPr>
          <w:rFonts w:ascii="Tahoma" w:eastAsia="Calibri" w:hAnsi="Tahoma" w:cs="Tahoma"/>
          <w:lang w:val="en-US" w:eastAsia="en-US"/>
        </w:rPr>
        <w:t>baterie</w:t>
      </w:r>
      <w:proofErr w:type="spellEnd"/>
      <w:r w:rsidRPr="005D1FAE">
        <w:rPr>
          <w:rFonts w:ascii="Tahoma" w:eastAsia="Calibri" w:hAnsi="Tahoma" w:cs="Tahoma"/>
          <w:lang w:val="en-US" w:eastAsia="en-US"/>
        </w:rPr>
        <w:t>) bez DPH</w:t>
      </w:r>
      <w:r w:rsidRPr="005D1FAE">
        <w:rPr>
          <w:rFonts w:ascii="Tahoma" w:eastAsia="Calibri" w:hAnsi="Tahoma" w:cs="Tahoma"/>
          <w:lang w:val="en-US" w:eastAsia="en-US"/>
        </w:rPr>
        <w:tab/>
      </w:r>
      <w:r w:rsidRPr="005D1FAE">
        <w:rPr>
          <w:rFonts w:ascii="Tahoma" w:eastAsia="Calibri" w:hAnsi="Tahoma" w:cs="Tahoma"/>
          <w:lang w:val="en-US" w:eastAsia="en-US"/>
        </w:rPr>
        <w:tab/>
      </w:r>
      <w:r w:rsidRPr="005D1FAE">
        <w:rPr>
          <w:rFonts w:ascii="Tahoma" w:eastAsia="Calibri" w:hAnsi="Tahoma" w:cs="Tahoma"/>
          <w:lang w:val="en-US" w:eastAsia="en-US"/>
        </w:rPr>
        <w:tab/>
      </w:r>
      <w:r w:rsidRPr="005D1FAE">
        <w:rPr>
          <w:rFonts w:ascii="Tahoma" w:eastAsia="Calibri" w:hAnsi="Tahoma" w:cs="Tahoma"/>
          <w:lang w:val="en-US" w:eastAsia="en-US"/>
        </w:rPr>
        <w:tab/>
      </w:r>
      <w:r w:rsidRPr="005D1FAE">
        <w:rPr>
          <w:rFonts w:ascii="Tahoma" w:eastAsia="Calibri" w:hAnsi="Tahoma" w:cs="Tahoma"/>
          <w:lang w:val="en-US" w:eastAsia="en-US"/>
        </w:rPr>
        <w:tab/>
      </w:r>
      <w:r w:rsidRPr="005D1FAE">
        <w:rPr>
          <w:rFonts w:ascii="Tahoma" w:eastAsia="Calibri" w:hAnsi="Tahoma" w:cs="Tahoma"/>
          <w:lang w:val="en-US" w:eastAsia="en-US"/>
        </w:rPr>
        <w:tab/>
        <w:t xml:space="preserve"> 447.000,- </w:t>
      </w:r>
      <w:proofErr w:type="spellStart"/>
      <w:r w:rsidRPr="005D1FAE">
        <w:rPr>
          <w:rFonts w:ascii="Tahoma" w:eastAsia="Calibri" w:hAnsi="Tahoma" w:cs="Tahoma"/>
          <w:lang w:val="en-US" w:eastAsia="en-US"/>
        </w:rPr>
        <w:t>Kč</w:t>
      </w:r>
      <w:proofErr w:type="spellEnd"/>
    </w:p>
    <w:p w14:paraId="491CD6F3" w14:textId="77777777" w:rsidR="005D1FAE" w:rsidRPr="005D1FAE" w:rsidRDefault="005D1FAE" w:rsidP="005D1FAE">
      <w:pPr>
        <w:widowControl w:val="0"/>
        <w:numPr>
          <w:ilvl w:val="0"/>
          <w:numId w:val="17"/>
        </w:numPr>
        <w:suppressAutoHyphens/>
        <w:spacing w:line="240" w:lineRule="auto"/>
        <w:jc w:val="left"/>
        <w:rPr>
          <w:rFonts w:ascii="Tahoma" w:eastAsia="Calibri" w:hAnsi="Tahoma" w:cs="Tahoma"/>
          <w:bCs/>
          <w:color w:val="000000"/>
          <w:lang w:val="en-US" w:eastAsia="ar-SA"/>
        </w:rPr>
      </w:pP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Dřevěná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 xml:space="preserve">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podlaha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 xml:space="preserve"> s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oky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  <w:t xml:space="preserve">    8.900,-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Kč</w:t>
      </w:r>
      <w:proofErr w:type="spellEnd"/>
    </w:p>
    <w:p w14:paraId="726F15D2" w14:textId="77777777" w:rsidR="005D1FAE" w:rsidRPr="005D1FAE" w:rsidRDefault="005D1FAE" w:rsidP="005D1FAE">
      <w:pPr>
        <w:widowControl w:val="0"/>
        <w:numPr>
          <w:ilvl w:val="0"/>
          <w:numId w:val="17"/>
        </w:numPr>
        <w:suppressAutoHyphens/>
        <w:spacing w:line="240" w:lineRule="auto"/>
        <w:jc w:val="left"/>
        <w:rPr>
          <w:rFonts w:ascii="Tahoma" w:eastAsia="Calibri" w:hAnsi="Tahoma" w:cs="Tahoma"/>
          <w:bCs/>
          <w:color w:val="000000"/>
          <w:lang w:val="en-US" w:eastAsia="ar-SA"/>
        </w:rPr>
      </w:pP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Zvuková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 xml:space="preserve">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signalizace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 xml:space="preserve">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couvání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  <w:t xml:space="preserve">    </w:t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  <w:t xml:space="preserve">       900,-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Kč</w:t>
      </w:r>
      <w:proofErr w:type="spellEnd"/>
    </w:p>
    <w:p w14:paraId="2AA5088F" w14:textId="77777777" w:rsidR="005D1FAE" w:rsidRPr="005D1FAE" w:rsidRDefault="005D1FAE" w:rsidP="005D1FAE">
      <w:pPr>
        <w:widowControl w:val="0"/>
        <w:numPr>
          <w:ilvl w:val="0"/>
          <w:numId w:val="17"/>
        </w:numPr>
        <w:suppressAutoHyphens/>
        <w:spacing w:line="240" w:lineRule="auto"/>
        <w:jc w:val="left"/>
        <w:rPr>
          <w:rFonts w:ascii="Tahoma" w:eastAsia="Calibri" w:hAnsi="Tahoma" w:cs="Tahoma"/>
          <w:bCs/>
          <w:color w:val="000000"/>
          <w:lang w:val="en-US" w:eastAsia="ar-SA"/>
        </w:rPr>
      </w:pP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Zábleskový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 xml:space="preserve"> LED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maják</w:t>
      </w:r>
      <w:proofErr w:type="spellEnd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  <w:t xml:space="preserve">    2.970,- </w:t>
      </w:r>
      <w:proofErr w:type="spellStart"/>
      <w:r w:rsidRPr="005D1FAE">
        <w:rPr>
          <w:rFonts w:ascii="Tahoma" w:eastAsia="Calibri" w:hAnsi="Tahoma" w:cs="Tahoma"/>
          <w:bCs/>
          <w:color w:val="000000"/>
          <w:lang w:val="en-US" w:eastAsia="ar-SA"/>
        </w:rPr>
        <w:t>Kč</w:t>
      </w:r>
      <w:proofErr w:type="spellEnd"/>
    </w:p>
    <w:p w14:paraId="184625C0" w14:textId="77777777" w:rsidR="005D1FAE" w:rsidRPr="005D1FAE" w:rsidRDefault="005D1FAE" w:rsidP="005D1FAE">
      <w:pPr>
        <w:widowControl w:val="0"/>
        <w:suppressAutoHyphens/>
        <w:spacing w:line="240" w:lineRule="auto"/>
        <w:ind w:left="153"/>
        <w:rPr>
          <w:rFonts w:ascii="Tahoma" w:eastAsia="Calibri" w:hAnsi="Tahoma" w:cs="Tahoma"/>
          <w:bCs/>
          <w:color w:val="000000"/>
          <w:lang w:val="en-US" w:eastAsia="ar-SA"/>
        </w:rPr>
      </w:pP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Cs/>
          <w:color w:val="000000"/>
          <w:lang w:val="en-US" w:eastAsia="ar-SA"/>
        </w:rPr>
        <w:tab/>
        <w:t xml:space="preserve">      </w:t>
      </w:r>
    </w:p>
    <w:p w14:paraId="5622FB62" w14:textId="77777777" w:rsidR="005D1FAE" w:rsidRPr="005D1FAE" w:rsidRDefault="005D1FAE" w:rsidP="005D1FAE">
      <w:pPr>
        <w:suppressAutoHyphens/>
        <w:spacing w:line="240" w:lineRule="auto"/>
        <w:ind w:hanging="567"/>
        <w:rPr>
          <w:rFonts w:ascii="Tahoma" w:hAnsi="Tahoma" w:cs="Tahoma"/>
          <w:bCs/>
          <w:color w:val="000000"/>
          <w:sz w:val="24"/>
          <w:szCs w:val="24"/>
          <w:lang w:eastAsia="ar-SA"/>
        </w:rPr>
      </w:pPr>
    </w:p>
    <w:p w14:paraId="1712C721" w14:textId="77777777" w:rsidR="005D1FAE" w:rsidRPr="005D1FAE" w:rsidRDefault="005D1FAE" w:rsidP="005D1FAE">
      <w:pPr>
        <w:suppressAutoHyphens/>
        <w:spacing w:line="240" w:lineRule="auto"/>
        <w:ind w:hanging="567"/>
        <w:rPr>
          <w:rFonts w:ascii="Calibri" w:hAnsi="Calibri" w:cs="Calibri"/>
          <w:color w:val="538135"/>
          <w:sz w:val="32"/>
          <w:szCs w:val="32"/>
          <w:lang w:eastAsia="ar-SA"/>
        </w:rPr>
      </w:pPr>
      <w:r w:rsidRPr="005D1FAE">
        <w:rPr>
          <w:rFonts w:ascii="Calibri" w:hAnsi="Calibri" w:cs="Calibri"/>
          <w:color w:val="538135"/>
          <w:sz w:val="32"/>
          <w:szCs w:val="32"/>
          <w:lang w:eastAsia="ar-SA"/>
        </w:rPr>
        <w:t>NABÍDKOVÁ CENA – bez DPH</w:t>
      </w:r>
    </w:p>
    <w:p w14:paraId="466DFF60" w14:textId="77777777" w:rsidR="005D1FAE" w:rsidRPr="005D1FAE" w:rsidRDefault="005D1FAE" w:rsidP="005D1FAE">
      <w:pPr>
        <w:widowControl w:val="0"/>
        <w:suppressAutoHyphens/>
        <w:spacing w:line="240" w:lineRule="auto"/>
        <w:ind w:left="153"/>
        <w:jc w:val="left"/>
        <w:rPr>
          <w:rFonts w:ascii="Tahoma" w:eastAsia="Calibri" w:hAnsi="Tahoma" w:cs="Tahoma"/>
          <w:b/>
          <w:bCs/>
          <w:color w:val="000000"/>
          <w:lang w:val="en-US" w:eastAsia="ar-SA"/>
        </w:rPr>
      </w:pPr>
      <w:proofErr w:type="spell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Pickman</w:t>
      </w:r>
      <w:proofErr w:type="spellEnd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 xml:space="preserve"> (</w:t>
      </w:r>
      <w:r w:rsidRPr="005D1FAE">
        <w:rPr>
          <w:rFonts w:ascii="Tahoma" w:eastAsia="Calibri" w:hAnsi="Tahoma" w:cs="Tahoma"/>
          <w:b/>
          <w:bCs/>
          <w:lang w:val="en-US" w:eastAsia="en-US"/>
        </w:rPr>
        <w:t xml:space="preserve">LiFePO4 </w:t>
      </w:r>
      <w:proofErr w:type="spellStart"/>
      <w:r w:rsidRPr="005D1FAE">
        <w:rPr>
          <w:rFonts w:ascii="Tahoma" w:eastAsia="Calibri" w:hAnsi="Tahoma" w:cs="Tahoma"/>
          <w:b/>
          <w:bCs/>
          <w:lang w:val="en-US" w:eastAsia="en-US"/>
        </w:rPr>
        <w:t>baterie</w:t>
      </w:r>
      <w:proofErr w:type="spellEnd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 xml:space="preserve">) </w:t>
      </w:r>
      <w:proofErr w:type="spellStart"/>
      <w:proofErr w:type="gram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vč</w:t>
      </w:r>
      <w:proofErr w:type="spellEnd"/>
      <w:proofErr w:type="gramEnd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 xml:space="preserve">. </w:t>
      </w:r>
      <w:proofErr w:type="spellStart"/>
      <w:proofErr w:type="gram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příslušenství</w:t>
      </w:r>
      <w:proofErr w:type="spellEnd"/>
      <w:proofErr w:type="gramEnd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:</w:t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  <w:t xml:space="preserve"> 459.770,00,- </w:t>
      </w:r>
      <w:proofErr w:type="spell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Kč</w:t>
      </w:r>
      <w:proofErr w:type="spellEnd"/>
    </w:p>
    <w:p w14:paraId="04EADD2C" w14:textId="77777777" w:rsidR="005D1FAE" w:rsidRPr="005D1FAE" w:rsidRDefault="005D1FAE" w:rsidP="005D1FAE">
      <w:pPr>
        <w:widowControl w:val="0"/>
        <w:suppressAutoHyphens/>
        <w:spacing w:line="240" w:lineRule="auto"/>
        <w:ind w:left="153"/>
        <w:jc w:val="left"/>
        <w:rPr>
          <w:rFonts w:ascii="Tahoma" w:eastAsia="Calibri" w:hAnsi="Tahoma" w:cs="Tahoma"/>
          <w:b/>
          <w:bCs/>
          <w:color w:val="000000"/>
          <w:lang w:val="en-US" w:eastAsia="ar-SA"/>
        </w:rPr>
      </w:pP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DPH 21%:</w:t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  <w:t xml:space="preserve"> </w:t>
      </w:r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ab/>
        <w:t xml:space="preserve">   96.551</w:t>
      </w:r>
      <w:proofErr w:type="gram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,70</w:t>
      </w:r>
      <w:proofErr w:type="gramEnd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 xml:space="preserve">,- </w:t>
      </w:r>
      <w:proofErr w:type="spellStart"/>
      <w:r w:rsidRPr="005D1FAE">
        <w:rPr>
          <w:rFonts w:ascii="Tahoma" w:eastAsia="Calibri" w:hAnsi="Tahoma" w:cs="Tahoma"/>
          <w:b/>
          <w:bCs/>
          <w:color w:val="000000"/>
          <w:lang w:val="en-US" w:eastAsia="ar-SA"/>
        </w:rPr>
        <w:t>Kč</w:t>
      </w:r>
      <w:proofErr w:type="spellEnd"/>
    </w:p>
    <w:p w14:paraId="4133858D" w14:textId="77777777" w:rsidR="005D1FAE" w:rsidRPr="005D1FAE" w:rsidRDefault="005D1FAE" w:rsidP="005D1FAE">
      <w:pPr>
        <w:suppressAutoHyphens/>
        <w:spacing w:line="240" w:lineRule="auto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ar-SA"/>
        </w:rPr>
      </w:pPr>
    </w:p>
    <w:p w14:paraId="70973E46" w14:textId="77777777" w:rsidR="005D1FAE" w:rsidRPr="005D1FAE" w:rsidRDefault="005D1FAE" w:rsidP="005D1FAE">
      <w:pPr>
        <w:suppressAutoHyphens/>
        <w:spacing w:line="240" w:lineRule="auto"/>
        <w:jc w:val="left"/>
        <w:rPr>
          <w:rFonts w:ascii="Tahoma" w:hAnsi="Tahoma" w:cs="Tahoma"/>
          <w:b/>
          <w:bCs/>
          <w:color w:val="000000"/>
          <w:lang w:eastAsia="ar-SA"/>
        </w:rPr>
      </w:pPr>
      <w:r w:rsidRPr="005D1FAE">
        <w:rPr>
          <w:rFonts w:ascii="Tahoma" w:hAnsi="Tahoma" w:cs="Tahoma"/>
          <w:b/>
          <w:bCs/>
          <w:color w:val="000000"/>
          <w:lang w:eastAsia="ar-SA"/>
        </w:rPr>
        <w:t xml:space="preserve">  Nabídka celkem s DPH:</w:t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</w:r>
      <w:r w:rsidRPr="005D1FAE">
        <w:rPr>
          <w:rFonts w:ascii="Tahoma" w:hAnsi="Tahoma" w:cs="Tahoma"/>
          <w:b/>
          <w:bCs/>
          <w:color w:val="000000"/>
          <w:lang w:eastAsia="ar-SA"/>
        </w:rPr>
        <w:tab/>
        <w:t xml:space="preserve">           556.321,70,- Kč</w:t>
      </w:r>
    </w:p>
    <w:p w14:paraId="753CEB47" w14:textId="77777777" w:rsidR="005D1FAE" w:rsidRPr="005D1FAE" w:rsidRDefault="005D1FAE" w:rsidP="005D1FAE">
      <w:pPr>
        <w:suppressAutoHyphens/>
        <w:spacing w:line="240" w:lineRule="auto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ar-SA"/>
        </w:rPr>
      </w:pPr>
    </w:p>
    <w:p w14:paraId="3D1AF9B4" w14:textId="77777777" w:rsidR="005D1FAE" w:rsidRPr="005D1FAE" w:rsidRDefault="005D1FAE" w:rsidP="005D1FAE">
      <w:pPr>
        <w:suppressAutoHyphens/>
        <w:spacing w:line="240" w:lineRule="auto"/>
        <w:jc w:val="left"/>
        <w:rPr>
          <w:rFonts w:ascii="Tahoma" w:hAnsi="Tahoma" w:cs="Tahoma"/>
          <w:b/>
          <w:bCs/>
          <w:color w:val="000000"/>
          <w:sz w:val="24"/>
          <w:szCs w:val="24"/>
          <w:lang w:eastAsia="ar-SA"/>
        </w:rPr>
      </w:pPr>
      <w:r w:rsidRPr="005D1FAE">
        <w:rPr>
          <w:rFonts w:ascii="Tahoma" w:hAnsi="Tahoma" w:cs="Tahoma"/>
          <w:b/>
          <w:bCs/>
          <w:color w:val="000000"/>
          <w:sz w:val="24"/>
          <w:szCs w:val="24"/>
          <w:lang w:eastAsia="ar-SA"/>
        </w:rPr>
        <w:t xml:space="preserve">  DODÁNÍ 16 TÝDNŮ OD PODPISU SMLOUVY</w:t>
      </w:r>
    </w:p>
    <w:p w14:paraId="4EEA526B" w14:textId="77777777" w:rsidR="005D1FAE" w:rsidRPr="005D1FAE" w:rsidRDefault="005D1FAE" w:rsidP="005D1FAE">
      <w:pPr>
        <w:suppressAutoHyphens/>
        <w:spacing w:line="240" w:lineRule="auto"/>
        <w:rPr>
          <w:rFonts w:ascii="Calibri" w:hAnsi="Calibri" w:cs="Calibri"/>
          <w:b/>
          <w:bCs/>
          <w:color w:val="538135"/>
          <w:sz w:val="36"/>
          <w:szCs w:val="36"/>
          <w:lang w:eastAsia="ar-SA"/>
        </w:rPr>
      </w:pPr>
    </w:p>
    <w:p w14:paraId="0E68BF85" w14:textId="77777777" w:rsidR="005D1FAE" w:rsidRPr="005D1FAE" w:rsidRDefault="005D1FAE" w:rsidP="005D1FAE">
      <w:pPr>
        <w:suppressAutoHyphens/>
        <w:spacing w:line="240" w:lineRule="auto"/>
        <w:ind w:hanging="567"/>
        <w:jc w:val="left"/>
        <w:rPr>
          <w:rFonts w:ascii="Tahoma" w:hAnsi="Tahoma" w:cs="Tahoma"/>
          <w:bCs/>
          <w:color w:val="000000"/>
          <w:sz w:val="24"/>
          <w:szCs w:val="24"/>
          <w:lang w:eastAsia="ar-SA"/>
        </w:rPr>
      </w:pPr>
    </w:p>
    <w:p w14:paraId="63881354" w14:textId="77777777" w:rsidR="005D1FAE" w:rsidRPr="005D1FAE" w:rsidRDefault="005D1FAE" w:rsidP="005D1FAE">
      <w:pPr>
        <w:spacing w:line="240" w:lineRule="auto"/>
        <w:jc w:val="left"/>
        <w:rPr>
          <w:sz w:val="14"/>
          <w:szCs w:val="14"/>
          <w:lang w:eastAsia="en-US"/>
        </w:rPr>
      </w:pPr>
    </w:p>
    <w:p w14:paraId="765A5853" w14:textId="77777777" w:rsidR="005D1FAE" w:rsidRPr="005D1FAE" w:rsidRDefault="005D1FAE" w:rsidP="005D1FAE">
      <w:pPr>
        <w:spacing w:line="240" w:lineRule="auto"/>
        <w:jc w:val="left"/>
        <w:rPr>
          <w:sz w:val="14"/>
          <w:szCs w:val="14"/>
          <w:lang w:eastAsia="en-US"/>
        </w:rPr>
      </w:pPr>
    </w:p>
    <w:p w14:paraId="02FB6E0E" w14:textId="77777777" w:rsidR="005D1FAE" w:rsidRPr="005D1FAE" w:rsidRDefault="005D1FAE" w:rsidP="005D1FAE">
      <w:pPr>
        <w:pBdr>
          <w:top w:val="single" w:sz="12" w:space="1" w:color="538135"/>
          <w:between w:val="single" w:sz="12" w:space="1" w:color="538135"/>
          <w:bar w:val="single" w:sz="12" w:color="538135"/>
        </w:pBdr>
        <w:spacing w:line="240" w:lineRule="auto"/>
        <w:ind w:left="-567"/>
        <w:rPr>
          <w:rFonts w:ascii="Times New Roman" w:hAnsi="Times New Roman" w:cs="Times New Roman"/>
          <w:sz w:val="24"/>
          <w:szCs w:val="24"/>
          <w:lang w:eastAsia="en-US"/>
        </w:rPr>
      </w:pPr>
      <w:r w:rsidRPr="005D1FAE">
        <w:rPr>
          <w:rFonts w:ascii="Calibri" w:hAnsi="Calibri" w:cs="Calibri"/>
          <w:color w:val="538135"/>
          <w:sz w:val="24"/>
          <w:szCs w:val="24"/>
          <w:lang w:eastAsia="ar-SA"/>
        </w:rPr>
        <w:t>SERVISNÍ, ZÁRUČNÍ A DODACÍ PODMÍNKY</w:t>
      </w:r>
    </w:p>
    <w:p w14:paraId="02B9B2FB" w14:textId="77777777" w:rsidR="005D1FAE" w:rsidRPr="005D1FAE" w:rsidRDefault="005D1FAE" w:rsidP="005D1FAE">
      <w:pPr>
        <w:suppressAutoHyphens/>
        <w:spacing w:line="240" w:lineRule="auto"/>
        <w:jc w:val="left"/>
        <w:rPr>
          <w:rFonts w:ascii="Tahoma" w:eastAsia="Calibri" w:hAnsi="Tahoma" w:cs="Tahoma"/>
          <w:sz w:val="14"/>
          <w:szCs w:val="14"/>
          <w:lang w:eastAsia="en-US"/>
        </w:rPr>
      </w:pPr>
    </w:p>
    <w:p w14:paraId="2913FAE3" w14:textId="77777777" w:rsidR="005D1FAE" w:rsidRPr="005D1FAE" w:rsidRDefault="005D1FAE" w:rsidP="005D1FAE">
      <w:pPr>
        <w:numPr>
          <w:ilvl w:val="0"/>
          <w:numId w:val="15"/>
        </w:numPr>
        <w:suppressAutoHyphens/>
        <w:spacing w:line="240" w:lineRule="auto"/>
        <w:ind w:left="284" w:hanging="284"/>
        <w:jc w:val="left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>SERVISNÍ PODMÍNKY:</w:t>
      </w:r>
    </w:p>
    <w:p w14:paraId="7E8CADAC" w14:textId="77777777" w:rsidR="005D1FAE" w:rsidRPr="005D1FAE" w:rsidRDefault="005D1FAE" w:rsidP="005D1FAE">
      <w:pPr>
        <w:spacing w:line="240" w:lineRule="auto"/>
        <w:ind w:left="284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>Společnost SYNPRO, s. r. o. zajišťuje záruční a pozáruční servis včetně dodávky originálních náhradních dílů po dobu životnosti strojů. Servis bude zajištěn z naší provozovny ve Velkých Bílovicích nebo nejbližším smluvním obchodním a servisním partnerem v dané lokalitě.</w:t>
      </w:r>
    </w:p>
    <w:p w14:paraId="75EFA886" w14:textId="77777777" w:rsidR="005D1FAE" w:rsidRPr="005D1FAE" w:rsidRDefault="005D1FAE" w:rsidP="005D1FAE">
      <w:pPr>
        <w:spacing w:line="240" w:lineRule="auto"/>
        <w:ind w:left="720"/>
        <w:rPr>
          <w:rFonts w:ascii="Calibri" w:eastAsia="Calibri" w:hAnsi="Calibri" w:cs="Calibri"/>
          <w:sz w:val="20"/>
          <w:szCs w:val="20"/>
          <w:lang w:eastAsia="en-US"/>
        </w:rPr>
      </w:pPr>
    </w:p>
    <w:p w14:paraId="0621256D" w14:textId="77777777" w:rsidR="005D1FAE" w:rsidRPr="005D1FAE" w:rsidRDefault="005D1FAE" w:rsidP="005D1FAE">
      <w:pPr>
        <w:numPr>
          <w:ilvl w:val="0"/>
          <w:numId w:val="15"/>
        </w:numPr>
        <w:suppressAutoHyphens/>
        <w:spacing w:line="240" w:lineRule="auto"/>
        <w:ind w:left="284" w:hanging="284"/>
        <w:jc w:val="left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>ZÁRUČNÍ PODMÍNKY:</w:t>
      </w:r>
    </w:p>
    <w:p w14:paraId="40A58D1B" w14:textId="77777777" w:rsidR="005D1FAE" w:rsidRPr="005D1FAE" w:rsidRDefault="005D1FAE" w:rsidP="005D1FAE">
      <w:pPr>
        <w:spacing w:line="240" w:lineRule="auto"/>
        <w:ind w:left="284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 xml:space="preserve">Při dodržení garanční prohlídky a servisních kontrol je záruka </w:t>
      </w:r>
      <w:r w:rsidRPr="005D1FAE">
        <w:rPr>
          <w:rFonts w:ascii="Calibri" w:eastAsia="Calibri" w:hAnsi="Calibri" w:cs="Calibri"/>
          <w:b/>
          <w:bCs/>
          <w:sz w:val="20"/>
          <w:szCs w:val="20"/>
          <w:lang w:eastAsia="en-US"/>
        </w:rPr>
        <w:t>12 měsíců.</w:t>
      </w:r>
    </w:p>
    <w:p w14:paraId="2A231BBA" w14:textId="77777777" w:rsidR="005D1FAE" w:rsidRPr="005D1FAE" w:rsidRDefault="005D1FAE" w:rsidP="005D1FAE">
      <w:pPr>
        <w:spacing w:line="240" w:lineRule="auto"/>
        <w:ind w:left="142"/>
        <w:jc w:val="left"/>
        <w:rPr>
          <w:rFonts w:ascii="Calibri" w:eastAsia="Calibri" w:hAnsi="Calibri" w:cs="Calibri"/>
          <w:sz w:val="20"/>
          <w:szCs w:val="20"/>
          <w:lang w:eastAsia="en-US"/>
        </w:rPr>
      </w:pPr>
    </w:p>
    <w:p w14:paraId="1FEB7D06" w14:textId="77777777" w:rsidR="005D1FAE" w:rsidRPr="005D1FAE" w:rsidRDefault="005D1FAE" w:rsidP="005D1FAE">
      <w:pPr>
        <w:numPr>
          <w:ilvl w:val="0"/>
          <w:numId w:val="15"/>
        </w:numPr>
        <w:suppressAutoHyphens/>
        <w:spacing w:line="240" w:lineRule="auto"/>
        <w:ind w:left="284" w:hanging="284"/>
        <w:jc w:val="left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>DODACÍ PODMÍNKY:</w:t>
      </w:r>
    </w:p>
    <w:p w14:paraId="2828097A" w14:textId="77777777" w:rsidR="005D1FAE" w:rsidRPr="005D1FAE" w:rsidRDefault="005D1FAE" w:rsidP="005D1FAE">
      <w:pPr>
        <w:tabs>
          <w:tab w:val="right" w:pos="8931"/>
        </w:tabs>
        <w:spacing w:line="240" w:lineRule="auto"/>
        <w:ind w:left="284"/>
        <w:rPr>
          <w:rFonts w:ascii="Calibri" w:eastAsia="Calibri" w:hAnsi="Calibri" w:cs="Calibri"/>
          <w:sz w:val="20"/>
          <w:szCs w:val="20"/>
          <w:lang w:eastAsia="en-US"/>
        </w:rPr>
      </w:pPr>
      <w:r w:rsidRPr="005D1FAE">
        <w:rPr>
          <w:rFonts w:ascii="Calibri" w:eastAsia="Calibri" w:hAnsi="Calibri" w:cs="Calibri"/>
          <w:sz w:val="20"/>
          <w:szCs w:val="20"/>
          <w:lang w:eastAsia="en-US"/>
        </w:rPr>
        <w:t>Při vlastní dodávce strojů je provedeno teoretické i praktické zaškolení obsluhy servisním pracovníkem firmy SYNPRO, s.r.o. na místě určeném kupujícím. Současně se strojem je předána veškerá dokumentace, tj. především návod k obsluze, katalog náhradních dílů, servisní kniha, prohlášení o shodě atd.</w:t>
      </w:r>
    </w:p>
    <w:p w14:paraId="23004CF0" w14:textId="77777777" w:rsidR="005D1FAE" w:rsidRPr="005D1FAE" w:rsidRDefault="005D1FAE" w:rsidP="005D1FAE">
      <w:pPr>
        <w:spacing w:line="240" w:lineRule="auto"/>
        <w:jc w:val="left"/>
        <w:rPr>
          <w:sz w:val="14"/>
          <w:szCs w:val="14"/>
          <w:lang w:eastAsia="en-US"/>
        </w:rPr>
      </w:pPr>
    </w:p>
    <w:p w14:paraId="5D944ED4" w14:textId="77777777" w:rsidR="005D1FAE" w:rsidRPr="005D1FAE" w:rsidRDefault="005D1FAE" w:rsidP="005D1FAE">
      <w:pPr>
        <w:spacing w:line="240" w:lineRule="auto"/>
        <w:jc w:val="left"/>
        <w:rPr>
          <w:sz w:val="14"/>
          <w:szCs w:val="14"/>
          <w:lang w:eastAsia="en-US"/>
        </w:rPr>
      </w:pPr>
    </w:p>
    <w:p w14:paraId="1DA10B56" w14:textId="77777777" w:rsidR="005D1FAE" w:rsidRPr="005D1FAE" w:rsidRDefault="005D1FAE" w:rsidP="005D1FAE">
      <w:pPr>
        <w:spacing w:line="240" w:lineRule="auto"/>
        <w:jc w:val="left"/>
        <w:rPr>
          <w:lang w:eastAsia="en-US"/>
        </w:rPr>
      </w:pPr>
    </w:p>
    <w:p w14:paraId="5A087844" w14:textId="77777777" w:rsidR="005D1FAE" w:rsidRDefault="005D1FAE" w:rsidP="005D1FAE">
      <w:pPr>
        <w:rPr>
          <w:noProof/>
        </w:rPr>
      </w:pPr>
    </w:p>
    <w:sectPr w:rsidR="005D1FAE" w:rsidSect="005D1FAE">
      <w:headerReference w:type="default" r:id="rId16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System Font Regular">
    <w:altName w:val="Cambria"/>
    <w:charset w:val="00"/>
    <w:family w:val="roman"/>
    <w:pitch w:val="variable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32012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04555942" w14:textId="34A9AB88" w:rsidR="00133D51" w:rsidRPr="00094B12" w:rsidRDefault="005D1FAE" w:rsidP="005D1FAE">
        <w:pPr>
          <w:jc w:val="center"/>
        </w:pPr>
        <w:r>
          <w:t xml:space="preserve">Stránka </w:t>
        </w:r>
        <w:r>
          <w:fldChar w:fldCharType="begin"/>
        </w:r>
        <w:r>
          <w:instrText>PAGE  \* Arabic  \* MERGEFORMAT</w:instrText>
        </w:r>
        <w:r>
          <w:fldChar w:fldCharType="separate"/>
        </w:r>
        <w:r w:rsidR="00F857F7">
          <w:rPr>
            <w:noProof/>
          </w:rPr>
          <w:t>9</w:t>
        </w:r>
        <w:r>
          <w:fldChar w:fldCharType="end"/>
        </w:r>
        <w:r>
          <w:t xml:space="preserve"> z </w:t>
        </w:r>
        <w:fldSimple w:instr=" SECTIONPAGES   \* MERGEFORMAT ">
          <w:r w:rsidR="00F857F7">
            <w:rPr>
              <w:noProof/>
            </w:rPr>
            <w:t>9</w:t>
          </w:r>
        </w:fldSimple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008191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335FAC21" w14:textId="50CE0682" w:rsidR="005D1FAE" w:rsidRPr="004A1880" w:rsidRDefault="005D1FAE">
        <w:pPr>
          <w:pStyle w:val="Zpat"/>
          <w:jc w:val="center"/>
          <w:rPr>
            <w:rFonts w:ascii="Arial" w:hAnsi="Arial"/>
            <w:sz w:val="20"/>
          </w:rPr>
        </w:pPr>
      </w:p>
    </w:sdtContent>
  </w:sdt>
  <w:p w14:paraId="785B35D7" w14:textId="77777777" w:rsidR="005D1FAE" w:rsidRPr="00094B12" w:rsidRDefault="005D1FAE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FBDC" w14:textId="1A0791AB" w:rsidR="004C4763" w:rsidRDefault="004C4763" w:rsidP="004C4763">
    <w:pPr>
      <w:jc w:val="right"/>
    </w:pPr>
    <w:r>
      <w:rPr>
        <w:rFonts w:eastAsia="Calibri"/>
      </w:rPr>
      <w:t>KP/3971/2023/</w:t>
    </w:r>
    <w:proofErr w:type="spellStart"/>
    <w:r>
      <w:rPr>
        <w:rFonts w:eastAsia="Calibri"/>
      </w:rPr>
      <w:t>Lm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DA03B" w14:textId="401BC408" w:rsidR="005D1FAE" w:rsidRPr="005D1FAE" w:rsidRDefault="005D1FAE" w:rsidP="005D1FAE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403"/>
    <w:multiLevelType w:val="hybridMultilevel"/>
    <w:tmpl w:val="345AF2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72FAC"/>
    <w:multiLevelType w:val="hybridMultilevel"/>
    <w:tmpl w:val="16C622E8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5CB62AF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C865214"/>
    <w:multiLevelType w:val="hybridMultilevel"/>
    <w:tmpl w:val="51A45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2"/>
  </w:num>
  <w:num w:numId="4">
    <w:abstractNumId w:val="9"/>
  </w:num>
  <w:num w:numId="5">
    <w:abstractNumId w:val="2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1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4CDB"/>
    <w:rsid w:val="000177FB"/>
    <w:rsid w:val="000228F8"/>
    <w:rsid w:val="000242EC"/>
    <w:rsid w:val="00026FB0"/>
    <w:rsid w:val="00030B47"/>
    <w:rsid w:val="00032F0B"/>
    <w:rsid w:val="000333EF"/>
    <w:rsid w:val="00040B3D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36FE"/>
    <w:rsid w:val="00094B12"/>
    <w:rsid w:val="0009512B"/>
    <w:rsid w:val="00095C75"/>
    <w:rsid w:val="00095F81"/>
    <w:rsid w:val="000B1AE0"/>
    <w:rsid w:val="000B3DB4"/>
    <w:rsid w:val="000B5BF7"/>
    <w:rsid w:val="000B5E9D"/>
    <w:rsid w:val="000B6863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1E94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647F1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7DFF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6BEE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2495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C4763"/>
    <w:rsid w:val="004D237F"/>
    <w:rsid w:val="004E74F7"/>
    <w:rsid w:val="004F2032"/>
    <w:rsid w:val="004F3A6F"/>
    <w:rsid w:val="005000A0"/>
    <w:rsid w:val="005013EF"/>
    <w:rsid w:val="00502D01"/>
    <w:rsid w:val="00503008"/>
    <w:rsid w:val="005075D9"/>
    <w:rsid w:val="005153A4"/>
    <w:rsid w:val="0051540C"/>
    <w:rsid w:val="005203B5"/>
    <w:rsid w:val="00521953"/>
    <w:rsid w:val="005371E9"/>
    <w:rsid w:val="00546C21"/>
    <w:rsid w:val="005515B0"/>
    <w:rsid w:val="00560C16"/>
    <w:rsid w:val="00563528"/>
    <w:rsid w:val="00571D58"/>
    <w:rsid w:val="0058691F"/>
    <w:rsid w:val="00586BB3"/>
    <w:rsid w:val="00591919"/>
    <w:rsid w:val="005A31F8"/>
    <w:rsid w:val="005A3B45"/>
    <w:rsid w:val="005A6D97"/>
    <w:rsid w:val="005C1366"/>
    <w:rsid w:val="005D0FD1"/>
    <w:rsid w:val="005D1964"/>
    <w:rsid w:val="005D1F37"/>
    <w:rsid w:val="005D1FAE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49D0"/>
    <w:rsid w:val="00645186"/>
    <w:rsid w:val="00656B08"/>
    <w:rsid w:val="00660EC1"/>
    <w:rsid w:val="00662DC6"/>
    <w:rsid w:val="0067085F"/>
    <w:rsid w:val="00672574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D4E9A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C7A0E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221E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5933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305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7614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8C2"/>
    <w:rsid w:val="00CB6A3D"/>
    <w:rsid w:val="00CC0F64"/>
    <w:rsid w:val="00CC12D2"/>
    <w:rsid w:val="00CC2AF5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C1904"/>
    <w:rsid w:val="00ED3A3E"/>
    <w:rsid w:val="00EE155A"/>
    <w:rsid w:val="00EE477D"/>
    <w:rsid w:val="00EF03CA"/>
    <w:rsid w:val="00EF4125"/>
    <w:rsid w:val="00EF46EE"/>
    <w:rsid w:val="00F01FFB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2055"/>
    <w:rsid w:val="00F63181"/>
    <w:rsid w:val="00F7334F"/>
    <w:rsid w:val="00F74782"/>
    <w:rsid w:val="00F8343D"/>
    <w:rsid w:val="00F857F7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0B6863"/>
    <w:pPr>
      <w:numPr>
        <w:numId w:val="1"/>
      </w:numPr>
      <w:spacing w:before="120" w:after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uiPriority w:val="39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0B6863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0B6863"/>
    <w:pPr>
      <w:numPr>
        <w:ilvl w:val="1"/>
        <w:numId w:val="1"/>
      </w:numPr>
      <w:spacing w:after="120"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0B6863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andardnpsmoodstavce1">
    <w:name w:val="Standardní písmo odstavce1"/>
    <w:rsid w:val="00C47614"/>
  </w:style>
  <w:style w:type="paragraph" w:customStyle="1" w:styleId="Mkatabulky1">
    <w:name w:val="Mřížka tabulky1"/>
    <w:rsid w:val="00C47614"/>
    <w:pPr>
      <w:suppressAutoHyphens/>
      <w:autoSpaceDN w:val="0"/>
      <w:textAlignment w:val="baseline"/>
    </w:pPr>
    <w:rPr>
      <w:rFonts w:ascii="System Font Regular" w:eastAsia="ヒラギノ角ゴ Pro W3" w:hAnsi="System Font Regular"/>
      <w:color w:val="000000"/>
      <w:sz w:val="22"/>
    </w:rPr>
  </w:style>
  <w:style w:type="table" w:customStyle="1" w:styleId="Mkatabulky2">
    <w:name w:val="Mřížka tabulky2"/>
    <w:basedOn w:val="Normlntabulka"/>
    <w:next w:val="Mkatabulky"/>
    <w:uiPriority w:val="39"/>
    <w:rsid w:val="005D1F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39"/>
    <w:rsid w:val="005D1F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5" ma:contentTypeDescription="Vytvoří nový dokument" ma:contentTypeScope="" ma:versionID="a71eb9d9d648efdfdb3a1402d6965912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baba214ae6b974e9f730cee8ab933ac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F165-BC67-4CE5-A4BA-4BA8246FD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cc852e05-94eb-48de-a089-3a35c1dd621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2D4C2AE-7202-4C37-916F-377C16B4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4470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Lámerová Barbora</cp:lastModifiedBy>
  <cp:revision>4</cp:revision>
  <cp:lastPrinted>2023-12-13T12:01:00Z</cp:lastPrinted>
  <dcterms:created xsi:type="dcterms:W3CDTF">2023-12-13T12:01:00Z</dcterms:created>
  <dcterms:modified xsi:type="dcterms:W3CDTF">2023-12-13T12:02:00Z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