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LICENČNÍ SMLOUVA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9"/>
          <w:b/>
          <w:bCs/>
        </w:rPr>
        <w:t>■IMMII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435" w:right="1024" w:bottom="1743" w:left="4842" w:header="7" w:footer="3" w:gutter="0"/>
          <w:pgNumType w:start="1"/>
          <w:cols w:num="2" w:space="720" w:equalWidth="0">
            <w:col w:w="2184" w:space="1392"/>
            <w:col w:w="2458"/>
          </w:cols>
          <w:noEndnote/>
          <w:rtlGutter w:val="0"/>
          <w:docGrid w:linePitch="360"/>
        </w:sectPr>
      </w:pPr>
      <w:r>
        <w:rPr>
          <w:rStyle w:val="CharStyle11"/>
        </w:rPr>
        <w:t>2023009726</w:t>
      </w: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4" w:right="0" w:bottom="173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podle ust. par. 2358 a násl. občanského zákoníku, uzavřená mezi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25400</wp:posOffset>
                </wp:positionV>
                <wp:extent cx="1642745" cy="145669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2745" cy="1456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600000000000009pt;margin-top:2.pt;width:129.34999999999999pt;height:114.7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rPr>
          <w:rStyle w:val="CharStyle13"/>
          <w:b/>
          <w:bCs/>
        </w:rPr>
        <w:t>Zdravotnická záchranná služba Jihomoravského kraje, příspěvková organizace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rStyle w:val="CharStyle3"/>
        </w:rPr>
        <w:t xml:space="preserve">MUDr. Hana Albrechtová, ředitelka </w:t>
      </w:r>
      <w:r>
        <w:rPr>
          <w:rStyle w:val="CharStyle3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rStyle w:val="CharStyle3"/>
        </w:rPr>
        <w:t xml:space="preserve">MONETA Money Bank, a s., č. ú. 117203514/0600 </w:t>
      </w:r>
      <w:r>
        <w:rPr>
          <w:rStyle w:val="CharStyle3"/>
        </w:rPr>
        <w:t xml:space="preserve">jako nabyvatelem licence (dále jen </w:t>
      </w:r>
      <w:r>
        <w:rPr>
          <w:rStyle w:val="CharStyle3"/>
          <w:b/>
          <w:bCs/>
          <w:i/>
          <w:iCs/>
        </w:rPr>
        <w:t>„nabyvatel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12700</wp:posOffset>
                </wp:positionV>
                <wp:extent cx="1645920" cy="130175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301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350000000000009pt;margin-top:1.pt;width:129.59999999999999pt;height:102.5pt;z-index:-125829373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r>
        <w:rPr>
          <w:rStyle w:val="CharStyle13"/>
          <w:b/>
          <w:bCs/>
        </w:rPr>
        <w:t>PREDNY SLM s.r.o.</w:t>
      </w:r>
      <w:bookmarkEnd w:id="4"/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 xml:space="preserve">Veselá 169/24, Brno-město, 602 00 Brno Mgr. Martin Predný </w:t>
      </w:r>
      <w:r>
        <w:rPr>
          <w:rStyle w:val="CharStyle3"/>
        </w:rPr>
        <w:t>07972571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CZ07972571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Krajský soud v Brně, sp zn. C 111197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rStyle w:val="CharStyle3"/>
        </w:rPr>
        <w:t xml:space="preserve">Fio banka a.s., č.ú. 2201600490/2010 </w:t>
      </w:r>
      <w:r>
        <w:rPr>
          <w:rStyle w:val="CharStyle3"/>
        </w:rPr>
        <w:t xml:space="preserve">jako poskytovatelem licence (dále jen </w:t>
      </w:r>
      <w:r>
        <w:rPr>
          <w:rStyle w:val="CharStyle3"/>
          <w:b/>
          <w:bCs/>
          <w:i/>
          <w:iCs/>
        </w:rPr>
        <w:t>„poskytovatel)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 w:after="260" w:line="276" w:lineRule="auto"/>
        <w:ind w:left="700" w:right="0" w:hanging="360"/>
        <w:jc w:val="both"/>
      </w:pPr>
      <w:r>
        <w:rPr>
          <w:rStyle w:val="CharStyle3"/>
        </w:rPr>
        <w:t>Poskytovatel je oprávněn poskytovat licenci k autorskému dílu ve formě počítačového programu z produkce společnosti Microsoft s obchodním názvem „SQL server Standard 2019 2core“.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 w:after="260"/>
        <w:ind w:left="700" w:right="0" w:hanging="360"/>
        <w:jc w:val="both"/>
      </w:pPr>
      <w:r>
        <w:rPr>
          <w:rStyle w:val="CharStyle3"/>
        </w:rPr>
        <w:t xml:space="preserve">Poskytovatel touto smlouvou poskytuje nabyvateli nevýhradní a časově neomezenou licenci k autorskému dílu podle čl. 1 této smlouvy a to </w:t>
      </w:r>
      <w:r>
        <w:rPr>
          <w:rStyle w:val="CharStyle3"/>
          <w:b/>
          <w:bCs/>
        </w:rPr>
        <w:t xml:space="preserve">v rozsahu 2 kusů </w:t>
      </w:r>
      <w:r>
        <w:rPr>
          <w:rStyle w:val="CharStyle3"/>
        </w:rPr>
        <w:t>/ přístupů / této licence. Za účelem splnění tohoto svého závazku se poskytovatel zavazuje umožnit nabyvateli dálkový přístup k autorskému dílu podle čl. 1 této smlouvy, včetně jeho průběžných aktualizací, prostřednictvím sítě Internet.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 w:after="260"/>
        <w:ind w:left="700" w:right="0" w:hanging="360"/>
        <w:jc w:val="both"/>
      </w:pPr>
      <w:r>
        <w:rPr>
          <w:rStyle w:val="CharStyle3"/>
        </w:rPr>
        <w:t xml:space="preserve">Poskytovatel se zavazuje splnit svůj závazek podle čl. 2 této smlouvy ve lhůtě nejpozději do </w:t>
      </w:r>
      <w:r>
        <w:rPr>
          <w:rStyle w:val="CharStyle3"/>
          <w:b/>
          <w:bCs/>
        </w:rPr>
        <w:t xml:space="preserve">deseti dnů </w:t>
      </w:r>
      <w:r>
        <w:rPr>
          <w:rStyle w:val="CharStyle3"/>
        </w:rPr>
        <w:t>od nabytí účinnosti této smlouvy. Závazek k poskytnutí licence se přitom považuje za splněný po zpřístupnění autorského díla dohodnutým způsobem dnem předání a převzetí díla formou písemného předávacího protokolu, podepsaného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 w:after="260" w:line="286" w:lineRule="auto"/>
        <w:ind w:left="700" w:right="0" w:hanging="360"/>
        <w:jc w:val="both"/>
      </w:pPr>
      <w:r>
        <w:rPr>
          <w:rStyle w:val="CharStyle3"/>
        </w:rPr>
        <w:t>Pro případ prodlení poskytovatele se splněním jeho závazku k poskytnutí licencí podle této smlouvy ve lhůtě podle čl. 3 této smlouvy se poskytovatel zavazuje zaplatit nabyvateli smluvní pokutu ve výši 1 000,- Kč za každý započatý den tohoto prodlení. Pro případ tohoto prodlení o víc než 10 dnů je nabyvatel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 w:line="276" w:lineRule="auto"/>
        <w:ind w:left="2020" w:right="0" w:hanging="1680"/>
        <w:jc w:val="both"/>
      </w:pPr>
      <w:r>
        <w:rPr>
          <w:rStyle w:val="CharStyle3"/>
        </w:rPr>
        <w:t xml:space="preserve">Nabyvatel se zavazuje zaplatit poskytovateli za poskytnutí licencí dle této smlouvy cenu ve výši: </w:t>
      </w:r>
      <w:r>
        <w:rPr>
          <w:rStyle w:val="CharStyle3"/>
          <w:b/>
          <w:bCs/>
        </w:rPr>
        <w:t xml:space="preserve">110 000,00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133 100,00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 w:line="286" w:lineRule="auto"/>
        <w:ind w:left="660" w:right="0" w:hanging="320"/>
        <w:jc w:val="both"/>
      </w:pPr>
      <w:r>
        <w:rPr>
          <w:rStyle w:val="CharStyle3"/>
        </w:rPr>
        <w:t>Součástí této ceny jsou veškeré náklady poskytovatele na splnění jeho závazku k poskytnutí licencí podle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  <w:tab w:pos="6839" w:val="left"/>
        </w:tabs>
        <w:bidi w:val="0"/>
        <w:spacing w:before="0" w:after="0"/>
        <w:ind w:left="660" w:right="0" w:hanging="320"/>
        <w:jc w:val="both"/>
      </w:pPr>
      <w:r>
        <w:rPr>
          <w:rStyle w:val="CharStyle3"/>
        </w:rPr>
        <w:t>Cena podle čl. 5 této smlouvy je splatná jednorázově předem ve lhůtě do 30 dnů ode dne doručení jejího písemného vyúčtování (daňového dokladu/faktury). Faktura bude doručena elektronicky na</w:t>
        <w:tab/>
        <w:t>faktuře musí být mimo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660" w:right="0" w:firstLine="20"/>
        <w:jc w:val="both"/>
      </w:pPr>
      <w:r>
        <w:rPr>
          <w:rStyle w:val="CharStyle3"/>
        </w:rPr>
        <w:t xml:space="preserve">jiné vždy uvedeno toto číslo veřejné zakázky, ke které se faktura vztahuje: </w:t>
      </w:r>
      <w:r>
        <w:rPr>
          <w:rStyle w:val="CharStyle3"/>
          <w:b/>
          <w:bCs/>
        </w:rPr>
        <w:t xml:space="preserve">P23V00003957. </w:t>
      </w:r>
      <w:r>
        <w:rPr>
          <w:rStyle w:val="CharStyle3"/>
        </w:rPr>
        <w:t>Přílohou faktury bude kopie oboustranně podepsaného předávacího protokolu. Nebude-li faktura splňovat veškeré náležitosti daňového dokladu podle zákona a další náležitosti podle této smlouvy, je nabyvatel oprávněn vrátit takovou fakturu poskytovateli k opravě, přičemž doba její splatnosti začne znovu běžet ode dne doručení opravené faktury nabyvateli.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 w:line="276" w:lineRule="auto"/>
        <w:ind w:left="660" w:right="0" w:hanging="320"/>
        <w:jc w:val="both"/>
      </w:pPr>
      <w:r>
        <w:rPr>
          <w:rStyle w:val="CharStyle3"/>
        </w:rPr>
        <w:t>Nabyvatel je oprávněn odstoupit od této smlouvy pro případ takového výskytu vady počítačového programu podle čl. 1 této smlouvy, která brání jeho řádnému použití pro jeho účely, a to rovněž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5" w:val="left"/>
        </w:tabs>
        <w:bidi w:val="0"/>
        <w:spacing w:before="0"/>
        <w:ind w:left="660" w:right="0" w:hanging="320"/>
        <w:jc w:val="both"/>
      </w:pPr>
      <w:r>
        <w:rPr>
          <w:rStyle w:val="CharStyle3"/>
        </w:rPr>
        <w:t>Poskytovatel je oprávněn odstoupit od této smlouvy pro případ prodlení nabyvatele se splněním jeho uhrazovací povinnosti podle čl. 5 této smlouvy ve lhůtě podle čl. 7 této smlouvy o víc, než 10 dnů.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line="312" w:lineRule="auto"/>
        <w:ind w:left="660" w:right="0" w:hanging="320"/>
        <w:jc w:val="both"/>
      </w:pPr>
      <w:r>
        <w:rPr>
          <w:rStyle w:val="CharStyle3"/>
        </w:rPr>
        <w:t>Není-li touto smlouvou ujednáno jinak, řídí se vzájemný právní poměr mezi poskytovatelem a nabyvatelem právem České republiky, zejména příslušnými ustanoveními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0" w:val="left"/>
        </w:tabs>
        <w:bidi w:val="0"/>
        <w:spacing w:before="0"/>
        <w:ind w:left="0" w:right="0" w:firstLine="300"/>
        <w:jc w:val="left"/>
      </w:pPr>
      <w:r>
        <w:rPr>
          <w:rStyle w:val="CharStyle3"/>
        </w:rPr>
        <w:t>Tuto smlouvu lze změnit nebo zrušit pouze jinou písemnou dohodou obou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/>
        <w:ind w:left="660" w:right="0" w:hanging="320"/>
        <w:jc w:val="both"/>
      </w:pPr>
      <w:r>
        <w:rPr>
          <w:rStyle w:val="CharStyle3"/>
        </w:rPr>
        <w:t>Tato smlouva se sjednává na základě návrhu na její uzavření ze strany nabyvatele. Předpokladem uzavření této smlouvy je její písemná forma a dohoda o jejích podstatných náležitostech, čímž se rozumí celý obsah této smlouvy, jak je uveden v čl. 1 až 15 této smlouvy. Nabyvatel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/>
        <w:ind w:left="660" w:right="0" w:hanging="320"/>
        <w:jc w:val="both"/>
      </w:pPr>
      <w:r>
        <w:rPr>
          <w:rStyle w:val="CharStyle3"/>
        </w:rPr>
        <w:t>Obě strany se dohodly, že zaplacením smluvní pokuty podle této smlouvy není nijak dotčeno právo strany na náhradu škody v plné výši. Tímto ujednáním se přitom vylučuje aplikace ust.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5" w:val="left"/>
        </w:tabs>
        <w:bidi w:val="0"/>
        <w:spacing w:before="0" w:after="1700"/>
        <w:ind w:left="660" w:right="0" w:hanging="320"/>
        <w:jc w:val="both"/>
      </w:pPr>
      <w:r>
        <w:rPr>
          <w:rStyle w:val="CharStyle3"/>
        </w:rPr>
        <w:t>Tato smlouva nabývá platnosti dnem jejího uzavření a účinnosti dnem jejího uveřejnění registru podle zákona č. 340/2015 Sb. o registru smluv. Smluvní strany se dohodly, že uveřejnění v registru smluv (ISRS) včetně uvedení metadat provede objednatel.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5" w:val="left"/>
        </w:tabs>
        <w:bidi w:val="0"/>
        <w:spacing w:before="0" w:line="286" w:lineRule="auto"/>
        <w:ind w:left="660" w:right="0" w:hanging="3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4" w:right="984" w:bottom="1734" w:left="1526" w:header="16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0800" distL="114300" distR="114300" simplePos="0" relativeHeight="125829382" behindDoc="0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554990</wp:posOffset>
                </wp:positionV>
                <wp:extent cx="707390" cy="25908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Predný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1.pt;margin-top:43.700000000000003pt;width:55.700000000000003pt;height:20.400000000000002pt;z-index:-125829371;mso-wrap-distance-left:9.pt;mso-wrap-distance-right:9.pt;mso-wrap-distance-bottom:4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Predný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59" w:val="left"/>
        </w:tabs>
        <w:bidi w:val="0"/>
        <w:spacing w:before="0" w:after="460" w:line="240" w:lineRule="auto"/>
        <w:ind w:left="0" w:right="0" w:firstLine="0"/>
        <w:jc w:val="left"/>
      </w:pPr>
      <w:r>
        <w:rPr>
          <w:rStyle w:val="CharStyle3"/>
        </w:rPr>
        <w:t>V Brně, dne</w:t>
        <w:tab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19"/>
          <w:b/>
          <w:bCs/>
          <w:sz w:val="18"/>
          <w:szCs w:val="18"/>
        </w:rPr>
        <w:t xml:space="preserve">Ml IDr Hana </w:t>
      </w:r>
      <w:r>
        <w:rPr>
          <w:rStyle w:val="CharStyle19"/>
        </w:rPr>
        <w:t xml:space="preserve">Digitálně podepsal </w:t>
      </w:r>
      <w:r>
        <w:rPr>
          <w:rStyle w:val="CharStyle19"/>
          <w:b/>
          <w:bCs/>
          <w:sz w:val="18"/>
          <w:szCs w:val="18"/>
        </w:rPr>
        <w:t xml:space="preserve">IVIUMI. riaiia </w:t>
      </w:r>
      <w:r>
        <w:rPr>
          <w:rStyle w:val="CharStyle19"/>
          <w:b/>
          <w:bCs/>
          <w:sz w:val="18"/>
          <w:szCs w:val="18"/>
          <w:vertAlign w:val="subscript"/>
        </w:rPr>
        <w:t>MUDr</w:t>
      </w:r>
      <w:r>
        <w:rPr>
          <w:rStyle w:val="CharStyle19"/>
          <w:b/>
          <w:bCs/>
          <w:sz w:val="18"/>
          <w:szCs w:val="18"/>
        </w:rPr>
        <w:t xml:space="preserve"> </w:t>
      </w:r>
      <w:r>
        <w:rPr>
          <w:rStyle w:val="CharStyle19"/>
        </w:rPr>
        <w:t>Hana Albrechtová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rStyle w:val="CharStyle22"/>
        </w:rPr>
        <w:t>Albrechtová"™</w:t>
      </w:r>
      <w:r>
        <w:rPr>
          <w:rStyle w:val="CharStyle22"/>
          <w:vertAlign w:val="superscript"/>
        </w:rPr>
        <w:t>18</w:t>
      </w:r>
      <w:bookmarkEnd w:id="6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222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3"/>
          <w:i/>
          <w:iCs/>
        </w:rPr>
        <w:t>V</w:t>
      </w:r>
      <w:r>
        <w:rPr>
          <w:rStyle w:val="CharStyle3"/>
        </w:rPr>
        <w:t xml:space="preserve"> Brně dne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left"/>
      </w:pPr>
      <w:r>
        <w:rPr>
          <w:rStyle w:val="CharStyle3"/>
        </w:rPr>
        <w:t>DigitaHy sig</w:t>
      </w:r>
      <w:r>
        <w:rPr>
          <w:rStyle w:val="CharStyle3"/>
          <w:vertAlign w:val="superscript"/>
        </w:rPr>
        <w:t>ned</w:t>
      </w:r>
      <w:r>
        <w:rPr>
          <w:rStyle w:val="CharStyle3"/>
        </w:rPr>
        <w:t xml:space="preserve"> 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3"/>
          <w:sz w:val="32"/>
          <w:szCs w:val="32"/>
        </w:rPr>
        <w:t xml:space="preserve">Mgr. Martin </w:t>
      </w:r>
      <w:r>
        <w:rPr>
          <w:rStyle w:val="CharStyle3"/>
          <w:vertAlign w:val="subscript"/>
        </w:rPr>
        <w:t>M</w:t>
      </w:r>
      <w:r>
        <w:rPr>
          <w:rStyle w:val="CharStyle3"/>
        </w:rPr>
        <w:t>gr. Martin Predný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480" w:right="0" w:firstLine="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69" w:right="2240" w:bottom="12648" w:left="1557" w:header="1141" w:footer="3" w:gutter="0"/>
          <w:cols w:num="2" w:space="1622"/>
          <w:noEndnote/>
          <w:rtlGutter w:val="0"/>
          <w:docGrid w:linePitch="360"/>
        </w:sectPr>
      </w:pPr>
      <w:r>
        <w:rPr>
          <w:rStyle w:val="CharStyle3"/>
        </w:rPr>
        <w:t>Dáte: 2023.12.08 10:35:17+01'00'</w:t>
      </w:r>
    </w:p>
    <w:p>
      <w:pPr>
        <w:widowControl w:val="0"/>
        <w:spacing w:line="51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69" w:right="0" w:bottom="156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4131310</wp:posOffset>
                </wp:positionH>
                <wp:positionV relativeFrom="paragraph">
                  <wp:posOffset>12700</wp:posOffset>
                </wp:positionV>
                <wp:extent cx="1094105" cy="50292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4105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Mgr. Martin Predný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Poskytovatel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5.30000000000001pt;margin-top:1.pt;width:86.150000000000006pt;height:39.600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Mgr. Martin Predný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Poskytovatel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MUDr. Hana Albrechtová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  <w:b/>
          <w:bCs/>
          <w:i/>
          <w:iCs/>
        </w:rPr>
        <w:t>Nabyvatel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69" w:right="5394" w:bottom="1569" w:left="155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9828530</wp:posOffset>
              </wp:positionV>
              <wp:extent cx="1207135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0713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6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65_2023 Licence SQL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799999999999997pt;margin-top:773.89999999999998pt;width:95.049999999999997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65_2023 Licence SQL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78"/>
      <w:szCs w:val="78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Nadpis #3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Základní text (4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2">
    <w:name w:val="Nadpis #2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auto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78"/>
      <w:szCs w:val="78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ind w:firstLine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Nadpis #3"/>
    <w:basedOn w:val="Normal"/>
    <w:link w:val="CharStyle13"/>
    <w:pPr>
      <w:widowControl w:val="0"/>
      <w:shd w:val="clear" w:color="auto" w:fill="auto"/>
      <w:spacing w:line="290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auto"/>
      <w:spacing w:after="60" w:line="14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