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8545FF" w14:paraId="5A0FE743" w14:textId="77777777" w:rsidTr="0048543C">
        <w:tc>
          <w:tcPr>
            <w:tcW w:w="397" w:type="dxa"/>
          </w:tcPr>
          <w:p w14:paraId="1E4C24C5" w14:textId="01817C78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5F90B958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4E235630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745510B" w14:textId="3CAE3FFC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9430BEE" w14:textId="03D98A81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4BA3362D" w:rsidR="000F08DE" w:rsidRPr="008545FF" w:rsidRDefault="00CE5E0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2F27E3B6" w14:textId="77777777" w:rsidR="007D4C5D" w:rsidRPr="008545FF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8545FF">
        <w:rPr>
          <w:snapToGrid w:val="0"/>
          <w:sz w:val="18"/>
        </w:rPr>
        <w:tab/>
      </w:r>
      <w:r w:rsidR="007D4C5D" w:rsidRPr="008545FF">
        <w:rPr>
          <w:snapToGrid w:val="0"/>
          <w:sz w:val="18"/>
        </w:rPr>
        <w:t xml:space="preserve">Číslo </w:t>
      </w:r>
      <w:r w:rsidR="00DB577C" w:rsidRPr="008545FF">
        <w:rPr>
          <w:snapToGrid w:val="0"/>
          <w:sz w:val="18"/>
        </w:rPr>
        <w:t>příjemce</w:t>
      </w:r>
    </w:p>
    <w:p w14:paraId="285785F3" w14:textId="77777777" w:rsidR="007D4C5D" w:rsidRPr="008545FF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8545FF">
        <w:rPr>
          <w:bCs/>
          <w:smallCaps/>
          <w:snapToGrid w:val="0"/>
          <w:sz w:val="28"/>
          <w:szCs w:val="28"/>
        </w:rPr>
        <w:t>D</w:t>
      </w:r>
      <w:r w:rsidR="004A1EE5" w:rsidRPr="008545FF">
        <w:rPr>
          <w:bCs/>
          <w:smallCaps/>
          <w:snapToGrid w:val="0"/>
          <w:sz w:val="28"/>
          <w:szCs w:val="28"/>
        </w:rPr>
        <w:t>ODATEK</w:t>
      </w:r>
      <w:r w:rsidRPr="008545FF">
        <w:rPr>
          <w:bCs/>
          <w:smallCaps/>
          <w:snapToGrid w:val="0"/>
          <w:sz w:val="28"/>
          <w:szCs w:val="28"/>
        </w:rPr>
        <w:t xml:space="preserve"> č. </w:t>
      </w:r>
      <w:r w:rsidR="008F536D" w:rsidRPr="008545FF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8545FF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8545FF">
        <w:rPr>
          <w:bCs/>
          <w:smallCaps/>
        </w:rPr>
        <w:t>k</w:t>
      </w:r>
      <w:r w:rsidR="00BA53A8" w:rsidRPr="008545FF">
        <w:rPr>
          <w:szCs w:val="36"/>
        </w:rPr>
        <w:t xml:space="preserve"> </w:t>
      </w:r>
      <w:r w:rsidR="00BA53A8" w:rsidRPr="008545FF">
        <w:rPr>
          <w:caps/>
          <w:sz w:val="28"/>
          <w:szCs w:val="28"/>
        </w:rPr>
        <w:t>PŘÍKAZNÍ</w:t>
      </w:r>
      <w:r w:rsidR="004A1EE5" w:rsidRPr="008545FF">
        <w:rPr>
          <w:caps/>
          <w:sz w:val="28"/>
          <w:szCs w:val="28"/>
        </w:rPr>
        <w:t xml:space="preserve"> SmlouvĚ</w:t>
      </w:r>
    </w:p>
    <w:p w14:paraId="4E680F0E" w14:textId="0A3B985C" w:rsidR="004A1EE5" w:rsidRPr="008545FF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545FF">
        <w:rPr>
          <w:b/>
          <w:snapToGrid w:val="0"/>
          <w:sz w:val="28"/>
          <w:szCs w:val="28"/>
        </w:rPr>
        <w:t xml:space="preserve">č. nSIPO </w:t>
      </w:r>
      <w:r w:rsidR="00CE5E08">
        <w:rPr>
          <w:b/>
          <w:snapToGrid w:val="0"/>
          <w:sz w:val="28"/>
          <w:szCs w:val="28"/>
        </w:rPr>
        <w:t>07 – 13/2014</w:t>
      </w:r>
    </w:p>
    <w:p w14:paraId="0916785C" w14:textId="77777777" w:rsidR="00BA53A8" w:rsidRPr="008545FF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545FF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8545FF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8545FF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545FF">
        <w:rPr>
          <w:b/>
          <w:snapToGrid w:val="0"/>
          <w:sz w:val="24"/>
        </w:rPr>
        <w:t>1.</w:t>
      </w:r>
      <w:r w:rsidRPr="008545FF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8545FF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8545FF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8545FF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8545FF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IČO: </w:t>
      </w:r>
      <w:r w:rsidRPr="008545FF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DIČ:</w:t>
      </w:r>
      <w:r w:rsidRPr="008545FF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8545F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8545F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b/>
          <w:snapToGrid w:val="0"/>
          <w:sz w:val="24"/>
        </w:rPr>
        <w:tab/>
      </w:r>
      <w:r w:rsidRPr="008545FF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1727566F" w:rsidR="00BA53A8" w:rsidRPr="008545FF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21D03676" w:rsidR="00BA53A8" w:rsidRPr="008545F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 xml:space="preserve">číslo účtu: </w:t>
      </w:r>
      <w:r w:rsidR="00584734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8545FF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8545FF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a</w:t>
      </w:r>
    </w:p>
    <w:p w14:paraId="12B77932" w14:textId="77777777" w:rsidR="00C3373C" w:rsidRPr="00DE2BC9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D93F66">
        <w:rPr>
          <w:rFonts w:ascii="Times New Roman" w:hAnsi="Times New Roman"/>
          <w:snapToGrid w:val="0"/>
          <w:sz w:val="24"/>
        </w:rPr>
        <w:t>16063001</w:t>
      </w:r>
    </w:p>
    <w:p w14:paraId="23B1219F" w14:textId="77777777" w:rsidR="00C3373C" w:rsidRPr="00206D3F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Studénka</w:t>
      </w:r>
    </w:p>
    <w:p w14:paraId="5D639BEA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Studénka, Butovice, nám. Republiky 762, PSČ 742 13</w:t>
      </w:r>
    </w:p>
    <w:p w14:paraId="516140F7" w14:textId="0670428C" w:rsidR="00C3373C" w:rsidRPr="00D93F66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E80AC6">
        <w:rPr>
          <w:rFonts w:ascii="Times New Roman" w:hAnsi="Times New Roman"/>
          <w:snapToGrid w:val="0"/>
          <w:sz w:val="24"/>
        </w:rPr>
        <w:t>Liborem Slavíkem</w:t>
      </w:r>
      <w:r>
        <w:rPr>
          <w:rFonts w:ascii="Times New Roman" w:hAnsi="Times New Roman"/>
          <w:snapToGrid w:val="0"/>
          <w:sz w:val="24"/>
        </w:rPr>
        <w:t>, starostou</w:t>
      </w:r>
    </w:p>
    <w:p w14:paraId="1B061F38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00298441</w:t>
      </w:r>
    </w:p>
    <w:p w14:paraId="54E878DD" w14:textId="77777777" w:rsidR="00C3373C" w:rsidRDefault="00C3373C" w:rsidP="00C3373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00298441</w:t>
      </w:r>
    </w:p>
    <w:p w14:paraId="7571A819" w14:textId="77777777" w:rsidR="00C3373C" w:rsidRPr="00D93F66" w:rsidRDefault="00C3373C" w:rsidP="00C3373C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D93F66">
        <w:rPr>
          <w:rFonts w:ascii="Times New Roman" w:hAnsi="Times New Roman"/>
          <w:snapToGrid w:val="0"/>
          <w:sz w:val="24"/>
        </w:rPr>
        <w:t>Komerční banka, a.s.</w:t>
      </w:r>
    </w:p>
    <w:p w14:paraId="244AC3EA" w14:textId="46BDD87C" w:rsidR="00C3373C" w:rsidRDefault="00C3373C" w:rsidP="00C3373C">
      <w:pPr>
        <w:pStyle w:val="Codstavec"/>
        <w:tabs>
          <w:tab w:val="left" w:pos="284"/>
          <w:tab w:val="left" w:pos="851"/>
        </w:tabs>
        <w:spacing w:before="60"/>
        <w:ind w:left="358" w:hanging="74"/>
        <w:rPr>
          <w:rFonts w:ascii="Times New Roman" w:hAnsi="Times New Roman"/>
          <w:b/>
          <w:snapToGrid w:val="0"/>
          <w:sz w:val="24"/>
        </w:rPr>
      </w:pPr>
      <w:r w:rsidRPr="00C3373C">
        <w:rPr>
          <w:rFonts w:ascii="Times New Roman" w:hAnsi="Times New Roman"/>
          <w:b/>
          <w:bCs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584734">
        <w:rPr>
          <w:rFonts w:ascii="Times New Roman" w:hAnsi="Times New Roman"/>
          <w:bCs/>
          <w:snapToGrid w:val="0"/>
          <w:sz w:val="24"/>
        </w:rPr>
        <w:t>xxx</w:t>
      </w:r>
    </w:p>
    <w:p w14:paraId="43C80CDA" w14:textId="39A04D6F" w:rsidR="00C3373C" w:rsidRPr="00C3373C" w:rsidRDefault="00584734" w:rsidP="00C3373C">
      <w:pPr>
        <w:pStyle w:val="Codstavec"/>
        <w:tabs>
          <w:tab w:val="left" w:pos="284"/>
          <w:tab w:val="left" w:pos="851"/>
          <w:tab w:val="left" w:pos="5670"/>
        </w:tabs>
        <w:ind w:left="360" w:hanging="76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6CA1E2AE" w14:textId="77777777" w:rsidR="00C3373C" w:rsidRDefault="00C3373C" w:rsidP="00C3373C">
      <w:pPr>
        <w:pStyle w:val="Codstavec"/>
        <w:tabs>
          <w:tab w:val="left" w:pos="284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9822519" w14:textId="77777777" w:rsidR="00C3373C" w:rsidRPr="00DE2BC9" w:rsidRDefault="00C3373C" w:rsidP="00C3373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cccccc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30D5FB89" w14:textId="55C77C81" w:rsidR="00C3373C" w:rsidRDefault="00C3373C" w:rsidP="00C3373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1005141" w14:textId="77777777" w:rsidR="00584734" w:rsidRPr="00DE2BC9" w:rsidRDefault="00584734" w:rsidP="00C3373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0611E36C" w14:textId="41B8F68B" w:rsidR="007D4C5D" w:rsidRPr="008545FF" w:rsidRDefault="007D4C5D" w:rsidP="00781654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 w:rsidRPr="008545FF">
        <w:rPr>
          <w:rFonts w:ascii="Times New Roman" w:hAnsi="Times New Roman"/>
          <w:b/>
          <w:sz w:val="24"/>
        </w:rPr>
        <w:lastRenderedPageBreak/>
        <w:t>1.</w:t>
      </w:r>
      <w:r w:rsidRPr="008545FF">
        <w:rPr>
          <w:rFonts w:ascii="Times New Roman" w:hAnsi="Times New Roman"/>
          <w:sz w:val="24"/>
        </w:rPr>
        <w:tab/>
      </w:r>
      <w:r w:rsidRPr="008545FF">
        <w:rPr>
          <w:rFonts w:ascii="Times New Roman" w:hAnsi="Times New Roman"/>
          <w:b/>
          <w:sz w:val="24"/>
        </w:rPr>
        <w:t xml:space="preserve">Smluvní strany uzavřely dne </w:t>
      </w:r>
      <w:r w:rsidR="00CE5E08">
        <w:rPr>
          <w:rFonts w:ascii="Times New Roman" w:hAnsi="Times New Roman"/>
          <w:b/>
          <w:sz w:val="24"/>
        </w:rPr>
        <w:t>24</w:t>
      </w:r>
      <w:r w:rsidR="007C328F" w:rsidRPr="008545FF">
        <w:rPr>
          <w:rFonts w:ascii="Times New Roman" w:hAnsi="Times New Roman"/>
          <w:b/>
          <w:sz w:val="24"/>
        </w:rPr>
        <w:t>.2</w:t>
      </w:r>
      <w:r w:rsidR="008F536D" w:rsidRPr="008545FF">
        <w:rPr>
          <w:rFonts w:ascii="Times New Roman" w:hAnsi="Times New Roman"/>
          <w:b/>
          <w:sz w:val="24"/>
        </w:rPr>
        <w:t>.201</w:t>
      </w:r>
      <w:r w:rsidR="00152762">
        <w:rPr>
          <w:rFonts w:ascii="Times New Roman" w:hAnsi="Times New Roman"/>
          <w:b/>
          <w:sz w:val="24"/>
        </w:rPr>
        <w:t>4</w:t>
      </w:r>
      <w:r w:rsidR="000B3C49" w:rsidRPr="008545FF">
        <w:rPr>
          <w:rFonts w:ascii="Times New Roman" w:hAnsi="Times New Roman"/>
          <w:b/>
          <w:sz w:val="24"/>
        </w:rPr>
        <w:t xml:space="preserve"> </w:t>
      </w:r>
      <w:r w:rsidR="00BA53A8" w:rsidRPr="008545FF">
        <w:rPr>
          <w:rFonts w:ascii="Times New Roman" w:hAnsi="Times New Roman"/>
          <w:b/>
          <w:sz w:val="24"/>
        </w:rPr>
        <w:t>Příkazní</w:t>
      </w:r>
      <w:r w:rsidRPr="008545FF">
        <w:rPr>
          <w:rFonts w:ascii="Times New Roman" w:hAnsi="Times New Roman"/>
          <w:b/>
          <w:sz w:val="24"/>
        </w:rPr>
        <w:t xml:space="preserve"> smlouvu č. </w:t>
      </w:r>
      <w:r w:rsidR="001B050C" w:rsidRPr="008545FF">
        <w:rPr>
          <w:rFonts w:ascii="Times New Roman" w:hAnsi="Times New Roman"/>
          <w:b/>
          <w:sz w:val="24"/>
        </w:rPr>
        <w:t>n</w:t>
      </w:r>
      <w:r w:rsidRPr="008545FF">
        <w:rPr>
          <w:rFonts w:ascii="Times New Roman" w:hAnsi="Times New Roman"/>
          <w:b/>
          <w:sz w:val="24"/>
        </w:rPr>
        <w:t xml:space="preserve">SIPO </w:t>
      </w:r>
      <w:r w:rsidR="00CE5E08">
        <w:rPr>
          <w:rFonts w:ascii="Times New Roman" w:hAnsi="Times New Roman"/>
          <w:b/>
          <w:snapToGrid w:val="0"/>
          <w:sz w:val="24"/>
          <w:szCs w:val="24"/>
        </w:rPr>
        <w:t xml:space="preserve">07 – 13/2014 </w:t>
      </w:r>
      <w:r w:rsidRPr="008545FF">
        <w:rPr>
          <w:rFonts w:ascii="Times New Roman" w:hAnsi="Times New Roman"/>
          <w:b/>
          <w:sz w:val="24"/>
        </w:rPr>
        <w:t>(dále jen „Smlouva“).</w:t>
      </w:r>
    </w:p>
    <w:p w14:paraId="766F5C9D" w14:textId="1BB5B1EE" w:rsidR="00C3373C" w:rsidRDefault="00A930C1" w:rsidP="00E80AC6">
      <w:pPr>
        <w:pStyle w:val="Codstavec"/>
        <w:tabs>
          <w:tab w:val="left" w:pos="5670"/>
        </w:tabs>
        <w:spacing w:before="480"/>
        <w:ind w:left="357" w:hanging="357"/>
        <w:jc w:val="both"/>
        <w:rPr>
          <w:rFonts w:ascii="Times New Roman" w:hAnsi="Times New Roman"/>
          <w:b/>
          <w:sz w:val="24"/>
          <w:u w:val="single"/>
        </w:rPr>
      </w:pPr>
      <w:r w:rsidRPr="008545FF">
        <w:rPr>
          <w:rFonts w:ascii="Times New Roman" w:hAnsi="Times New Roman"/>
          <w:b/>
          <w:sz w:val="24"/>
        </w:rPr>
        <w:t>2.</w:t>
      </w:r>
      <w:r w:rsidRPr="008545FF">
        <w:rPr>
          <w:rFonts w:ascii="Times New Roman" w:hAnsi="Times New Roman"/>
          <w:b/>
          <w:sz w:val="24"/>
        </w:rPr>
        <w:tab/>
      </w:r>
      <w:r w:rsidR="00C3373C">
        <w:rPr>
          <w:rFonts w:ascii="Times New Roman" w:hAnsi="Times New Roman"/>
          <w:b/>
          <w:sz w:val="24"/>
        </w:rPr>
        <w:t xml:space="preserve">Příkazník bere na vědomí </w:t>
      </w:r>
      <w:r w:rsidR="00C3373C" w:rsidRPr="00523863">
        <w:rPr>
          <w:rFonts w:ascii="Times New Roman" w:hAnsi="Times New Roman"/>
          <w:b/>
          <w:sz w:val="24"/>
          <w:u w:val="single"/>
        </w:rPr>
        <w:t>rozšíření bankovního spoje</w:t>
      </w:r>
      <w:r w:rsidR="00C3373C" w:rsidRPr="00EE57FE">
        <w:rPr>
          <w:rFonts w:ascii="Times New Roman" w:hAnsi="Times New Roman"/>
          <w:b/>
          <w:sz w:val="24"/>
          <w:u w:val="single"/>
        </w:rPr>
        <w:t>ní</w:t>
      </w:r>
      <w:r w:rsidR="00C3373C" w:rsidRPr="00523863">
        <w:rPr>
          <w:rFonts w:ascii="Times New Roman" w:hAnsi="Times New Roman"/>
          <w:b/>
          <w:sz w:val="24"/>
        </w:rPr>
        <w:t xml:space="preserve"> pro účely plnění Smlouvy na straně </w:t>
      </w:r>
      <w:r w:rsidR="00C3373C">
        <w:rPr>
          <w:rFonts w:ascii="Times New Roman" w:hAnsi="Times New Roman"/>
          <w:b/>
          <w:sz w:val="24"/>
        </w:rPr>
        <w:t>Příkazce</w:t>
      </w:r>
      <w:r w:rsidR="00C3373C" w:rsidRPr="00523863">
        <w:rPr>
          <w:rFonts w:ascii="Times New Roman" w:hAnsi="Times New Roman"/>
          <w:b/>
          <w:sz w:val="24"/>
        </w:rPr>
        <w:t xml:space="preserve"> </w:t>
      </w:r>
      <w:r w:rsidR="00C3373C" w:rsidRPr="00523863">
        <w:rPr>
          <w:rFonts w:ascii="Times New Roman" w:hAnsi="Times New Roman"/>
          <w:b/>
          <w:sz w:val="24"/>
          <w:u w:val="single"/>
        </w:rPr>
        <w:t xml:space="preserve">o </w:t>
      </w:r>
      <w:r w:rsidR="00C3373C">
        <w:rPr>
          <w:rFonts w:ascii="Times New Roman" w:hAnsi="Times New Roman"/>
          <w:b/>
          <w:sz w:val="24"/>
          <w:u w:val="single"/>
        </w:rPr>
        <w:t>nový kód poplatku</w:t>
      </w:r>
      <w:r w:rsidR="00C3373C" w:rsidRPr="00523863">
        <w:rPr>
          <w:rFonts w:ascii="Times New Roman" w:hAnsi="Times New Roman"/>
          <w:b/>
          <w:sz w:val="24"/>
          <w:u w:val="single"/>
        </w:rPr>
        <w:t xml:space="preserve"> č. </w:t>
      </w:r>
      <w:r w:rsidR="00C3373C">
        <w:rPr>
          <w:rFonts w:ascii="Times New Roman" w:hAnsi="Times New Roman"/>
          <w:b/>
          <w:sz w:val="24"/>
          <w:u w:val="single"/>
        </w:rPr>
        <w:t>31</w:t>
      </w:r>
      <w:r w:rsidR="00C3373C" w:rsidRPr="00F92C13">
        <w:rPr>
          <w:rFonts w:ascii="Times New Roman" w:hAnsi="Times New Roman"/>
          <w:b/>
          <w:sz w:val="24"/>
          <w:u w:val="single"/>
        </w:rPr>
        <w:t xml:space="preserve"> u čísla účtu s vazbou na kód poplatku č. </w:t>
      </w:r>
      <w:r w:rsidR="00C3373C">
        <w:rPr>
          <w:rFonts w:ascii="Times New Roman" w:hAnsi="Times New Roman"/>
          <w:b/>
          <w:sz w:val="24"/>
          <w:u w:val="single"/>
        </w:rPr>
        <w:t>33.</w:t>
      </w:r>
    </w:p>
    <w:p w14:paraId="610B2CCB" w14:textId="56AFB120" w:rsidR="00E80AC6" w:rsidRDefault="00E80AC6" w:rsidP="00E80AC6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4.2.3,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4716EDE" w14:textId="0D742200" w:rsidR="00E80AC6" w:rsidRPr="00E80AC6" w:rsidRDefault="00E80AC6" w:rsidP="00E80AC6">
      <w:pPr>
        <w:pStyle w:val="Codstavec"/>
        <w:tabs>
          <w:tab w:val="left" w:pos="284"/>
          <w:tab w:val="left" w:pos="567"/>
          <w:tab w:val="left" w:pos="4111"/>
        </w:tabs>
        <w:spacing w:before="120" w:line="240" w:lineRule="auto"/>
        <w:ind w:firstLine="0"/>
        <w:jc w:val="both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4.2.3 </w:t>
      </w:r>
      <w:r>
        <w:rPr>
          <w:rFonts w:ascii="Times New Roman" w:hAnsi="Times New Roman"/>
          <w:snapToGrid w:val="0"/>
          <w:sz w:val="24"/>
        </w:rPr>
        <w:tab/>
        <w:t xml:space="preserve">Faktury budou zasílány na adresu: </w:t>
      </w:r>
      <w:r>
        <w:rPr>
          <w:rFonts w:ascii="Times New Roman" w:hAnsi="Times New Roman"/>
          <w:snapToGrid w:val="0"/>
          <w:sz w:val="24"/>
        </w:rPr>
        <w:tab/>
      </w:r>
      <w:r w:rsidRPr="00E80AC6">
        <w:rPr>
          <w:rFonts w:ascii="Times New Roman" w:hAnsi="Times New Roman"/>
          <w:bCs/>
          <w:snapToGrid w:val="0"/>
          <w:sz w:val="24"/>
        </w:rPr>
        <w:t xml:space="preserve">Město Studénka, nám Republiky 762, </w:t>
      </w:r>
    </w:p>
    <w:p w14:paraId="3EB730BC" w14:textId="77777777" w:rsidR="00E80AC6" w:rsidRPr="00E80AC6" w:rsidRDefault="00E80AC6" w:rsidP="00E80AC6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Cs/>
          <w:snapToGrid w:val="0"/>
          <w:sz w:val="24"/>
        </w:rPr>
      </w:pPr>
      <w:r w:rsidRPr="00E80AC6">
        <w:rPr>
          <w:rFonts w:ascii="Times New Roman" w:hAnsi="Times New Roman"/>
          <w:bCs/>
          <w:snapToGrid w:val="0"/>
          <w:sz w:val="24"/>
        </w:rPr>
        <w:t>742 13 Studénka - Butovice</w:t>
      </w:r>
    </w:p>
    <w:p w14:paraId="54CEB2C1" w14:textId="4D04B363" w:rsidR="00E80AC6" w:rsidRDefault="00E80AC6" w:rsidP="00E80AC6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4.2.3,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14:paraId="07325C92" w14:textId="44BFE1B8" w:rsidR="00E80AC6" w:rsidRDefault="00E80AC6" w:rsidP="00E80AC6">
      <w:pPr>
        <w:pStyle w:val="Codstavec"/>
        <w:tabs>
          <w:tab w:val="left" w:pos="284"/>
          <w:tab w:val="left" w:pos="567"/>
        </w:tabs>
        <w:spacing w:before="120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>4.2.3</w:t>
      </w:r>
      <w:r>
        <w:rPr>
          <w:rFonts w:ascii="Times New Roman" w:hAnsi="Times New Roman"/>
          <w:snapToGrid w:val="0"/>
          <w:sz w:val="24"/>
        </w:rPr>
        <w:tab/>
        <w:t xml:space="preserve">Faktura bude zasílána </w:t>
      </w:r>
      <w:r w:rsidRPr="00E80AC6">
        <w:rPr>
          <w:rFonts w:ascii="Times New Roman" w:hAnsi="Times New Roman"/>
          <w:b/>
          <w:sz w:val="24"/>
        </w:rPr>
        <w:t>na e-mailovou adresu:</w:t>
      </w:r>
      <w:r>
        <w:rPr>
          <w:rFonts w:ascii="Times New Roman" w:hAnsi="Times New Roman"/>
          <w:b/>
          <w:sz w:val="24"/>
        </w:rPr>
        <w:t xml:space="preserve"> </w:t>
      </w:r>
      <w:hyperlink r:id="rId7" w:history="1">
        <w:r w:rsidR="00584734">
          <w:rPr>
            <w:rStyle w:val="Hypertextovodkaz"/>
            <w:rFonts w:ascii="Times New Roman" w:hAnsi="Times New Roman"/>
            <w:b/>
            <w:sz w:val="24"/>
          </w:rPr>
          <w:t>xxx</w:t>
        </w:r>
      </w:hyperlink>
    </w:p>
    <w:p w14:paraId="06F7F6A8" w14:textId="4D07469C" w:rsidR="00781654" w:rsidRDefault="00E80AC6" w:rsidP="00E80AC6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781654">
        <w:rPr>
          <w:rFonts w:ascii="Times New Roman" w:hAnsi="Times New Roman"/>
          <w:b/>
          <w:sz w:val="24"/>
        </w:rPr>
        <w:t>.</w:t>
      </w:r>
      <w:r w:rsidR="00781654">
        <w:rPr>
          <w:rFonts w:ascii="Times New Roman" w:hAnsi="Times New Roman"/>
          <w:b/>
          <w:sz w:val="24"/>
        </w:rPr>
        <w:tab/>
      </w:r>
      <w:r w:rsidR="00781654" w:rsidRPr="002D570B">
        <w:rPr>
          <w:rFonts w:ascii="Times New Roman" w:hAnsi="Times New Roman"/>
          <w:b/>
          <w:sz w:val="24"/>
        </w:rPr>
        <w:t xml:space="preserve">Dosavadní ustanovení </w:t>
      </w:r>
      <w:r w:rsidR="00781654">
        <w:rPr>
          <w:rFonts w:ascii="Times New Roman" w:hAnsi="Times New Roman"/>
          <w:b/>
          <w:sz w:val="24"/>
        </w:rPr>
        <w:t>čl. V. Zvláštní ujednání</w:t>
      </w:r>
      <w:r w:rsidR="00781654" w:rsidRPr="002D570B">
        <w:rPr>
          <w:rFonts w:ascii="Times New Roman" w:hAnsi="Times New Roman"/>
          <w:b/>
          <w:sz w:val="24"/>
        </w:rPr>
        <w:t xml:space="preserve">, </w:t>
      </w:r>
      <w:r w:rsidR="00781654">
        <w:rPr>
          <w:rFonts w:ascii="Times New Roman" w:hAnsi="Times New Roman"/>
          <w:b/>
          <w:sz w:val="24"/>
        </w:rPr>
        <w:t xml:space="preserve">odst. 5.4, </w:t>
      </w:r>
      <w:r w:rsidR="00781654" w:rsidRPr="002D570B">
        <w:rPr>
          <w:rFonts w:ascii="Times New Roman" w:hAnsi="Times New Roman"/>
          <w:b/>
          <w:sz w:val="24"/>
        </w:rPr>
        <w:t xml:space="preserve">Smlouvy </w:t>
      </w:r>
      <w:r w:rsidR="00781654" w:rsidRPr="002D570B">
        <w:rPr>
          <w:rFonts w:ascii="Times New Roman" w:hAnsi="Times New Roman"/>
          <w:b/>
          <w:sz w:val="24"/>
          <w:u w:val="single"/>
        </w:rPr>
        <w:t>se ruší</w:t>
      </w:r>
      <w:r w:rsidR="00781654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D14369A" w14:textId="3FB2265A" w:rsidR="00781654" w:rsidRPr="00781654" w:rsidRDefault="00781654" w:rsidP="00781654">
      <w:pPr>
        <w:pStyle w:val="Codstavec"/>
        <w:numPr>
          <w:ilvl w:val="1"/>
          <w:numId w:val="22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AE98C8E" w14:textId="6E181AED" w:rsidR="00781654" w:rsidRDefault="00E80AC6" w:rsidP="00E80AC6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781654">
        <w:rPr>
          <w:rFonts w:ascii="Times New Roman" w:hAnsi="Times New Roman"/>
          <w:b/>
          <w:sz w:val="24"/>
        </w:rPr>
        <w:t>.</w:t>
      </w:r>
      <w:r w:rsidR="00781654">
        <w:rPr>
          <w:rFonts w:ascii="Times New Roman" w:hAnsi="Times New Roman"/>
          <w:b/>
          <w:sz w:val="24"/>
        </w:rPr>
        <w:tab/>
      </w:r>
      <w:r w:rsidR="00781654" w:rsidRPr="002D570B">
        <w:rPr>
          <w:rFonts w:ascii="Times New Roman" w:hAnsi="Times New Roman"/>
          <w:b/>
          <w:sz w:val="24"/>
        </w:rPr>
        <w:t xml:space="preserve">Dosavadní ustanovení </w:t>
      </w:r>
      <w:r w:rsidR="00781654">
        <w:rPr>
          <w:rFonts w:ascii="Times New Roman" w:hAnsi="Times New Roman"/>
          <w:b/>
          <w:sz w:val="24"/>
        </w:rPr>
        <w:t>čl. V. Zvláštní ujednání</w:t>
      </w:r>
      <w:r w:rsidR="00781654" w:rsidRPr="002D570B">
        <w:rPr>
          <w:rFonts w:ascii="Times New Roman" w:hAnsi="Times New Roman"/>
          <w:b/>
          <w:sz w:val="24"/>
        </w:rPr>
        <w:t xml:space="preserve">, </w:t>
      </w:r>
      <w:r w:rsidR="00781654">
        <w:rPr>
          <w:rFonts w:ascii="Times New Roman" w:hAnsi="Times New Roman"/>
          <w:b/>
          <w:sz w:val="24"/>
        </w:rPr>
        <w:t xml:space="preserve">odst. 5.4, </w:t>
      </w:r>
      <w:r w:rsidR="00781654" w:rsidRPr="002D570B">
        <w:rPr>
          <w:rFonts w:ascii="Times New Roman" w:hAnsi="Times New Roman"/>
          <w:b/>
          <w:sz w:val="24"/>
        </w:rPr>
        <w:t xml:space="preserve">Smlouvy </w:t>
      </w:r>
      <w:r w:rsidR="00781654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781654">
        <w:rPr>
          <w:rFonts w:ascii="Times New Roman" w:hAnsi="Times New Roman"/>
          <w:b/>
          <w:sz w:val="24"/>
          <w:u w:val="single"/>
        </w:rPr>
        <w:t>nahrazuje</w:t>
      </w:r>
      <w:r w:rsidR="00781654" w:rsidRPr="002D570B">
        <w:rPr>
          <w:rFonts w:ascii="Times New Roman" w:hAnsi="Times New Roman"/>
          <w:b/>
          <w:sz w:val="24"/>
        </w:rPr>
        <w:t xml:space="preserve"> v tomto úplném</w:t>
      </w:r>
      <w:r w:rsidR="00781654">
        <w:rPr>
          <w:rFonts w:ascii="Times New Roman" w:hAnsi="Times New Roman"/>
          <w:b/>
          <w:sz w:val="24"/>
        </w:rPr>
        <w:t xml:space="preserve"> novém</w:t>
      </w:r>
      <w:r w:rsidR="00781654" w:rsidRPr="002D570B">
        <w:rPr>
          <w:rFonts w:ascii="Times New Roman" w:hAnsi="Times New Roman"/>
          <w:b/>
          <w:sz w:val="24"/>
        </w:rPr>
        <w:t xml:space="preserve"> znění:</w:t>
      </w:r>
    </w:p>
    <w:p w14:paraId="332CA10F" w14:textId="20AF4FBE" w:rsidR="00781654" w:rsidRPr="00781654" w:rsidRDefault="00781654" w:rsidP="00A15338">
      <w:pPr>
        <w:pStyle w:val="Codstavec"/>
        <w:tabs>
          <w:tab w:val="left" w:pos="0"/>
        </w:tabs>
        <w:spacing w:before="120"/>
        <w:ind w:left="567" w:right="-2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5.4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  <w:szCs w:val="24"/>
        </w:rPr>
        <w:t>D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ůvěrnými informacemi a obchodním tajemstvím zejména zápisy z jednání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mluvních stran a jakékoliv dokumenty, které budou zpracovány na základě této Smlouvy, jakož i další podklady a informace, které jsou předmětem obchodního tajemství a budou předávány mezi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mluvními stranami při plnění povinností ze Smlouvy. Povinnost mlčenlivosti trvá až do doby, kdy se Důvěrné informace stanou obecně známými za předpokladu, že se tak nestane porušením povinnosti mlčenlivosti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strany.  </w:t>
      </w:r>
      <w:r w:rsidRPr="007E0297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7E0297">
        <w:rPr>
          <w:rFonts w:ascii="Times New Roman" w:hAnsi="Times New Roman"/>
          <w:kern w:val="28"/>
          <w:sz w:val="24"/>
          <w:szCs w:val="24"/>
        </w:rPr>
        <w:t>mluvní strany.</w:t>
      </w:r>
    </w:p>
    <w:p w14:paraId="14DA0106" w14:textId="236F88AB" w:rsidR="00C57379" w:rsidRPr="008545FF" w:rsidRDefault="00E80AC6" w:rsidP="0078165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C57379" w:rsidRPr="008545FF">
        <w:rPr>
          <w:rFonts w:ascii="Times New Roman" w:hAnsi="Times New Roman"/>
          <w:b/>
          <w:sz w:val="24"/>
        </w:rPr>
        <w:t>.</w:t>
      </w:r>
      <w:r w:rsidR="00C57379" w:rsidRPr="008545FF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8545FF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8545FF">
        <w:rPr>
          <w:rFonts w:ascii="Times New Roman" w:hAnsi="Times New Roman"/>
          <w:b/>
          <w:sz w:val="24"/>
        </w:rPr>
        <w:t xml:space="preserve"> Smlouvy </w:t>
      </w:r>
      <w:r w:rsidR="00C57379" w:rsidRPr="008545FF">
        <w:rPr>
          <w:rFonts w:ascii="Times New Roman" w:hAnsi="Times New Roman"/>
          <w:b/>
          <w:sz w:val="24"/>
          <w:u w:val="single"/>
        </w:rPr>
        <w:t>se ruší</w:t>
      </w:r>
      <w:r w:rsidR="00C57379" w:rsidRPr="008545FF">
        <w:rPr>
          <w:rFonts w:ascii="Times New Roman" w:hAnsi="Times New Roman"/>
          <w:b/>
          <w:sz w:val="24"/>
        </w:rPr>
        <w:t xml:space="preserve"> v tomto úplném znění:</w:t>
      </w:r>
    </w:p>
    <w:p w14:paraId="5A1919F5" w14:textId="1D518401" w:rsidR="00E80AC6" w:rsidRPr="008545FF" w:rsidRDefault="00584734" w:rsidP="00E80AC6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1DDD1095" w14:textId="2AFA76E7" w:rsidR="00C57379" w:rsidRPr="008545FF" w:rsidRDefault="00E80AC6" w:rsidP="00E80AC6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C57379" w:rsidRPr="008545FF">
        <w:rPr>
          <w:rFonts w:ascii="Times New Roman" w:hAnsi="Times New Roman"/>
          <w:b/>
          <w:sz w:val="24"/>
        </w:rPr>
        <w:t>.</w:t>
      </w:r>
      <w:r w:rsidR="00C57379" w:rsidRPr="008545FF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8545FF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8545FF">
        <w:rPr>
          <w:rFonts w:ascii="Times New Roman" w:hAnsi="Times New Roman"/>
          <w:b/>
          <w:sz w:val="24"/>
        </w:rPr>
        <w:t xml:space="preserve">, Smlouvy </w:t>
      </w:r>
      <w:r w:rsidR="00C57379" w:rsidRPr="008545FF">
        <w:rPr>
          <w:rFonts w:ascii="Times New Roman" w:hAnsi="Times New Roman"/>
          <w:b/>
          <w:sz w:val="24"/>
          <w:u w:val="single"/>
        </w:rPr>
        <w:t>se nahrazuje</w:t>
      </w:r>
      <w:r w:rsidR="00C57379" w:rsidRPr="008545FF">
        <w:rPr>
          <w:rFonts w:ascii="Times New Roman" w:hAnsi="Times New Roman"/>
          <w:b/>
          <w:sz w:val="24"/>
        </w:rPr>
        <w:t xml:space="preserve"> v tomto úplném novém znění:</w:t>
      </w:r>
    </w:p>
    <w:p w14:paraId="6FC40C51" w14:textId="32D8D485" w:rsidR="00E80AC6" w:rsidRPr="008545FF" w:rsidRDefault="00584734" w:rsidP="00E80AC6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5ADAF392" w14:textId="24367BEF" w:rsidR="00E80AC6" w:rsidRDefault="00E80AC6" w:rsidP="00E80AC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9</w:t>
      </w:r>
      <w:r w:rsidR="0090644A" w:rsidRPr="008545FF">
        <w:rPr>
          <w:b/>
        </w:rPr>
        <w:t>.</w:t>
      </w:r>
      <w:r w:rsidR="0090644A" w:rsidRPr="008545FF"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14:paraId="5271C535" w14:textId="7F16AEA2" w:rsidR="00922CA7" w:rsidRPr="008545FF" w:rsidRDefault="00E80AC6" w:rsidP="00E80AC6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</w:pPr>
      <w:r>
        <w:rPr>
          <w:b/>
        </w:rPr>
        <w:t>10</w:t>
      </w:r>
      <w:r w:rsidR="00922CA7" w:rsidRPr="008545FF">
        <w:rPr>
          <w:b/>
        </w:rPr>
        <w:t>.</w:t>
      </w:r>
      <w:r w:rsidR="00922CA7" w:rsidRPr="008545FF">
        <w:tab/>
        <w:t>Dodatek je vyhotoven ve dvou stejnopisech stejné právní síly, po jednom vyhotovení pro každou ze smluvních stran.</w:t>
      </w:r>
    </w:p>
    <w:p w14:paraId="71A77245" w14:textId="39CAA6C3" w:rsidR="00922CA7" w:rsidRPr="008545FF" w:rsidRDefault="00E80AC6" w:rsidP="00E80AC6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922CA7" w:rsidRPr="008545FF">
        <w:rPr>
          <w:rFonts w:ascii="Times New Roman" w:hAnsi="Times New Roman"/>
          <w:b/>
          <w:sz w:val="24"/>
        </w:rPr>
        <w:t>.</w:t>
      </w:r>
      <w:r w:rsidR="00922CA7" w:rsidRPr="008545FF">
        <w:rPr>
          <w:rFonts w:ascii="Times New Roman" w:hAnsi="Times New Roman"/>
          <w:b/>
          <w:sz w:val="24"/>
        </w:rPr>
        <w:tab/>
      </w:r>
      <w:r w:rsidR="00922CA7" w:rsidRPr="008545FF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5E4187F7" w:rsidR="00EF0FD7" w:rsidRPr="008545FF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8545FF">
        <w:rPr>
          <w:rFonts w:ascii="Times New Roman" w:hAnsi="Times New Roman"/>
          <w:sz w:val="24"/>
        </w:rPr>
        <w:t>Ve Vítkově, dne:</w:t>
      </w:r>
      <w:r w:rsidRPr="008545FF">
        <w:rPr>
          <w:rFonts w:ascii="Times New Roman" w:hAnsi="Times New Roman"/>
          <w:sz w:val="24"/>
        </w:rPr>
        <w:tab/>
        <w:t>V</w:t>
      </w:r>
      <w:r w:rsidR="00E80AC6">
        <w:rPr>
          <w:rFonts w:ascii="Times New Roman" w:hAnsi="Times New Roman"/>
          <w:sz w:val="24"/>
        </w:rPr>
        <w:t>e Studénce</w:t>
      </w:r>
      <w:r w:rsidRPr="008545FF">
        <w:rPr>
          <w:rFonts w:ascii="Times New Roman" w:hAnsi="Times New Roman"/>
          <w:sz w:val="24"/>
        </w:rPr>
        <w:t>, dne:</w:t>
      </w:r>
    </w:p>
    <w:p w14:paraId="508C0381" w14:textId="77777777" w:rsidR="00EF0FD7" w:rsidRPr="008545FF" w:rsidRDefault="00EF0FD7" w:rsidP="00C01BF6">
      <w:pPr>
        <w:pStyle w:val="Codstavec"/>
        <w:tabs>
          <w:tab w:val="left" w:pos="5387"/>
        </w:tabs>
        <w:spacing w:before="1080" w:line="240" w:lineRule="auto"/>
        <w:ind w:right="-2" w:firstLine="0"/>
        <w:jc w:val="both"/>
        <w:rPr>
          <w:rFonts w:ascii="Times New Roman" w:hAnsi="Times New Roman"/>
          <w:sz w:val="24"/>
        </w:rPr>
      </w:pPr>
      <w:r w:rsidRPr="008545FF">
        <w:rPr>
          <w:rFonts w:ascii="Times New Roman" w:hAnsi="Times New Roman"/>
          <w:sz w:val="24"/>
        </w:rPr>
        <w:t>……………………………………</w:t>
      </w:r>
      <w:r w:rsidRPr="008545FF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8545FF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Za Příkazníka:</w:t>
      </w:r>
      <w:r w:rsidRPr="008545FF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161E4A28" w:rsidR="001500DE" w:rsidRPr="008545FF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Irena Krzoková</w:t>
      </w:r>
      <w:r w:rsidRPr="008545FF">
        <w:rPr>
          <w:rFonts w:ascii="Times New Roman" w:hAnsi="Times New Roman"/>
          <w:snapToGrid w:val="0"/>
          <w:sz w:val="24"/>
        </w:rPr>
        <w:tab/>
      </w:r>
      <w:r w:rsidR="00D13ED0">
        <w:rPr>
          <w:rFonts w:ascii="Times New Roman" w:hAnsi="Times New Roman"/>
          <w:snapToGrid w:val="0"/>
          <w:sz w:val="24"/>
        </w:rPr>
        <w:t>Libor Slavík</w:t>
      </w:r>
    </w:p>
    <w:p w14:paraId="6A13D3EF" w14:textId="36E0AB00" w:rsidR="001500DE" w:rsidRPr="008545FF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545FF">
        <w:rPr>
          <w:rFonts w:ascii="Times New Roman" w:hAnsi="Times New Roman"/>
          <w:snapToGrid w:val="0"/>
          <w:sz w:val="24"/>
        </w:rPr>
        <w:t>manažer specializovaného útvaru</w:t>
      </w:r>
      <w:r w:rsidR="00781654">
        <w:rPr>
          <w:rFonts w:ascii="Times New Roman" w:hAnsi="Times New Roman"/>
          <w:snapToGrid w:val="0"/>
          <w:sz w:val="24"/>
        </w:rPr>
        <w:tab/>
      </w:r>
      <w:r w:rsidR="00D13ED0">
        <w:rPr>
          <w:rFonts w:ascii="Times New Roman" w:hAnsi="Times New Roman"/>
          <w:snapToGrid w:val="0"/>
          <w:sz w:val="24"/>
        </w:rPr>
        <w:t>starosta</w:t>
      </w:r>
    </w:p>
    <w:p w14:paraId="76D052F6" w14:textId="6B906B08" w:rsidR="00EE53CD" w:rsidRPr="00E32DA4" w:rsidRDefault="001500DE" w:rsidP="00781654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8545FF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4A9A8B0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>smlouva č. nSIPO</w:t>
    </w:r>
    <w:r w:rsidR="00CE5E08">
      <w:rPr>
        <w:sz w:val="16"/>
      </w:rPr>
      <w:t xml:space="preserve"> 07 – 13/2014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2B4D88"/>
    <w:multiLevelType w:val="multilevel"/>
    <w:tmpl w:val="4CE07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72168090">
    <w:abstractNumId w:val="17"/>
  </w:num>
  <w:num w:numId="2" w16cid:durableId="1556237987">
    <w:abstractNumId w:val="8"/>
  </w:num>
  <w:num w:numId="3" w16cid:durableId="881937819">
    <w:abstractNumId w:val="14"/>
  </w:num>
  <w:num w:numId="4" w16cid:durableId="182209892">
    <w:abstractNumId w:val="0"/>
  </w:num>
  <w:num w:numId="5" w16cid:durableId="1901556368">
    <w:abstractNumId w:val="5"/>
  </w:num>
  <w:num w:numId="6" w16cid:durableId="1194265820">
    <w:abstractNumId w:val="16"/>
  </w:num>
  <w:num w:numId="7" w16cid:durableId="133377061">
    <w:abstractNumId w:val="4"/>
  </w:num>
  <w:num w:numId="8" w16cid:durableId="2012677440">
    <w:abstractNumId w:val="10"/>
  </w:num>
  <w:num w:numId="9" w16cid:durableId="383795323">
    <w:abstractNumId w:val="1"/>
  </w:num>
  <w:num w:numId="10" w16cid:durableId="999312603">
    <w:abstractNumId w:val="15"/>
  </w:num>
  <w:num w:numId="11" w16cid:durableId="543638074">
    <w:abstractNumId w:val="13"/>
  </w:num>
  <w:num w:numId="12" w16cid:durableId="1127237907">
    <w:abstractNumId w:val="21"/>
  </w:num>
  <w:num w:numId="13" w16cid:durableId="2092387323">
    <w:abstractNumId w:val="6"/>
  </w:num>
  <w:num w:numId="14" w16cid:durableId="212079442">
    <w:abstractNumId w:val="18"/>
  </w:num>
  <w:num w:numId="15" w16cid:durableId="2020500161">
    <w:abstractNumId w:val="12"/>
  </w:num>
  <w:num w:numId="16" w16cid:durableId="1390759785">
    <w:abstractNumId w:val="9"/>
  </w:num>
  <w:num w:numId="17" w16cid:durableId="735668245">
    <w:abstractNumId w:val="2"/>
  </w:num>
  <w:num w:numId="18" w16cid:durableId="1261111008">
    <w:abstractNumId w:val="20"/>
  </w:num>
  <w:num w:numId="19" w16cid:durableId="1000542300">
    <w:abstractNumId w:val="3"/>
  </w:num>
  <w:num w:numId="20" w16cid:durableId="161512937">
    <w:abstractNumId w:val="11"/>
  </w:num>
  <w:num w:numId="21" w16cid:durableId="1520195315">
    <w:abstractNumId w:val="19"/>
  </w:num>
  <w:num w:numId="22" w16cid:durableId="1570537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504C1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2762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4D1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06314"/>
    <w:rsid w:val="00513DB2"/>
    <w:rsid w:val="00517118"/>
    <w:rsid w:val="00521CE2"/>
    <w:rsid w:val="00531BAA"/>
    <w:rsid w:val="00534743"/>
    <w:rsid w:val="00541C1C"/>
    <w:rsid w:val="00550F38"/>
    <w:rsid w:val="00553E02"/>
    <w:rsid w:val="00554D6B"/>
    <w:rsid w:val="00584719"/>
    <w:rsid w:val="00584734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96C35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654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1AC8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5FF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5338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1BF6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3373C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5E08"/>
    <w:rsid w:val="00CF1E85"/>
    <w:rsid w:val="00CF1F82"/>
    <w:rsid w:val="00CF7229"/>
    <w:rsid w:val="00D139FD"/>
    <w:rsid w:val="00D13ED0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80AC6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8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mesto-stude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703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11</cp:revision>
  <cp:lastPrinted>2023-12-13T09:06:00Z</cp:lastPrinted>
  <dcterms:created xsi:type="dcterms:W3CDTF">2023-12-13T08:07:00Z</dcterms:created>
  <dcterms:modified xsi:type="dcterms:W3CDTF">2023-12-19T12:22:00Z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2023-11-08T10:47:01Z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317932d0-e40e-4063-92ab-07d2ebef4a30</vt:lpwstr>
  </property>
  <property fmtid="{D5CDD505-2E9C-101B-9397-08002B2CF9AE}" pid="8" name="MSIP_Label_06385286-8155-42cb-8f3c-2e99713295e1_ContentBits">
    <vt:lpwstr>0</vt:lpwstr>
  </property>
</Properties>
</file>