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D07" w:rsidRPr="00574693" w:rsidRDefault="00C32D07" w:rsidP="00C32D07">
      <w:pPr>
        <w:pStyle w:val="Nadpis1"/>
        <w:pageBreakBefore w:val="0"/>
        <w:rPr>
          <w:rFonts w:cs="Times New Roman"/>
          <w:b w:val="0"/>
          <w:bCs w:val="0"/>
          <w:kern w:val="0"/>
          <w:sz w:val="20"/>
          <w:szCs w:val="20"/>
        </w:rPr>
      </w:pPr>
      <w:r w:rsidRPr="009F2E6E">
        <w:t xml:space="preserve">Smlouva o technické podpoře </w:t>
      </w:r>
      <w:r>
        <w:t>aplikace twiGIS a Vyjadřovací portál</w:t>
      </w:r>
      <w:r>
        <w:br/>
      </w:r>
      <w:r w:rsidRPr="00574693">
        <w:rPr>
          <w:rFonts w:cs="Times New Roman"/>
          <w:b w:val="0"/>
          <w:bCs w:val="0"/>
          <w:kern w:val="0"/>
          <w:sz w:val="20"/>
          <w:szCs w:val="20"/>
        </w:rPr>
        <w:t xml:space="preserve">č. </w:t>
      </w:r>
      <w:r>
        <w:rPr>
          <w:rFonts w:cs="Times New Roman"/>
          <w:b w:val="0"/>
          <w:bCs w:val="0"/>
          <w:kern w:val="0"/>
          <w:sz w:val="20"/>
          <w:szCs w:val="20"/>
        </w:rPr>
        <w:t>dodavatel</w:t>
      </w:r>
      <w:r w:rsidRPr="00574693">
        <w:rPr>
          <w:rFonts w:cs="Times New Roman"/>
          <w:b w:val="0"/>
          <w:bCs w:val="0"/>
          <w:kern w:val="0"/>
          <w:sz w:val="20"/>
          <w:szCs w:val="20"/>
        </w:rPr>
        <w:t xml:space="preserve">e </w:t>
      </w:r>
      <w:r>
        <w:rPr>
          <w:rFonts w:ascii="Open Sans" w:hAnsi="Open Sans" w:cs="Open Sans"/>
          <w:color w:val="262626"/>
          <w:sz w:val="20"/>
          <w:szCs w:val="20"/>
          <w:shd w:val="clear" w:color="auto" w:fill="FFFFFF"/>
        </w:rPr>
        <w:t xml:space="preserve">ASCZ23000938 </w:t>
      </w:r>
      <w:r>
        <w:rPr>
          <w:rFonts w:cs="Times New Roman"/>
          <w:b w:val="0"/>
          <w:bCs w:val="0"/>
          <w:kern w:val="0"/>
          <w:sz w:val="20"/>
          <w:szCs w:val="20"/>
        </w:rPr>
        <w:t xml:space="preserve"> a č. objednatele </w:t>
      </w:r>
      <w:r w:rsidRPr="00A75F36">
        <w:rPr>
          <w:rFonts w:cs="Times New Roman"/>
          <w:bCs w:val="0"/>
          <w:kern w:val="0"/>
          <w:sz w:val="20"/>
          <w:szCs w:val="20"/>
        </w:rPr>
        <w:t>E 0007/23</w:t>
      </w:r>
    </w:p>
    <w:p w:rsidR="00C32D07" w:rsidRPr="006D6E89" w:rsidRDefault="00C32D07" w:rsidP="00C32D07">
      <w:pPr>
        <w:rPr>
          <w:rFonts w:cs="Calibri"/>
        </w:rPr>
      </w:pPr>
    </w:p>
    <w:p w:rsidR="00C32D07" w:rsidRDefault="00C32D07" w:rsidP="00C32D07">
      <w:pPr>
        <w:pStyle w:val="Nadpis2"/>
      </w:pPr>
      <w:bookmarkStart w:id="0" w:name="_Ref31032795"/>
      <w:r w:rsidRPr="009F2E6E">
        <w:t xml:space="preserve">Smluvní </w:t>
      </w:r>
      <w:r w:rsidRPr="004377E7">
        <w:t>strany</w:t>
      </w:r>
    </w:p>
    <w:p w:rsidR="00C32D07" w:rsidRPr="00583C9F" w:rsidRDefault="00C32D07" w:rsidP="00C32D07">
      <w:pPr>
        <w:ind w:firstLine="0"/>
      </w:pPr>
      <w:bookmarkStart w:id="1" w:name="_Ref96328536"/>
    </w:p>
    <w:p w:rsidR="00C32D07" w:rsidRPr="004377E7" w:rsidRDefault="00C32D07" w:rsidP="00C32D07">
      <w:pPr>
        <w:autoSpaceDE w:val="0"/>
        <w:rPr>
          <w:rStyle w:val="Siln"/>
          <w:rFonts w:cs="Calibri"/>
          <w:szCs w:val="20"/>
        </w:rPr>
      </w:pPr>
      <w:r>
        <w:rPr>
          <w:rStyle w:val="Siln"/>
          <w:rFonts w:cs="Calibri"/>
          <w:szCs w:val="20"/>
        </w:rPr>
        <w:t>Dodavatel</w:t>
      </w:r>
    </w:p>
    <w:tbl>
      <w:tblPr>
        <w:tblW w:w="0" w:type="auto"/>
        <w:jc w:val="center"/>
        <w:tblLook w:val="04A0" w:firstRow="1" w:lastRow="0" w:firstColumn="1" w:lastColumn="0" w:noHBand="0" w:noVBand="1"/>
      </w:tblPr>
      <w:tblGrid>
        <w:gridCol w:w="2520"/>
        <w:gridCol w:w="5760"/>
      </w:tblGrid>
      <w:tr w:rsidR="00C32D07" w:rsidRPr="004377E7" w:rsidTr="00A5416E">
        <w:trPr>
          <w:trHeight w:val="284"/>
          <w:jc w:val="center"/>
        </w:trPr>
        <w:tc>
          <w:tcPr>
            <w:tcW w:w="2520" w:type="dxa"/>
            <w:shd w:val="clear" w:color="auto" w:fill="auto"/>
            <w:hideMark/>
          </w:tcPr>
          <w:p w:rsidR="00C32D07" w:rsidRPr="004377E7" w:rsidRDefault="00C32D07" w:rsidP="00A5416E">
            <w:pPr>
              <w:rPr>
                <w:szCs w:val="20"/>
              </w:rPr>
            </w:pPr>
            <w:r w:rsidRPr="004377E7">
              <w:rPr>
                <w:szCs w:val="20"/>
              </w:rPr>
              <w:t>Společnost</w:t>
            </w:r>
          </w:p>
        </w:tc>
        <w:tc>
          <w:tcPr>
            <w:tcW w:w="5760" w:type="dxa"/>
            <w:shd w:val="clear" w:color="auto" w:fill="auto"/>
          </w:tcPr>
          <w:p w:rsidR="00C32D07" w:rsidRPr="004377E7" w:rsidRDefault="00C32D07" w:rsidP="00A5416E">
            <w:pPr>
              <w:rPr>
                <w:b/>
                <w:bCs/>
                <w:szCs w:val="20"/>
              </w:rPr>
            </w:pPr>
            <w:r w:rsidRPr="004377E7">
              <w:rPr>
                <w:b/>
                <w:bCs/>
                <w:szCs w:val="20"/>
              </w:rPr>
              <w:t>Arkance Systems CZ s.r.o.</w:t>
            </w:r>
          </w:p>
        </w:tc>
      </w:tr>
      <w:tr w:rsidR="00C32D07" w:rsidRPr="004377E7" w:rsidTr="00A5416E">
        <w:trPr>
          <w:trHeight w:val="284"/>
          <w:jc w:val="center"/>
        </w:trPr>
        <w:tc>
          <w:tcPr>
            <w:tcW w:w="2520" w:type="dxa"/>
            <w:shd w:val="clear" w:color="auto" w:fill="auto"/>
            <w:hideMark/>
          </w:tcPr>
          <w:p w:rsidR="00C32D07" w:rsidRPr="004377E7" w:rsidRDefault="00C32D07" w:rsidP="00A5416E">
            <w:pPr>
              <w:rPr>
                <w:szCs w:val="20"/>
              </w:rPr>
            </w:pPr>
            <w:r w:rsidRPr="004377E7">
              <w:rPr>
                <w:szCs w:val="20"/>
              </w:rPr>
              <w:t>Sídlo</w:t>
            </w:r>
          </w:p>
        </w:tc>
        <w:tc>
          <w:tcPr>
            <w:tcW w:w="5760" w:type="dxa"/>
            <w:shd w:val="clear" w:color="auto" w:fill="auto"/>
          </w:tcPr>
          <w:p w:rsidR="00C32D07" w:rsidRPr="004377E7" w:rsidRDefault="00C32D07" w:rsidP="00A5416E">
            <w:pPr>
              <w:rPr>
                <w:szCs w:val="20"/>
              </w:rPr>
            </w:pPr>
            <w:r w:rsidRPr="004377E7">
              <w:rPr>
                <w:szCs w:val="20"/>
              </w:rPr>
              <w:t>Líbalova 2348/1, 149 00, Praha 4</w:t>
            </w:r>
          </w:p>
        </w:tc>
      </w:tr>
      <w:tr w:rsidR="00C32D07" w:rsidRPr="004377E7" w:rsidTr="00A5416E">
        <w:trPr>
          <w:trHeight w:val="283"/>
          <w:jc w:val="center"/>
        </w:trPr>
        <w:tc>
          <w:tcPr>
            <w:tcW w:w="2520" w:type="dxa"/>
            <w:shd w:val="clear" w:color="auto" w:fill="auto"/>
            <w:hideMark/>
          </w:tcPr>
          <w:p w:rsidR="00C32D07" w:rsidRPr="004377E7" w:rsidRDefault="00C32D07" w:rsidP="00A5416E">
            <w:pPr>
              <w:rPr>
                <w:szCs w:val="20"/>
              </w:rPr>
            </w:pPr>
            <w:r w:rsidRPr="004377E7">
              <w:rPr>
                <w:szCs w:val="20"/>
              </w:rPr>
              <w:t>IČO</w:t>
            </w:r>
          </w:p>
        </w:tc>
        <w:tc>
          <w:tcPr>
            <w:tcW w:w="5760" w:type="dxa"/>
            <w:shd w:val="clear" w:color="auto" w:fill="auto"/>
          </w:tcPr>
          <w:p w:rsidR="00C32D07" w:rsidRPr="004377E7" w:rsidRDefault="00C32D07" w:rsidP="00A5416E">
            <w:pPr>
              <w:rPr>
                <w:szCs w:val="20"/>
              </w:rPr>
            </w:pPr>
            <w:r w:rsidRPr="004377E7">
              <w:rPr>
                <w:szCs w:val="20"/>
              </w:rPr>
              <w:t>26197081</w:t>
            </w:r>
          </w:p>
        </w:tc>
      </w:tr>
      <w:tr w:rsidR="00C32D07" w:rsidRPr="004377E7" w:rsidTr="00A5416E">
        <w:trPr>
          <w:trHeight w:val="283"/>
          <w:jc w:val="center"/>
        </w:trPr>
        <w:tc>
          <w:tcPr>
            <w:tcW w:w="2520" w:type="dxa"/>
            <w:shd w:val="clear" w:color="auto" w:fill="auto"/>
          </w:tcPr>
          <w:p w:rsidR="00C32D07" w:rsidRPr="004377E7" w:rsidRDefault="00C32D07" w:rsidP="00A5416E">
            <w:pPr>
              <w:rPr>
                <w:szCs w:val="20"/>
              </w:rPr>
            </w:pPr>
            <w:r w:rsidRPr="004377E7">
              <w:rPr>
                <w:szCs w:val="20"/>
              </w:rPr>
              <w:t>DIČ</w:t>
            </w:r>
          </w:p>
        </w:tc>
        <w:tc>
          <w:tcPr>
            <w:tcW w:w="5760" w:type="dxa"/>
            <w:shd w:val="clear" w:color="auto" w:fill="auto"/>
          </w:tcPr>
          <w:p w:rsidR="00C32D07" w:rsidRPr="004377E7" w:rsidRDefault="00C32D07" w:rsidP="00A5416E">
            <w:pPr>
              <w:rPr>
                <w:szCs w:val="20"/>
              </w:rPr>
            </w:pPr>
            <w:r w:rsidRPr="004377E7">
              <w:rPr>
                <w:szCs w:val="20"/>
              </w:rPr>
              <w:t>CZ26197081</w:t>
            </w:r>
          </w:p>
        </w:tc>
      </w:tr>
      <w:tr w:rsidR="00C32D07" w:rsidRPr="004377E7" w:rsidTr="00A5416E">
        <w:trPr>
          <w:trHeight w:val="283"/>
          <w:jc w:val="center"/>
        </w:trPr>
        <w:tc>
          <w:tcPr>
            <w:tcW w:w="2520" w:type="dxa"/>
            <w:shd w:val="clear" w:color="auto" w:fill="auto"/>
          </w:tcPr>
          <w:p w:rsidR="00C32D07" w:rsidRPr="004377E7" w:rsidRDefault="00C32D07" w:rsidP="00A5416E">
            <w:pPr>
              <w:rPr>
                <w:szCs w:val="20"/>
              </w:rPr>
            </w:pPr>
            <w:r w:rsidRPr="004377E7">
              <w:rPr>
                <w:szCs w:val="20"/>
              </w:rPr>
              <w:t>Spisová značka</w:t>
            </w:r>
          </w:p>
        </w:tc>
        <w:tc>
          <w:tcPr>
            <w:tcW w:w="5760" w:type="dxa"/>
            <w:shd w:val="clear" w:color="auto" w:fill="auto"/>
          </w:tcPr>
          <w:p w:rsidR="00C32D07" w:rsidRPr="004377E7" w:rsidRDefault="00C32D07" w:rsidP="00A5416E">
            <w:pPr>
              <w:rPr>
                <w:szCs w:val="20"/>
              </w:rPr>
            </w:pPr>
            <w:r w:rsidRPr="004377E7">
              <w:rPr>
                <w:szCs w:val="20"/>
              </w:rPr>
              <w:t>Oddíl, Vložka: C 350100, vedená u: Městský soud v Praze</w:t>
            </w:r>
          </w:p>
        </w:tc>
      </w:tr>
      <w:tr w:rsidR="00C32D07" w:rsidRPr="004377E7" w:rsidTr="00A5416E">
        <w:trPr>
          <w:trHeight w:val="283"/>
          <w:jc w:val="center"/>
        </w:trPr>
        <w:tc>
          <w:tcPr>
            <w:tcW w:w="2520" w:type="dxa"/>
            <w:shd w:val="clear" w:color="auto" w:fill="auto"/>
          </w:tcPr>
          <w:p w:rsidR="00C32D07" w:rsidRPr="004377E7" w:rsidRDefault="00C32D07" w:rsidP="00A5416E">
            <w:pPr>
              <w:rPr>
                <w:szCs w:val="20"/>
              </w:rPr>
            </w:pPr>
            <w:r w:rsidRPr="004377E7">
              <w:rPr>
                <w:szCs w:val="20"/>
              </w:rPr>
              <w:t>Zastoupená</w:t>
            </w:r>
          </w:p>
        </w:tc>
        <w:tc>
          <w:tcPr>
            <w:tcW w:w="5760" w:type="dxa"/>
            <w:shd w:val="clear" w:color="auto" w:fill="auto"/>
          </w:tcPr>
          <w:p w:rsidR="00C32D07" w:rsidRPr="00E833F6" w:rsidRDefault="00C32D07" w:rsidP="00A5416E">
            <w:pPr>
              <w:rPr>
                <w:szCs w:val="20"/>
              </w:rPr>
            </w:pPr>
            <w:r w:rsidRPr="00E833F6">
              <w:rPr>
                <w:szCs w:val="20"/>
              </w:rPr>
              <w:fldChar w:fldCharType="begin"/>
            </w:r>
            <w:r w:rsidRPr="00E833F6">
              <w:rPr>
                <w:szCs w:val="20"/>
              </w:rPr>
              <w:instrText xml:space="preserve"> DOCPROPERTY  Zastoupená  \* MERGEFORMAT </w:instrText>
            </w:r>
            <w:r w:rsidRPr="00E833F6">
              <w:rPr>
                <w:szCs w:val="20"/>
              </w:rPr>
              <w:fldChar w:fldCharType="separate"/>
            </w:r>
            <w:r>
              <w:rPr>
                <w:szCs w:val="20"/>
              </w:rPr>
              <w:t>xxx</w:t>
            </w:r>
            <w:r w:rsidRPr="00E833F6">
              <w:rPr>
                <w:szCs w:val="20"/>
              </w:rPr>
              <w:t xml:space="preserve">, jednatel společnosti </w:t>
            </w:r>
            <w:r w:rsidRPr="00E833F6">
              <w:rPr>
                <w:szCs w:val="20"/>
              </w:rPr>
              <w:fldChar w:fldCharType="end"/>
            </w:r>
          </w:p>
        </w:tc>
      </w:tr>
      <w:tr w:rsidR="00C32D07" w:rsidRPr="004377E7" w:rsidTr="00A5416E">
        <w:trPr>
          <w:trHeight w:val="284"/>
          <w:jc w:val="center"/>
        </w:trPr>
        <w:tc>
          <w:tcPr>
            <w:tcW w:w="2520" w:type="dxa"/>
            <w:shd w:val="clear" w:color="auto" w:fill="auto"/>
          </w:tcPr>
          <w:p w:rsidR="00C32D07" w:rsidRPr="004377E7" w:rsidRDefault="00C32D07" w:rsidP="00A5416E">
            <w:pPr>
              <w:rPr>
                <w:szCs w:val="20"/>
              </w:rPr>
            </w:pPr>
            <w:r w:rsidRPr="004377E7">
              <w:rPr>
                <w:szCs w:val="20"/>
              </w:rPr>
              <w:t>Bankovní spojení</w:t>
            </w:r>
          </w:p>
        </w:tc>
        <w:tc>
          <w:tcPr>
            <w:tcW w:w="5760" w:type="dxa"/>
            <w:shd w:val="clear" w:color="auto" w:fill="auto"/>
          </w:tcPr>
          <w:p w:rsidR="00C32D07" w:rsidRPr="004377E7" w:rsidRDefault="00C32D07" w:rsidP="00A5416E">
            <w:pPr>
              <w:rPr>
                <w:szCs w:val="20"/>
              </w:rPr>
            </w:pPr>
            <w:r w:rsidRPr="004377E7">
              <w:rPr>
                <w:szCs w:val="20"/>
              </w:rPr>
              <w:t>Česká spořitelna a.s.</w:t>
            </w:r>
          </w:p>
        </w:tc>
      </w:tr>
      <w:tr w:rsidR="00C32D07" w:rsidRPr="004377E7" w:rsidTr="00A5416E">
        <w:trPr>
          <w:trHeight w:val="284"/>
          <w:jc w:val="center"/>
        </w:trPr>
        <w:tc>
          <w:tcPr>
            <w:tcW w:w="2520" w:type="dxa"/>
            <w:shd w:val="clear" w:color="auto" w:fill="auto"/>
          </w:tcPr>
          <w:p w:rsidR="00C32D07" w:rsidRPr="004377E7" w:rsidRDefault="00C32D07" w:rsidP="00A5416E">
            <w:pPr>
              <w:rPr>
                <w:szCs w:val="20"/>
              </w:rPr>
            </w:pPr>
            <w:r w:rsidRPr="004377E7">
              <w:rPr>
                <w:szCs w:val="20"/>
              </w:rPr>
              <w:t>Číslo účtu</w:t>
            </w:r>
          </w:p>
        </w:tc>
        <w:tc>
          <w:tcPr>
            <w:tcW w:w="5760" w:type="dxa"/>
            <w:shd w:val="clear" w:color="auto" w:fill="auto"/>
          </w:tcPr>
          <w:p w:rsidR="00C32D07" w:rsidRPr="004377E7" w:rsidRDefault="00C32D07" w:rsidP="00A5416E">
            <w:pPr>
              <w:rPr>
                <w:szCs w:val="20"/>
                <w:highlight w:val="yellow"/>
              </w:rPr>
            </w:pPr>
            <w:r w:rsidRPr="004377E7">
              <w:rPr>
                <w:szCs w:val="20"/>
              </w:rPr>
              <w:t>6276972/0800</w:t>
            </w:r>
          </w:p>
        </w:tc>
      </w:tr>
    </w:tbl>
    <w:p w:rsidR="00C32D07" w:rsidRPr="004377E7" w:rsidRDefault="00C32D07" w:rsidP="00C32D07">
      <w:pPr>
        <w:autoSpaceDE w:val="0"/>
        <w:autoSpaceDN w:val="0"/>
        <w:adjustRightInd w:val="0"/>
        <w:rPr>
          <w:rStyle w:val="Siln"/>
          <w:rFonts w:cs="Calibri"/>
          <w:szCs w:val="20"/>
        </w:rPr>
      </w:pPr>
    </w:p>
    <w:p w:rsidR="00C32D07" w:rsidRPr="004377E7" w:rsidRDefault="00C32D07" w:rsidP="00C32D07">
      <w:pPr>
        <w:autoSpaceDE w:val="0"/>
        <w:autoSpaceDN w:val="0"/>
        <w:adjustRightInd w:val="0"/>
        <w:rPr>
          <w:rStyle w:val="Siln"/>
          <w:rFonts w:cs="Calibri"/>
          <w:szCs w:val="20"/>
        </w:rPr>
      </w:pPr>
      <w:r w:rsidRPr="004377E7">
        <w:rPr>
          <w:rStyle w:val="Siln"/>
          <w:rFonts w:cs="Calibri"/>
          <w:szCs w:val="20"/>
        </w:rPr>
        <w:t>Objednatel</w:t>
      </w:r>
    </w:p>
    <w:tbl>
      <w:tblPr>
        <w:tblW w:w="0" w:type="auto"/>
        <w:jc w:val="center"/>
        <w:tblLook w:val="04A0" w:firstRow="1" w:lastRow="0" w:firstColumn="1" w:lastColumn="0" w:noHBand="0" w:noVBand="1"/>
      </w:tblPr>
      <w:tblGrid>
        <w:gridCol w:w="2520"/>
        <w:gridCol w:w="5760"/>
      </w:tblGrid>
      <w:tr w:rsidR="00C32D07" w:rsidRPr="004377E7" w:rsidTr="00A5416E">
        <w:trPr>
          <w:trHeight w:val="284"/>
          <w:jc w:val="center"/>
        </w:trPr>
        <w:tc>
          <w:tcPr>
            <w:tcW w:w="2520" w:type="dxa"/>
            <w:shd w:val="clear" w:color="auto" w:fill="auto"/>
            <w:hideMark/>
          </w:tcPr>
          <w:p w:rsidR="00C32D07" w:rsidRPr="004377E7" w:rsidRDefault="00C32D07" w:rsidP="00A5416E">
            <w:pPr>
              <w:rPr>
                <w:szCs w:val="20"/>
              </w:rPr>
            </w:pPr>
            <w:r w:rsidRPr="004377E7">
              <w:rPr>
                <w:szCs w:val="20"/>
              </w:rPr>
              <w:t>Společnost</w:t>
            </w:r>
          </w:p>
        </w:tc>
        <w:tc>
          <w:tcPr>
            <w:tcW w:w="5760" w:type="dxa"/>
            <w:shd w:val="clear" w:color="auto" w:fill="auto"/>
          </w:tcPr>
          <w:p w:rsidR="00C32D07" w:rsidRPr="004377E7" w:rsidRDefault="00C32D07" w:rsidP="00A5416E">
            <w:pPr>
              <w:rPr>
                <w:szCs w:val="20"/>
              </w:rPr>
            </w:pPr>
            <w:r w:rsidRPr="005C5037">
              <w:rPr>
                <w:szCs w:val="20"/>
              </w:rPr>
              <w:t>Povodí Odry, státní podnik</w:t>
            </w:r>
          </w:p>
        </w:tc>
      </w:tr>
      <w:tr w:rsidR="00C32D07" w:rsidRPr="004377E7" w:rsidTr="00A5416E">
        <w:trPr>
          <w:trHeight w:val="284"/>
          <w:jc w:val="center"/>
        </w:trPr>
        <w:tc>
          <w:tcPr>
            <w:tcW w:w="2520" w:type="dxa"/>
            <w:shd w:val="clear" w:color="auto" w:fill="auto"/>
            <w:hideMark/>
          </w:tcPr>
          <w:p w:rsidR="00C32D07" w:rsidRPr="004377E7" w:rsidRDefault="00C32D07" w:rsidP="00A5416E">
            <w:pPr>
              <w:rPr>
                <w:szCs w:val="20"/>
              </w:rPr>
            </w:pPr>
            <w:r w:rsidRPr="004377E7">
              <w:rPr>
                <w:szCs w:val="20"/>
              </w:rPr>
              <w:t>Sídlo</w:t>
            </w:r>
          </w:p>
        </w:tc>
        <w:tc>
          <w:tcPr>
            <w:tcW w:w="5760" w:type="dxa"/>
            <w:shd w:val="clear" w:color="auto" w:fill="auto"/>
          </w:tcPr>
          <w:p w:rsidR="00C32D07" w:rsidRPr="00034638" w:rsidRDefault="00C32D07" w:rsidP="00A5416E">
            <w:pPr>
              <w:pStyle w:val="Bezmezer"/>
            </w:pPr>
            <w:r>
              <w:t xml:space="preserve">     </w:t>
            </w:r>
            <w:r w:rsidRPr="00034638">
              <w:t>Varenská 3101/49, Moravská Ostrava, 702 00 Ostrava</w:t>
            </w:r>
          </w:p>
          <w:p w:rsidR="00C32D07" w:rsidRPr="004377E7" w:rsidRDefault="00C32D07" w:rsidP="00A5416E">
            <w:pPr>
              <w:rPr>
                <w:szCs w:val="20"/>
              </w:rPr>
            </w:pPr>
            <w:r w:rsidRPr="00034638">
              <w:t>doruč.  číslo:  701 26</w:t>
            </w:r>
          </w:p>
        </w:tc>
      </w:tr>
      <w:tr w:rsidR="00C32D07" w:rsidRPr="004377E7" w:rsidTr="00A5416E">
        <w:trPr>
          <w:trHeight w:val="283"/>
          <w:jc w:val="center"/>
        </w:trPr>
        <w:tc>
          <w:tcPr>
            <w:tcW w:w="2520" w:type="dxa"/>
            <w:shd w:val="clear" w:color="auto" w:fill="auto"/>
            <w:hideMark/>
          </w:tcPr>
          <w:p w:rsidR="00C32D07" w:rsidRPr="004377E7" w:rsidRDefault="00C32D07" w:rsidP="00A5416E">
            <w:pPr>
              <w:rPr>
                <w:szCs w:val="20"/>
              </w:rPr>
            </w:pPr>
            <w:r w:rsidRPr="004377E7">
              <w:rPr>
                <w:szCs w:val="20"/>
              </w:rPr>
              <w:t>IČO</w:t>
            </w:r>
          </w:p>
        </w:tc>
        <w:tc>
          <w:tcPr>
            <w:tcW w:w="5760" w:type="dxa"/>
            <w:shd w:val="clear" w:color="auto" w:fill="auto"/>
          </w:tcPr>
          <w:p w:rsidR="00C32D07" w:rsidRPr="004377E7" w:rsidRDefault="00C32D07" w:rsidP="00A5416E">
            <w:pPr>
              <w:rPr>
                <w:szCs w:val="20"/>
              </w:rPr>
            </w:pPr>
            <w:r w:rsidRPr="00034638">
              <w:t>70890021</w:t>
            </w:r>
          </w:p>
        </w:tc>
      </w:tr>
      <w:tr w:rsidR="00C32D07" w:rsidRPr="004377E7" w:rsidTr="00A5416E">
        <w:trPr>
          <w:trHeight w:val="283"/>
          <w:jc w:val="center"/>
        </w:trPr>
        <w:tc>
          <w:tcPr>
            <w:tcW w:w="2520" w:type="dxa"/>
            <w:shd w:val="clear" w:color="auto" w:fill="auto"/>
          </w:tcPr>
          <w:p w:rsidR="00C32D07" w:rsidRPr="004377E7" w:rsidRDefault="00C32D07" w:rsidP="00A5416E">
            <w:pPr>
              <w:rPr>
                <w:szCs w:val="20"/>
              </w:rPr>
            </w:pPr>
            <w:r w:rsidRPr="004377E7">
              <w:rPr>
                <w:szCs w:val="20"/>
              </w:rPr>
              <w:t>DIČ</w:t>
            </w:r>
          </w:p>
        </w:tc>
        <w:tc>
          <w:tcPr>
            <w:tcW w:w="5760" w:type="dxa"/>
            <w:shd w:val="clear" w:color="auto" w:fill="auto"/>
          </w:tcPr>
          <w:p w:rsidR="00C32D07" w:rsidRPr="004377E7" w:rsidRDefault="00C32D07" w:rsidP="00A5416E">
            <w:pPr>
              <w:rPr>
                <w:szCs w:val="20"/>
              </w:rPr>
            </w:pPr>
            <w:r w:rsidRPr="00034638">
              <w:t>CZ70890021</w:t>
            </w:r>
          </w:p>
        </w:tc>
      </w:tr>
      <w:tr w:rsidR="00C32D07" w:rsidRPr="004377E7" w:rsidTr="00A5416E">
        <w:trPr>
          <w:trHeight w:val="283"/>
          <w:jc w:val="center"/>
        </w:trPr>
        <w:tc>
          <w:tcPr>
            <w:tcW w:w="2520" w:type="dxa"/>
            <w:shd w:val="clear" w:color="auto" w:fill="auto"/>
          </w:tcPr>
          <w:p w:rsidR="00C32D07" w:rsidRPr="004377E7" w:rsidRDefault="00C32D07" w:rsidP="00A5416E">
            <w:pPr>
              <w:rPr>
                <w:szCs w:val="20"/>
              </w:rPr>
            </w:pPr>
            <w:r w:rsidRPr="004377E7">
              <w:rPr>
                <w:szCs w:val="20"/>
              </w:rPr>
              <w:t>Spisová značka</w:t>
            </w:r>
          </w:p>
        </w:tc>
        <w:tc>
          <w:tcPr>
            <w:tcW w:w="5760" w:type="dxa"/>
            <w:shd w:val="clear" w:color="auto" w:fill="auto"/>
          </w:tcPr>
          <w:p w:rsidR="00C32D07" w:rsidRPr="004377E7" w:rsidRDefault="00C32D07" w:rsidP="00A5416E">
            <w:pPr>
              <w:rPr>
                <w:szCs w:val="20"/>
              </w:rPr>
            </w:pPr>
            <w:r w:rsidRPr="00034638">
              <w:rPr>
                <w:rFonts w:cs="Calibri"/>
              </w:rPr>
              <w:t xml:space="preserve">Oddíl </w:t>
            </w:r>
            <w:r w:rsidRPr="00034638">
              <w:t>A XIV</w:t>
            </w:r>
            <w:r w:rsidRPr="00034638">
              <w:rPr>
                <w:rFonts w:cs="Calibri"/>
              </w:rPr>
              <w:t xml:space="preserve">, Vložka: </w:t>
            </w:r>
            <w:r w:rsidRPr="00034638">
              <w:t>584</w:t>
            </w:r>
            <w:r w:rsidRPr="00034638">
              <w:rPr>
                <w:rFonts w:cs="Calibri"/>
              </w:rPr>
              <w:t>, vedená u</w:t>
            </w:r>
            <w:r>
              <w:rPr>
                <w:rFonts w:cs="Calibri"/>
              </w:rPr>
              <w:t xml:space="preserve"> </w:t>
            </w:r>
            <w:r w:rsidRPr="00034638">
              <w:rPr>
                <w:rFonts w:cs="Calibri"/>
              </w:rPr>
              <w:t>Krajského soudu v Ostravě</w:t>
            </w:r>
          </w:p>
        </w:tc>
      </w:tr>
      <w:tr w:rsidR="00C32D07" w:rsidRPr="004377E7" w:rsidTr="00A5416E">
        <w:trPr>
          <w:trHeight w:val="283"/>
          <w:jc w:val="center"/>
        </w:trPr>
        <w:tc>
          <w:tcPr>
            <w:tcW w:w="2520" w:type="dxa"/>
            <w:shd w:val="clear" w:color="auto" w:fill="auto"/>
          </w:tcPr>
          <w:p w:rsidR="00C32D07" w:rsidRPr="004377E7" w:rsidRDefault="00C32D07" w:rsidP="00A5416E">
            <w:pPr>
              <w:rPr>
                <w:szCs w:val="20"/>
              </w:rPr>
            </w:pPr>
            <w:r w:rsidRPr="004377E7">
              <w:rPr>
                <w:szCs w:val="20"/>
              </w:rPr>
              <w:t>Zastoupená</w:t>
            </w:r>
          </w:p>
        </w:tc>
        <w:tc>
          <w:tcPr>
            <w:tcW w:w="5760" w:type="dxa"/>
            <w:shd w:val="clear" w:color="auto" w:fill="auto"/>
          </w:tcPr>
          <w:p w:rsidR="00C32D07" w:rsidRPr="004377E7" w:rsidRDefault="00C32D07" w:rsidP="00A5416E">
            <w:pPr>
              <w:rPr>
                <w:szCs w:val="20"/>
                <w:highlight w:val="yellow"/>
              </w:rPr>
            </w:pPr>
            <w:r w:rsidRPr="00034638">
              <w:rPr>
                <w:rFonts w:cs="Calibri"/>
              </w:rPr>
              <w:t>Ing. Jiřím Tkáčem, generálním ředitelem</w:t>
            </w:r>
          </w:p>
        </w:tc>
      </w:tr>
      <w:tr w:rsidR="00C32D07" w:rsidRPr="004377E7" w:rsidTr="00A5416E">
        <w:trPr>
          <w:trHeight w:val="284"/>
          <w:jc w:val="center"/>
        </w:trPr>
        <w:tc>
          <w:tcPr>
            <w:tcW w:w="2520" w:type="dxa"/>
            <w:shd w:val="clear" w:color="auto" w:fill="auto"/>
          </w:tcPr>
          <w:p w:rsidR="00C32D07" w:rsidRPr="004377E7" w:rsidRDefault="00C32D07" w:rsidP="00A5416E">
            <w:pPr>
              <w:rPr>
                <w:szCs w:val="20"/>
              </w:rPr>
            </w:pPr>
            <w:r w:rsidRPr="004377E7">
              <w:rPr>
                <w:szCs w:val="20"/>
              </w:rPr>
              <w:t>Bankovní spojení</w:t>
            </w:r>
          </w:p>
        </w:tc>
        <w:tc>
          <w:tcPr>
            <w:tcW w:w="5760" w:type="dxa"/>
            <w:shd w:val="clear" w:color="auto" w:fill="auto"/>
          </w:tcPr>
          <w:p w:rsidR="00C32D07" w:rsidRPr="00995159" w:rsidRDefault="00C32D07" w:rsidP="00A5416E">
            <w:pPr>
              <w:ind w:left="205" w:firstLine="0"/>
              <w:rPr>
                <w:szCs w:val="20"/>
              </w:rPr>
            </w:pPr>
            <w:r w:rsidRPr="00995159">
              <w:rPr>
                <w:szCs w:val="20"/>
              </w:rPr>
              <w:t>Raiffeisenbank a.s.</w:t>
            </w:r>
          </w:p>
        </w:tc>
      </w:tr>
      <w:tr w:rsidR="00C32D07" w:rsidRPr="004377E7" w:rsidTr="00A5416E">
        <w:trPr>
          <w:trHeight w:val="284"/>
          <w:jc w:val="center"/>
        </w:trPr>
        <w:tc>
          <w:tcPr>
            <w:tcW w:w="2520" w:type="dxa"/>
            <w:shd w:val="clear" w:color="auto" w:fill="auto"/>
          </w:tcPr>
          <w:p w:rsidR="00C32D07" w:rsidRPr="004377E7" w:rsidRDefault="00C32D07" w:rsidP="00A5416E">
            <w:pPr>
              <w:rPr>
                <w:szCs w:val="20"/>
              </w:rPr>
            </w:pPr>
            <w:r w:rsidRPr="004377E7">
              <w:rPr>
                <w:szCs w:val="20"/>
              </w:rPr>
              <w:t>Číslo účtu</w:t>
            </w:r>
          </w:p>
        </w:tc>
        <w:tc>
          <w:tcPr>
            <w:tcW w:w="5760" w:type="dxa"/>
            <w:shd w:val="clear" w:color="auto" w:fill="auto"/>
          </w:tcPr>
          <w:p w:rsidR="00C32D07" w:rsidRPr="00995159" w:rsidRDefault="00C32D07" w:rsidP="00A5416E">
            <w:pPr>
              <w:rPr>
                <w:szCs w:val="20"/>
                <w:highlight w:val="yellow"/>
              </w:rPr>
            </w:pPr>
            <w:r w:rsidRPr="00995159">
              <w:rPr>
                <w:szCs w:val="20"/>
              </w:rPr>
              <w:t>1320871002/5500</w:t>
            </w:r>
          </w:p>
        </w:tc>
      </w:tr>
    </w:tbl>
    <w:p w:rsidR="00C32D07" w:rsidRPr="006D6E89" w:rsidRDefault="00C32D07" w:rsidP="00C32D07">
      <w:pPr>
        <w:pStyle w:val="Nadpis2"/>
      </w:pPr>
      <w:r w:rsidRPr="006D6E89">
        <w:t>Předmět smlouvy</w:t>
      </w:r>
      <w:bookmarkEnd w:id="0"/>
      <w:bookmarkEnd w:id="1"/>
      <w:r w:rsidRPr="006D6E89">
        <w:tab/>
      </w:r>
    </w:p>
    <w:p w:rsidR="00C32D07" w:rsidRDefault="00C32D07" w:rsidP="00C32D07">
      <w:pPr>
        <w:pStyle w:val="Odstavec1"/>
      </w:pPr>
      <w:bookmarkStart w:id="2" w:name="_Ref31035031"/>
      <w:r w:rsidRPr="005F584D">
        <w:t xml:space="preserve">Předmětem smlouvy jsou služby specifikované v </w:t>
      </w:r>
      <w:hyperlink w:anchor="_Příloha_č._1" w:history="1">
        <w:r w:rsidRPr="008D522E">
          <w:t>Příloze č. 1</w:t>
        </w:r>
      </w:hyperlink>
      <w:r>
        <w:t>,</w:t>
      </w:r>
      <w:r w:rsidRPr="005F584D">
        <w:t xml:space="preserve"> zajišťující podporu </w:t>
      </w:r>
      <w:r>
        <w:t>aplikace</w:t>
      </w:r>
      <w:r w:rsidRPr="005F584D">
        <w:t xml:space="preserve"> </w:t>
      </w:r>
      <w:r>
        <w:t>twiGIS a Vyjadřovací portál</w:t>
      </w:r>
      <w:r w:rsidRPr="005F584D">
        <w:t>.</w:t>
      </w:r>
      <w:bookmarkEnd w:id="2"/>
    </w:p>
    <w:p w:rsidR="00C32D07" w:rsidRPr="006D6E89" w:rsidRDefault="00C32D07" w:rsidP="00C32D07">
      <w:pPr>
        <w:pStyle w:val="Nadpis2"/>
      </w:pPr>
      <w:bookmarkStart w:id="3" w:name="_Ref32567415"/>
      <w:r w:rsidRPr="006D6E89">
        <w:t>Cena, platební podmínky</w:t>
      </w:r>
      <w:bookmarkEnd w:id="3"/>
    </w:p>
    <w:p w:rsidR="00C32D07" w:rsidRPr="006D6E89" w:rsidRDefault="00C32D07" w:rsidP="00C32D07">
      <w:pPr>
        <w:pStyle w:val="Odstavec1"/>
      </w:pPr>
      <w:r w:rsidRPr="006D6E89">
        <w:t>Cena za</w:t>
      </w:r>
      <w:r>
        <w:t xml:space="preserve"> pravidelné</w:t>
      </w:r>
      <w:r w:rsidRPr="006D6E89">
        <w:t xml:space="preserve"> služby dle </w:t>
      </w:r>
      <w:r w:rsidRPr="00995159">
        <w:t xml:space="preserve">bodu 2. </w:t>
      </w:r>
      <w:r w:rsidRPr="006D6E89">
        <w:t xml:space="preserve">činí </w:t>
      </w:r>
      <w:r w:rsidRPr="00A75F36">
        <w:t>10 900,-Kč/měsíc bez DPH.</w:t>
      </w:r>
    </w:p>
    <w:p w:rsidR="00C32D07" w:rsidRPr="006D6E89" w:rsidRDefault="00C32D07" w:rsidP="00C32D07">
      <w:pPr>
        <w:pStyle w:val="Odstavec1"/>
      </w:pPr>
      <w:r>
        <w:t>Cena</w:t>
      </w:r>
      <w:r w:rsidRPr="006D6E89">
        <w:t xml:space="preserve"> </w:t>
      </w:r>
      <w:r>
        <w:t>služeb</w:t>
      </w:r>
      <w:r w:rsidRPr="006D6E89">
        <w:t xml:space="preserve"> bude hrazena </w:t>
      </w:r>
      <w:r>
        <w:t xml:space="preserve">vždy na začátku následujícího měsíce </w:t>
      </w:r>
      <w:r w:rsidRPr="006D6E89">
        <w:t xml:space="preserve">na základě faktury </w:t>
      </w:r>
      <w:r w:rsidRPr="001118A6">
        <w:rPr>
          <w:rStyle w:val="Siln"/>
          <w:szCs w:val="20"/>
        </w:rPr>
        <w:t>Dodavatel</w:t>
      </w:r>
      <w:r w:rsidRPr="006D6E89">
        <w:t>e, která bude obsahovat veškeré náležitosti daňového dokladu</w:t>
      </w:r>
      <w:r>
        <w:t>,</w:t>
      </w:r>
      <w:r w:rsidRPr="006D6E89">
        <w:t xml:space="preserve"> se splatností </w:t>
      </w:r>
      <w:r>
        <w:t>14</w:t>
      </w:r>
      <w:r w:rsidRPr="006D6E89">
        <w:t xml:space="preserve"> dnů ode dne </w:t>
      </w:r>
      <w:r w:rsidRPr="00995159">
        <w:t>doručení objednateli.</w:t>
      </w:r>
    </w:p>
    <w:p w:rsidR="00C32D07" w:rsidRPr="006D6E89" w:rsidRDefault="00C32D07" w:rsidP="00C32D07">
      <w:pPr>
        <w:pStyle w:val="Odstavec1"/>
      </w:pPr>
      <w:r w:rsidRPr="006D6E89">
        <w:t xml:space="preserve">Služby poskytnuté </w:t>
      </w:r>
      <w:r w:rsidRPr="001118A6">
        <w:rPr>
          <w:rStyle w:val="Siln"/>
          <w:szCs w:val="20"/>
        </w:rPr>
        <w:t>Dodavatel</w:t>
      </w:r>
      <w:r>
        <w:t>em</w:t>
      </w:r>
      <w:r w:rsidRPr="006D6E89">
        <w:t xml:space="preserve"> nad rámec rozsahu dle </w:t>
      </w:r>
      <w:r w:rsidRPr="00995159">
        <w:t xml:space="preserve">bodu 2. </w:t>
      </w:r>
      <w:r w:rsidRPr="006D6E89">
        <w:t xml:space="preserve">bude účtovat </w:t>
      </w:r>
      <w:r w:rsidRPr="001118A6">
        <w:rPr>
          <w:rStyle w:val="Siln"/>
          <w:szCs w:val="20"/>
        </w:rPr>
        <w:t>Dodavatel</w:t>
      </w:r>
      <w:r w:rsidRPr="006D6E89">
        <w:t xml:space="preserve"> dle ceníku uvedeného </w:t>
      </w:r>
      <w:r w:rsidRPr="007022D8">
        <w:t>v </w:t>
      </w:r>
      <w:hyperlink w:anchor="_Příloha_č._3" w:history="1">
        <w:r w:rsidRPr="007022D8">
          <w:t xml:space="preserve">Příloze č. </w:t>
        </w:r>
      </w:hyperlink>
      <w:r w:rsidRPr="007022D8">
        <w:t>2</w:t>
      </w:r>
      <w:r w:rsidRPr="002A61E0">
        <w:t xml:space="preserve"> této</w:t>
      </w:r>
      <w:r w:rsidRPr="006D6E89">
        <w:t xml:space="preserve"> smlouvy a budou součástí měsíční faktury.</w:t>
      </w:r>
    </w:p>
    <w:p w:rsidR="00C32D07" w:rsidRPr="006D6E89" w:rsidRDefault="00C32D07" w:rsidP="00C32D07">
      <w:pPr>
        <w:pStyle w:val="Odstavec1"/>
      </w:pPr>
      <w:r w:rsidRPr="006D6E89">
        <w:t>V případě, že Objednatel nevyčerpá sjednaný rozsah služeb, jejichž cena je hrazena paušální odměnou, nemá tato skutečnost vliv na povinnost Objednatele uhradit sjednanou paušální odměnu.</w:t>
      </w:r>
    </w:p>
    <w:p w:rsidR="00C32D07" w:rsidRPr="006D6E89" w:rsidRDefault="00C32D07" w:rsidP="00C32D07">
      <w:pPr>
        <w:pStyle w:val="Odstavec1"/>
      </w:pPr>
      <w:r w:rsidRPr="006D6E89">
        <w:t xml:space="preserve">O provedených pracích vede </w:t>
      </w:r>
      <w:r w:rsidRPr="001118A6">
        <w:rPr>
          <w:rStyle w:val="Siln"/>
          <w:szCs w:val="20"/>
        </w:rPr>
        <w:t>Dodavatel</w:t>
      </w:r>
      <w:r w:rsidRPr="006D6E89">
        <w:t xml:space="preserve"> evidenci, kterou </w:t>
      </w:r>
      <w:bookmarkStart w:id="4" w:name="_Hlk528243477"/>
      <w:r w:rsidRPr="00F66499">
        <w:t>předloží</w:t>
      </w:r>
      <w:r w:rsidRPr="0030044B">
        <w:t xml:space="preserve"> ke každé fakturaci</w:t>
      </w:r>
      <w:r w:rsidRPr="006D6E89">
        <w:t>.</w:t>
      </w:r>
      <w:bookmarkEnd w:id="4"/>
      <w:r w:rsidRPr="006D6E89">
        <w:t xml:space="preserve"> </w:t>
      </w:r>
    </w:p>
    <w:p w:rsidR="00C32D07" w:rsidRPr="003529E8" w:rsidRDefault="00C32D07" w:rsidP="00C32D07">
      <w:pPr>
        <w:pStyle w:val="Odstavec1"/>
      </w:pPr>
      <w:r w:rsidRPr="003529E8">
        <w:lastRenderedPageBreak/>
        <w:t>Nevyčerpaný počet hodin služeb dle</w:t>
      </w:r>
      <w:r w:rsidRPr="00B54870">
        <w:rPr>
          <w:rStyle w:val="Zvyraznenipole10"/>
        </w:rPr>
        <w:t xml:space="preserve"> </w:t>
      </w:r>
      <w:r w:rsidRPr="00995159">
        <w:t xml:space="preserve">bodu 2. </w:t>
      </w:r>
      <w:r w:rsidRPr="003529E8">
        <w:t xml:space="preserve">v </w:t>
      </w:r>
      <w:r>
        <w:t>kalendářním roce ne</w:t>
      </w:r>
      <w:r w:rsidRPr="003529E8">
        <w:t xml:space="preserve">bude převeden do následujícího </w:t>
      </w:r>
      <w:r>
        <w:t>roku</w:t>
      </w:r>
      <w:r w:rsidRPr="003529E8">
        <w:t xml:space="preserve">. </w:t>
      </w:r>
    </w:p>
    <w:p w:rsidR="00C32D07" w:rsidRPr="006D6E89" w:rsidRDefault="00C32D07" w:rsidP="00C32D07">
      <w:pPr>
        <w:pStyle w:val="Nadpis2"/>
      </w:pPr>
      <w:r w:rsidRPr="006D6E89">
        <w:t xml:space="preserve">Objednávání </w:t>
      </w:r>
      <w:r w:rsidRPr="00995159">
        <w:t xml:space="preserve">a realizace </w:t>
      </w:r>
      <w:r w:rsidRPr="006D6E89">
        <w:t>prací</w:t>
      </w:r>
    </w:p>
    <w:p w:rsidR="00C32D07" w:rsidRPr="006D6E89" w:rsidRDefault="00C32D07" w:rsidP="00C32D07">
      <w:pPr>
        <w:pStyle w:val="Odstavec1"/>
      </w:pPr>
      <w:bookmarkStart w:id="5" w:name="_Ref32388278"/>
      <w:r w:rsidRPr="006D6E89">
        <w:t>Servisní práce budou objednávány</w:t>
      </w:r>
      <w:r>
        <w:t xml:space="preserve"> výhradně</w:t>
      </w:r>
      <w:r w:rsidRPr="006D6E89">
        <w:t xml:space="preserve"> prostřednictvím systému Helpdesk</w:t>
      </w:r>
      <w:r>
        <w:t xml:space="preserve"> (</w:t>
      </w:r>
      <w:r w:rsidRPr="00A75F36">
        <w:rPr>
          <w:szCs w:val="20"/>
        </w:rPr>
        <w:t>http://helpdesk.arkance-systems.cz</w:t>
      </w:r>
      <w:r>
        <w:t>), dále jen Helpdesk, a to zadáním požadavku do formuláře pro vložení nového požadavku.</w:t>
      </w:r>
      <w:bookmarkEnd w:id="5"/>
      <w:r>
        <w:t xml:space="preserve"> Požadavky zadává do systému Helpdesk pověřená osoba Objednatele.</w:t>
      </w:r>
    </w:p>
    <w:p w:rsidR="00C32D07" w:rsidRDefault="00C32D07" w:rsidP="00C32D07">
      <w:pPr>
        <w:pStyle w:val="Odstavec1"/>
      </w:pPr>
      <w:r w:rsidRPr="006D6E89">
        <w:t xml:space="preserve">Na základě požadavku Objednatele specifikuje </w:t>
      </w:r>
      <w:r w:rsidRPr="001118A6">
        <w:rPr>
          <w:rStyle w:val="Siln"/>
          <w:szCs w:val="20"/>
        </w:rPr>
        <w:t>Dodavatel</w:t>
      </w:r>
      <w:r>
        <w:t xml:space="preserve"> odhadovaný </w:t>
      </w:r>
      <w:r w:rsidRPr="006D6E89">
        <w:t>počet hodin</w:t>
      </w:r>
      <w:r>
        <w:t xml:space="preserve"> na vyřešení požadavku</w:t>
      </w:r>
      <w:r w:rsidRPr="006D6E89">
        <w:t xml:space="preserve">, požadavky na součinnost </w:t>
      </w:r>
      <w:r w:rsidRPr="001118A6">
        <w:rPr>
          <w:rStyle w:val="Siln"/>
          <w:szCs w:val="20"/>
        </w:rPr>
        <w:t>Dodavatel</w:t>
      </w:r>
      <w:r w:rsidRPr="006D6E89">
        <w:t>e, termín a formu poskytnutí služby. Potvrzením podmínek v Helpdesk</w:t>
      </w:r>
      <w:r>
        <w:t>u O</w:t>
      </w:r>
      <w:r w:rsidRPr="006D6E89">
        <w:t xml:space="preserve">bjednatel závazně objednává práce za podmínek specifikovaných </w:t>
      </w:r>
      <w:r w:rsidRPr="001118A6">
        <w:rPr>
          <w:rStyle w:val="Siln"/>
          <w:szCs w:val="20"/>
        </w:rPr>
        <w:t>Dodavatel</w:t>
      </w:r>
      <w:r w:rsidRPr="006D6E89">
        <w:t xml:space="preserve">em a </w:t>
      </w:r>
      <w:r w:rsidRPr="001118A6">
        <w:rPr>
          <w:rStyle w:val="Siln"/>
          <w:szCs w:val="20"/>
        </w:rPr>
        <w:t>Dodavatel</w:t>
      </w:r>
      <w:r w:rsidRPr="006D6E89">
        <w:t xml:space="preserve"> je povinen je dodat.</w:t>
      </w:r>
    </w:p>
    <w:p w:rsidR="00C32D07" w:rsidRPr="006D6E89" w:rsidRDefault="00C32D07" w:rsidP="00C32D07">
      <w:pPr>
        <w:pStyle w:val="Odstavec1"/>
      </w:pPr>
      <w:r w:rsidRPr="006D6E89">
        <w:t>Objednatel je v požadavku povinen uvést minimálně následující údaje: důvod poskytnutí služby (zejména popis požadované služby, zjištěné vady a jejich projevy a důsledky</w:t>
      </w:r>
      <w:r>
        <w:t>)</w:t>
      </w:r>
    </w:p>
    <w:p w:rsidR="00C32D07" w:rsidRPr="00995159" w:rsidRDefault="00C32D07" w:rsidP="00C32D07">
      <w:pPr>
        <w:pStyle w:val="Odstavec1"/>
      </w:pPr>
      <w:bookmarkStart w:id="6" w:name="_Ref95247886"/>
      <w:r w:rsidRPr="00995159">
        <w:t xml:space="preserve">Požadavky zadané některou z pověřených osob Objednatele uvedených v bodech </w:t>
      </w:r>
      <w:r w:rsidRPr="00995159">
        <w:fldChar w:fldCharType="begin"/>
      </w:r>
      <w:r w:rsidRPr="00995159">
        <w:instrText xml:space="preserve"> REF _Ref95307270 \r \h  \* MERGEFORMAT </w:instrText>
      </w:r>
      <w:r w:rsidRPr="00995159">
        <w:fldChar w:fldCharType="separate"/>
      </w:r>
      <w:r w:rsidRPr="00995159">
        <w:t>5.5</w:t>
      </w:r>
      <w:r w:rsidRPr="00995159">
        <w:fldChar w:fldCharType="end"/>
      </w:r>
      <w:r w:rsidRPr="00995159">
        <w:t xml:space="preserve"> této smlouvy, jsou považovány za závazně objednané na základě odhadu doby a ceny řešení ze strany </w:t>
      </w:r>
      <w:r w:rsidRPr="001118A6">
        <w:rPr>
          <w:rStyle w:val="Siln"/>
          <w:szCs w:val="20"/>
        </w:rPr>
        <w:t>Dodavatel</w:t>
      </w:r>
      <w:r w:rsidRPr="00995159">
        <w:t xml:space="preserve">e a až po schválení pověřenou osobou Objednatele uvedenou v bodu 5.5. této smlouvy. </w:t>
      </w:r>
      <w:r w:rsidRPr="001118A6">
        <w:rPr>
          <w:rStyle w:val="Siln"/>
          <w:szCs w:val="20"/>
        </w:rPr>
        <w:t>Dodavatel</w:t>
      </w:r>
      <w:r w:rsidRPr="00995159">
        <w:t xml:space="preserve"> zahajuje realizaci požadavku až po obdržení schválení doby a ceny realizace.</w:t>
      </w:r>
      <w:bookmarkEnd w:id="6"/>
      <w:r w:rsidRPr="00995159">
        <w:t xml:space="preserve"> </w:t>
      </w:r>
    </w:p>
    <w:p w:rsidR="00C32D07" w:rsidRPr="00995159" w:rsidRDefault="00C32D07" w:rsidP="00C32D07">
      <w:pPr>
        <w:pStyle w:val="Odstavec1"/>
      </w:pPr>
      <w:r w:rsidRPr="001118A6">
        <w:rPr>
          <w:rStyle w:val="Siln"/>
          <w:szCs w:val="20"/>
        </w:rPr>
        <w:t>Dodavatel</w:t>
      </w:r>
      <w:r w:rsidRPr="00995159">
        <w:t xml:space="preserve"> poskytuje služby prostřednictvím vzdáleného přístupu a Objednatel zajistí </w:t>
      </w:r>
      <w:r w:rsidRPr="001118A6">
        <w:rPr>
          <w:rStyle w:val="Siln"/>
          <w:szCs w:val="20"/>
        </w:rPr>
        <w:t>Dodavatel</w:t>
      </w:r>
      <w:r w:rsidRPr="00995159">
        <w:t xml:space="preserve">i vzdálený přístup prostřednictvím VPN připojení. </w:t>
      </w:r>
      <w:r w:rsidRPr="001118A6">
        <w:rPr>
          <w:rStyle w:val="Siln"/>
          <w:szCs w:val="20"/>
        </w:rPr>
        <w:t>Dodavatel</w:t>
      </w:r>
      <w:r w:rsidRPr="00995159">
        <w:t xml:space="preserve"> se zavazuje, že poskytnuté certifikáty použije pouze pro účely provádění servisních zásahů na definovaném a určeném zařízení. </w:t>
      </w:r>
      <w:r w:rsidRPr="001118A6">
        <w:rPr>
          <w:rStyle w:val="Siln"/>
          <w:szCs w:val="20"/>
        </w:rPr>
        <w:t>Dodavatel</w:t>
      </w:r>
      <w:r w:rsidRPr="00995159">
        <w:rPr>
          <w:szCs w:val="22"/>
        </w:rPr>
        <w:t xml:space="preserve"> před každým prováděním servisního zásahu prostřednictvím VPN připojení je povinen vždy informovat pověřeného pracovníka Objednatele o rozsahu servisního zásahu. Připojení VPN si nelze žádným způsobem vymáhat nebo vynucovat, je vždy umožněno pouze po předchozím souhlasu ze strany Objednatele. Časový rozsah připojení určuje vždy Objednatel. Ve výjimečných případech se služby mohou realizovat po dohodě obou stran v místě sídla objednatele.</w:t>
      </w:r>
    </w:p>
    <w:p w:rsidR="00C32D07" w:rsidRPr="00995159" w:rsidRDefault="00C32D07" w:rsidP="00C32D07">
      <w:pPr>
        <w:pStyle w:val="Odstavec1"/>
      </w:pPr>
      <w:bookmarkStart w:id="7" w:name="_Ref31277051"/>
      <w:r w:rsidRPr="00995159">
        <w:t>Odpovědi na dotazy a řešení jednoduchých požadavků, které nevyžadují zásah a úpravu systému se realizují dle této smlouvy bezplatně.</w:t>
      </w:r>
      <w:bookmarkEnd w:id="7"/>
    </w:p>
    <w:p w:rsidR="00C32D07" w:rsidRDefault="00C32D07" w:rsidP="00C32D07">
      <w:pPr>
        <w:pStyle w:val="Odstavec1"/>
      </w:pPr>
      <w:r w:rsidRPr="006D6E89">
        <w:t xml:space="preserve">Po vyřešení požadavku </w:t>
      </w:r>
      <w:r w:rsidRPr="001118A6">
        <w:rPr>
          <w:rStyle w:val="Siln"/>
          <w:szCs w:val="20"/>
        </w:rPr>
        <w:t>Dodavatel</w:t>
      </w:r>
      <w:r w:rsidRPr="006D6E89">
        <w:t xml:space="preserve"> uzavře požadavek v systému Helpdesk. Pokud Objednatel nesouhlasí s uzavřením, může ho znovu otevřít a uvést důvody. Pokud Objednatel neotevře požadavek </w:t>
      </w:r>
      <w:r w:rsidRPr="00B54870">
        <w:t>3 pracovní dny</w:t>
      </w:r>
      <w:r w:rsidRPr="006D6E89">
        <w:t xml:space="preserve"> od jeho uzavření, považuje se vyřešení požadavku za akceptované.</w:t>
      </w:r>
    </w:p>
    <w:p w:rsidR="00C32D07" w:rsidRPr="00995159" w:rsidRDefault="00C32D07" w:rsidP="00C32D07">
      <w:pPr>
        <w:pStyle w:val="Odstavec1"/>
      </w:pPr>
      <w:r w:rsidRPr="001118A6">
        <w:rPr>
          <w:rStyle w:val="Siln"/>
          <w:szCs w:val="20"/>
        </w:rPr>
        <w:t>Dodavatel</w:t>
      </w:r>
      <w:r w:rsidRPr="00995159">
        <w:t xml:space="preserve"> je povinen respektovat nastavení Objednatele v oblasti kybernetické bezpečnosti.</w:t>
      </w:r>
    </w:p>
    <w:p w:rsidR="00C32D07" w:rsidRPr="00995159" w:rsidRDefault="00C32D07" w:rsidP="00C32D07">
      <w:pPr>
        <w:pStyle w:val="Odstavec1"/>
      </w:pPr>
      <w:r w:rsidRPr="00995159">
        <w:t xml:space="preserve">Objednatel je oprávněn provádět změny hardware a software a nastavení a konfigurace hardware a software v rámci jeho infrastruktury (hot-fixy, patche,…). Objednatel je povinen </w:t>
      </w:r>
      <w:r w:rsidRPr="001118A6">
        <w:rPr>
          <w:rStyle w:val="Siln"/>
          <w:szCs w:val="20"/>
        </w:rPr>
        <w:t>Dodavatel</w:t>
      </w:r>
      <w:r w:rsidRPr="00995159">
        <w:t xml:space="preserve">e předem informovat o plánovaných změnách. </w:t>
      </w:r>
      <w:r w:rsidRPr="001118A6">
        <w:rPr>
          <w:rStyle w:val="Siln"/>
          <w:szCs w:val="20"/>
        </w:rPr>
        <w:t>Dodavatel</w:t>
      </w:r>
      <w:r w:rsidRPr="00995159">
        <w:t xml:space="preserve"> musí vyhodnotit dopady a stanovit podmínky pro změnu nejpozději do 5 pracovních dnů ode dne doručení takové informace </w:t>
      </w:r>
      <w:r w:rsidRPr="001118A6">
        <w:rPr>
          <w:rStyle w:val="Siln"/>
          <w:szCs w:val="20"/>
        </w:rPr>
        <w:t>Dodavatel</w:t>
      </w:r>
      <w:r w:rsidRPr="00995159">
        <w:t xml:space="preserve">i, pokud tak neučiní, považují se plánované změny za akceptované.  </w:t>
      </w:r>
      <w:r w:rsidRPr="001118A6">
        <w:rPr>
          <w:rStyle w:val="Siln"/>
          <w:szCs w:val="20"/>
        </w:rPr>
        <w:t>Dodavatel</w:t>
      </w:r>
      <w:r w:rsidRPr="00995159">
        <w:t xml:space="preserve"> zajistí, aby poskytovaný produkt byl provozován na databázových a operačních systémech v podporovaných verzích společností Oracle a Microsoft.  </w:t>
      </w:r>
      <w:r w:rsidRPr="001118A6">
        <w:rPr>
          <w:rStyle w:val="Siln"/>
          <w:szCs w:val="20"/>
        </w:rPr>
        <w:t>Dodavatel</w:t>
      </w:r>
      <w:r w:rsidRPr="00995159">
        <w:t xml:space="preserve"> se zavazuje poskytnout součinnost při přechodu na nové verze databázových systémů Oracle a operačních systémů Microsoft a otestuje funkčnost systémů před nasazením nových verzí. Cena za poskytnutí součinnosti v tomto bodě smlouvy je součástí ceny průběžně poskytovaných služeb.</w:t>
      </w:r>
    </w:p>
    <w:p w:rsidR="00C32D07" w:rsidRPr="006D6E89" w:rsidRDefault="00C32D07" w:rsidP="00C32D07">
      <w:pPr>
        <w:pStyle w:val="Nadpis2"/>
      </w:pPr>
      <w:bookmarkStart w:id="8" w:name="_Ref31034484"/>
      <w:r w:rsidRPr="006D6E89">
        <w:t>Komunikace</w:t>
      </w:r>
      <w:bookmarkEnd w:id="8"/>
    </w:p>
    <w:p w:rsidR="00C32D07" w:rsidRPr="00350057" w:rsidRDefault="00C32D07" w:rsidP="00C32D07">
      <w:pPr>
        <w:pStyle w:val="Odstavec1"/>
      </w:pPr>
      <w:r w:rsidRPr="00350057">
        <w:t xml:space="preserve">Obě strany spolu budou ve věcech změn či dodatků této smlouvy komunikovat písemně na adresy Objednatele a </w:t>
      </w:r>
      <w:r w:rsidRPr="001118A6">
        <w:rPr>
          <w:rStyle w:val="Siln"/>
          <w:szCs w:val="20"/>
        </w:rPr>
        <w:t>Dodavatel</w:t>
      </w:r>
      <w:r w:rsidRPr="00350057">
        <w:t>e uvedené v záhlaví této smlouvy.</w:t>
      </w:r>
    </w:p>
    <w:p w:rsidR="00C32D07" w:rsidRPr="00350057" w:rsidRDefault="00C32D07" w:rsidP="00C32D07">
      <w:pPr>
        <w:pStyle w:val="Odstavec1"/>
      </w:pPr>
      <w:r w:rsidRPr="00350057">
        <w:t>Pro účely doručování se považují v pochybnostech písemnosti za doručené třetím dnem po odeslání písemnosti doporučeným dopisem na adresu druhé smluvní strany. Písemnost se považuje za doručenou i v případě, že se již druhá smluvní strana na adrese uvedené v záhlaví této smlouvy nezdržuje, nebo když změnila sídlo či bydliště, ale neoznámila druhé smluvní straně písemně takovou změnu adresy pro doručování písemností, a v případě, že doručení písemnosti zmařila.</w:t>
      </w:r>
    </w:p>
    <w:p w:rsidR="00C32D07" w:rsidRPr="00350057" w:rsidRDefault="00C32D07" w:rsidP="00C32D07">
      <w:pPr>
        <w:pStyle w:val="Odstavec1"/>
      </w:pPr>
      <w:r w:rsidRPr="00350057">
        <w:lastRenderedPageBreak/>
        <w:t>Za písemnou komunikaci se považují i komunikace provedené elektronickou poštou mezi pověřenými osobami.</w:t>
      </w:r>
    </w:p>
    <w:p w:rsidR="00C32D07" w:rsidRPr="00350057" w:rsidRDefault="00C32D07" w:rsidP="00C32D07">
      <w:pPr>
        <w:pStyle w:val="Odstavec1"/>
      </w:pPr>
      <w:r w:rsidRPr="00350057">
        <w:t xml:space="preserve">Pověřenými osobami ve smyslu této smlouvy </w:t>
      </w:r>
      <w:r w:rsidRPr="001118A6">
        <w:rPr>
          <w:rStyle w:val="Siln"/>
          <w:szCs w:val="20"/>
        </w:rPr>
        <w:t>Dodavatel</w:t>
      </w:r>
      <w:r w:rsidRPr="00350057">
        <w:t xml:space="preserve"> stanoví:</w:t>
      </w:r>
    </w:p>
    <w:p w:rsidR="00C32D07" w:rsidRDefault="00C32D07" w:rsidP="00C32D07">
      <w:pPr>
        <w:ind w:left="1134" w:firstLine="0"/>
        <w:rPr>
          <w:rFonts w:cs="Calibri"/>
        </w:rPr>
      </w:pPr>
      <w:r>
        <w:rPr>
          <w:rFonts w:cs="Calibri"/>
        </w:rPr>
        <w:t xml:space="preserve">Technik </w:t>
      </w:r>
      <w:r w:rsidRPr="001118A6">
        <w:rPr>
          <w:rStyle w:val="Siln"/>
          <w:rFonts w:cs="Calibri"/>
          <w:szCs w:val="20"/>
        </w:rPr>
        <w:t>Dodavatel</w:t>
      </w:r>
      <w:r>
        <w:rPr>
          <w:rFonts w:cs="Calibri"/>
        </w:rPr>
        <w:t>e konající službu technické podpory na Helpdesku. Zodpovídá za řešení požadavků, jejichž řešení nevyžaduje znalost prostředí Objednatele.</w:t>
      </w:r>
    </w:p>
    <w:p w:rsidR="00C32D07" w:rsidRDefault="00C32D07" w:rsidP="00C32D07">
      <w:pPr>
        <w:ind w:left="1134" w:firstLine="0"/>
        <w:rPr>
          <w:rFonts w:cs="Calibri"/>
        </w:rPr>
      </w:pPr>
      <w:r>
        <w:rPr>
          <w:rFonts w:cs="Calibri"/>
        </w:rPr>
        <w:t>Pověřený specializovaný technik. Zodpovídá za řešení požadavků, které vyžadují znalosti prostředí Objednatele:</w:t>
      </w:r>
    </w:p>
    <w:p w:rsidR="00C32D07" w:rsidRPr="00A75F36" w:rsidRDefault="00C32D07" w:rsidP="00C32D07">
      <w:pPr>
        <w:ind w:left="1134" w:firstLine="0"/>
        <w:rPr>
          <w:rFonts w:cs="Calibri"/>
        </w:rPr>
      </w:pPr>
      <w:r w:rsidRPr="004F69D5">
        <w:rPr>
          <w:rFonts w:cs="Calibri"/>
        </w:rPr>
        <w:t xml:space="preserve">Jméno, Příjmení: </w:t>
      </w:r>
      <w:r>
        <w:rPr>
          <w:rFonts w:cs="Calibri"/>
        </w:rPr>
        <w:t xml:space="preserve">xxx; </w:t>
      </w:r>
      <w:r w:rsidRPr="004F69D5">
        <w:rPr>
          <w:rFonts w:cs="Calibri"/>
        </w:rPr>
        <w:t xml:space="preserve">e-mail: </w:t>
      </w:r>
      <w:hyperlink r:id="rId5" w:history="1">
        <w:r>
          <w:rPr>
            <w:rStyle w:val="Hypertextovodkaz"/>
            <w:rFonts w:cs="Calibri"/>
          </w:rPr>
          <w:t>xx</w:t>
        </w:r>
      </w:hyperlink>
      <w:r w:rsidRPr="00A75F36">
        <w:rPr>
          <w:rFonts w:cs="Calibri"/>
        </w:rPr>
        <w:t xml:space="preserve">; </w:t>
      </w:r>
    </w:p>
    <w:p w:rsidR="00C32D07" w:rsidRPr="00A75F36" w:rsidRDefault="00C32D07" w:rsidP="00C32D07">
      <w:pPr>
        <w:ind w:left="1134" w:firstLine="0"/>
        <w:rPr>
          <w:rStyle w:val="Zvyraznenipole10"/>
        </w:rPr>
      </w:pPr>
      <w:r w:rsidRPr="00A75F36">
        <w:rPr>
          <w:rFonts w:cs="Calibri"/>
        </w:rPr>
        <w:t xml:space="preserve">tel.: </w:t>
      </w:r>
      <w:r>
        <w:rPr>
          <w:rFonts w:cs="Calibri"/>
        </w:rPr>
        <w:t>xxx</w:t>
      </w:r>
    </w:p>
    <w:p w:rsidR="00C32D07" w:rsidRPr="00A75F36" w:rsidRDefault="00C32D07" w:rsidP="00C32D07">
      <w:pPr>
        <w:ind w:left="1134" w:firstLine="0"/>
        <w:rPr>
          <w:rFonts w:cs="Calibri"/>
        </w:rPr>
      </w:pPr>
      <w:r w:rsidRPr="00A75F36">
        <w:rPr>
          <w:rFonts w:cs="Calibri"/>
        </w:rPr>
        <w:t xml:space="preserve">Jméno, Příjmení: </w:t>
      </w:r>
      <w:r>
        <w:rPr>
          <w:rFonts w:cs="Calibri"/>
        </w:rPr>
        <w:t>xxx</w:t>
      </w:r>
      <w:r w:rsidRPr="00A75F36">
        <w:rPr>
          <w:rFonts w:cs="Calibri"/>
        </w:rPr>
        <w:t xml:space="preserve">; e-mail: </w:t>
      </w:r>
      <w:hyperlink r:id="rId6" w:history="1">
        <w:r>
          <w:rPr>
            <w:rStyle w:val="Hypertextovodkaz"/>
            <w:rFonts w:cs="Calibri"/>
          </w:rPr>
          <w:t>xxx</w:t>
        </w:r>
      </w:hyperlink>
      <w:r w:rsidRPr="00A75F36">
        <w:rPr>
          <w:rFonts w:cs="Calibri"/>
        </w:rPr>
        <w:t xml:space="preserve">; </w:t>
      </w:r>
    </w:p>
    <w:p w:rsidR="00C32D07" w:rsidRPr="00A75F36" w:rsidRDefault="00C32D07" w:rsidP="00C32D07">
      <w:pPr>
        <w:ind w:left="1134" w:firstLine="0"/>
        <w:rPr>
          <w:rStyle w:val="Zvyraznenipole10"/>
        </w:rPr>
      </w:pPr>
      <w:r w:rsidRPr="00A75F36">
        <w:rPr>
          <w:rFonts w:cs="Calibri"/>
        </w:rPr>
        <w:t xml:space="preserve">tel.: </w:t>
      </w:r>
      <w:r>
        <w:rPr>
          <w:rFonts w:cs="Calibri"/>
        </w:rPr>
        <w:t>xxx</w:t>
      </w:r>
    </w:p>
    <w:p w:rsidR="00C32D07" w:rsidRPr="00A75F36" w:rsidRDefault="00C32D07" w:rsidP="00C32D07">
      <w:pPr>
        <w:ind w:left="1134" w:firstLine="0"/>
        <w:rPr>
          <w:rFonts w:cs="Calibri"/>
        </w:rPr>
      </w:pPr>
      <w:r w:rsidRPr="00A75F36">
        <w:rPr>
          <w:rFonts w:cs="Calibri"/>
        </w:rPr>
        <w:t>Obchodník zodpovědný za obchodní stránku smlouvy:</w:t>
      </w:r>
    </w:p>
    <w:p w:rsidR="00C32D07" w:rsidRDefault="00C32D07" w:rsidP="00C32D07">
      <w:pPr>
        <w:ind w:left="1134" w:firstLine="0"/>
        <w:rPr>
          <w:rFonts w:cs="Calibri"/>
        </w:rPr>
      </w:pPr>
      <w:r w:rsidRPr="00A75F36">
        <w:rPr>
          <w:rFonts w:cs="Calibri"/>
        </w:rPr>
        <w:t xml:space="preserve">Jméno, Příjmení: </w:t>
      </w:r>
      <w:r>
        <w:rPr>
          <w:rFonts w:cs="Calibri"/>
        </w:rPr>
        <w:t>xxx</w:t>
      </w:r>
      <w:r w:rsidRPr="00A75F36">
        <w:rPr>
          <w:rFonts w:cs="Calibri"/>
        </w:rPr>
        <w:t xml:space="preserve">; e-mail: </w:t>
      </w:r>
      <w:r w:rsidRPr="00D56435">
        <w:t>xxx</w:t>
      </w:r>
      <w:r>
        <w:rPr>
          <w:rFonts w:cs="Calibri"/>
        </w:rPr>
        <w:t xml:space="preserve"> </w:t>
      </w:r>
    </w:p>
    <w:p w:rsidR="00C32D07" w:rsidRDefault="00C32D07" w:rsidP="00C32D07">
      <w:pPr>
        <w:ind w:left="1134" w:firstLine="0"/>
        <w:rPr>
          <w:rStyle w:val="Zvyraznenipole10"/>
        </w:rPr>
      </w:pPr>
      <w:r w:rsidRPr="004F69D5">
        <w:rPr>
          <w:rFonts w:cs="Calibri"/>
        </w:rPr>
        <w:t xml:space="preserve">tel.: </w:t>
      </w:r>
      <w:r>
        <w:rPr>
          <w:rFonts w:cs="Calibri"/>
        </w:rPr>
        <w:t>xxx</w:t>
      </w:r>
    </w:p>
    <w:p w:rsidR="00C32D07" w:rsidRPr="009F2E6E" w:rsidRDefault="00C32D07" w:rsidP="00C32D07">
      <w:pPr>
        <w:ind w:left="1134" w:firstLine="0"/>
        <w:rPr>
          <w:color w:val="2F5496" w:themeColor="accent5" w:themeShade="BF"/>
        </w:rPr>
      </w:pPr>
    </w:p>
    <w:p w:rsidR="00C32D07" w:rsidRPr="006D6E89" w:rsidRDefault="00C32D07" w:rsidP="00C32D07">
      <w:pPr>
        <w:pStyle w:val="Odstavec1"/>
      </w:pPr>
      <w:bookmarkStart w:id="9" w:name="_Ref95307270"/>
      <w:r w:rsidRPr="006D6E89">
        <w:t xml:space="preserve">Pověřenými osobami </w:t>
      </w:r>
      <w:r>
        <w:t xml:space="preserve">pro založení požadavku a závazné objednání služeb </w:t>
      </w:r>
      <w:r w:rsidRPr="00995159">
        <w:t xml:space="preserve">dle bodu 2. </w:t>
      </w:r>
      <w:r w:rsidRPr="006D6E89">
        <w:t>této smlouvy Objednatel stanoví:</w:t>
      </w:r>
      <w:bookmarkEnd w:id="9"/>
    </w:p>
    <w:p w:rsidR="00C32D07" w:rsidRDefault="00C32D07" w:rsidP="00C32D07">
      <w:pPr>
        <w:ind w:left="1134" w:firstLine="0"/>
        <w:rPr>
          <w:rFonts w:cs="Calibri"/>
        </w:rPr>
      </w:pPr>
      <w:r>
        <w:rPr>
          <w:rFonts w:cs="Calibri"/>
        </w:rPr>
        <w:t xml:space="preserve">Registrovaný uživatel Helpdesku jehož email je z domény </w:t>
      </w:r>
      <w:r w:rsidRPr="006B0DDF">
        <w:rPr>
          <w:rFonts w:cs="Calibri"/>
        </w:rPr>
        <w:t>@pod.cz</w:t>
      </w:r>
    </w:p>
    <w:p w:rsidR="00C32D07" w:rsidRDefault="00C32D07" w:rsidP="00C32D07">
      <w:pPr>
        <w:ind w:left="1134" w:firstLine="0"/>
        <w:rPr>
          <w:rFonts w:cs="Calibri"/>
        </w:rPr>
      </w:pPr>
      <w:r w:rsidRPr="0023254B">
        <w:rPr>
          <w:rFonts w:cs="Calibri"/>
        </w:rPr>
        <w:t xml:space="preserve">Jméno, Příjmení: </w:t>
      </w:r>
      <w:r>
        <w:rPr>
          <w:rFonts w:cs="Calibri"/>
        </w:rPr>
        <w:t xml:space="preserve">Ing. Roman Teuchner; </w:t>
      </w:r>
      <w:r w:rsidRPr="0023254B">
        <w:rPr>
          <w:rFonts w:cs="Calibri"/>
        </w:rPr>
        <w:t xml:space="preserve">e-mail: </w:t>
      </w:r>
      <w:r>
        <w:rPr>
          <w:rFonts w:cs="Calibri"/>
        </w:rPr>
        <w:t xml:space="preserve">xxx ; </w:t>
      </w:r>
      <w:r w:rsidRPr="0023254B">
        <w:rPr>
          <w:rFonts w:cs="Calibri"/>
        </w:rPr>
        <w:t xml:space="preserve">tel.: </w:t>
      </w:r>
      <w:r>
        <w:rPr>
          <w:rFonts w:cs="Calibri"/>
        </w:rPr>
        <w:t>xxx</w:t>
      </w:r>
    </w:p>
    <w:p w:rsidR="00C32D07" w:rsidRPr="006D6E89" w:rsidRDefault="00C32D07" w:rsidP="00C32D07">
      <w:pPr>
        <w:ind w:left="1134" w:firstLine="0"/>
        <w:rPr>
          <w:rFonts w:cs="Calibri"/>
        </w:rPr>
      </w:pPr>
      <w:r w:rsidRPr="004F69D5">
        <w:rPr>
          <w:rFonts w:cs="Calibri"/>
        </w:rPr>
        <w:t xml:space="preserve">Jméno, Příjmení: </w:t>
      </w:r>
      <w:r>
        <w:rPr>
          <w:rFonts w:cs="Calibri"/>
        </w:rPr>
        <w:t xml:space="preserve">Mgr. Miroslav Antal; </w:t>
      </w:r>
      <w:r w:rsidRPr="004F69D5">
        <w:rPr>
          <w:rFonts w:cs="Calibri"/>
        </w:rPr>
        <w:t xml:space="preserve">e-mail: </w:t>
      </w:r>
      <w:r>
        <w:rPr>
          <w:rFonts w:cs="Calibri"/>
        </w:rPr>
        <w:t xml:space="preserve">xxx ; </w:t>
      </w:r>
      <w:r w:rsidRPr="004F69D5">
        <w:rPr>
          <w:rFonts w:cs="Calibri"/>
        </w:rPr>
        <w:t xml:space="preserve">tel.: </w:t>
      </w:r>
      <w:r>
        <w:rPr>
          <w:rFonts w:cs="Calibri"/>
        </w:rPr>
        <w:t>xxx</w:t>
      </w:r>
    </w:p>
    <w:p w:rsidR="00C32D07" w:rsidRPr="006D6E89" w:rsidRDefault="00C32D07" w:rsidP="00C32D07">
      <w:pPr>
        <w:ind w:firstLine="0"/>
        <w:rPr>
          <w:rFonts w:cs="Calibri"/>
        </w:rPr>
      </w:pPr>
    </w:p>
    <w:p w:rsidR="00C32D07" w:rsidRPr="006D6E89" w:rsidRDefault="00C32D07" w:rsidP="00C32D07">
      <w:pPr>
        <w:pStyle w:val="Nadpis2"/>
      </w:pPr>
      <w:r w:rsidRPr="006D6E89">
        <w:t>Práva a povinnosti stran</w:t>
      </w:r>
    </w:p>
    <w:p w:rsidR="00C32D07" w:rsidRPr="006D6E89" w:rsidRDefault="00C32D07" w:rsidP="00C32D07">
      <w:pPr>
        <w:pStyle w:val="Odstavec1"/>
      </w:pPr>
      <w:r w:rsidRPr="006D6E89">
        <w:t xml:space="preserve">Práva a povinnosti </w:t>
      </w:r>
      <w:r w:rsidRPr="001118A6">
        <w:rPr>
          <w:rStyle w:val="Siln"/>
          <w:szCs w:val="20"/>
        </w:rPr>
        <w:t>Dodavatel</w:t>
      </w:r>
      <w:r w:rsidRPr="006D6E89">
        <w:t>e:</w:t>
      </w:r>
    </w:p>
    <w:p w:rsidR="00C32D07" w:rsidRPr="006D6E89" w:rsidRDefault="00C32D07" w:rsidP="00C32D07">
      <w:pPr>
        <w:pStyle w:val="Odstavec2"/>
      </w:pPr>
      <w:r w:rsidRPr="001118A6">
        <w:rPr>
          <w:rStyle w:val="Siln"/>
          <w:szCs w:val="20"/>
        </w:rPr>
        <w:t>Dodavatel</w:t>
      </w:r>
      <w:r w:rsidRPr="006D6E89">
        <w:t xml:space="preserve"> svolává ve spolupráci s Objednatelem schůzky k řešení sporných otázek.</w:t>
      </w:r>
    </w:p>
    <w:p w:rsidR="00C32D07" w:rsidRPr="006D6E89" w:rsidRDefault="00C32D07" w:rsidP="00C32D07">
      <w:pPr>
        <w:pStyle w:val="Odstavec2"/>
      </w:pPr>
      <w:r w:rsidRPr="001118A6">
        <w:rPr>
          <w:rStyle w:val="Siln"/>
          <w:szCs w:val="20"/>
        </w:rPr>
        <w:t>Dodavatel</w:t>
      </w:r>
      <w:r w:rsidRPr="006D6E89">
        <w:t xml:space="preserve"> zajistí potřebný počet pracovníků s kvalifikací potřebnou pro realizaci předmětu Plnění.</w:t>
      </w:r>
    </w:p>
    <w:p w:rsidR="00C32D07" w:rsidRPr="006D6E89" w:rsidRDefault="00C32D07" w:rsidP="00C32D07">
      <w:pPr>
        <w:pStyle w:val="Odstavec2"/>
      </w:pPr>
      <w:r w:rsidRPr="001118A6">
        <w:rPr>
          <w:rStyle w:val="Siln"/>
          <w:szCs w:val="20"/>
        </w:rPr>
        <w:t>Dodavatel</w:t>
      </w:r>
      <w:r w:rsidRPr="006D6E89">
        <w:t xml:space="preserve"> bezodkladně řeší ve spolupráci s Objednatelem závady vzniklé při plnění této smlouvy.</w:t>
      </w:r>
    </w:p>
    <w:p w:rsidR="00C32D07" w:rsidRPr="006D6E89" w:rsidRDefault="00C32D07" w:rsidP="00C32D07">
      <w:pPr>
        <w:pStyle w:val="Odstavec2"/>
        <w:numPr>
          <w:ilvl w:val="0"/>
          <w:numId w:val="0"/>
        </w:numPr>
        <w:ind w:left="947"/>
      </w:pPr>
    </w:p>
    <w:p w:rsidR="00C32D07" w:rsidRPr="006D6E89" w:rsidRDefault="00C32D07" w:rsidP="00C32D07">
      <w:pPr>
        <w:pStyle w:val="Odstavec1"/>
      </w:pPr>
      <w:r w:rsidRPr="006D6E89">
        <w:t>Práva a povinnosti Objednatele:</w:t>
      </w:r>
    </w:p>
    <w:p w:rsidR="00C32D07" w:rsidRDefault="00C32D07" w:rsidP="00C32D07">
      <w:pPr>
        <w:pStyle w:val="Odstavec2"/>
      </w:pPr>
      <w:r w:rsidRPr="004C1333">
        <w:t xml:space="preserve">Objednatel </w:t>
      </w:r>
      <w:r>
        <w:t xml:space="preserve">se zavazuje </w:t>
      </w:r>
      <w:r w:rsidRPr="004C1333">
        <w:t>zaji</w:t>
      </w:r>
      <w:r>
        <w:t xml:space="preserve">stit pracovníkům </w:t>
      </w:r>
      <w:r w:rsidRPr="001118A6">
        <w:rPr>
          <w:rStyle w:val="Siln"/>
          <w:szCs w:val="20"/>
        </w:rPr>
        <w:t>Dodavatel</w:t>
      </w:r>
      <w:r>
        <w:t>e v</w:t>
      </w:r>
      <w:r w:rsidRPr="004C1333">
        <w:t>zdálený přístup k pracovním stanicím</w:t>
      </w:r>
      <w:r>
        <w:t xml:space="preserve"> (PC, notebooky)</w:t>
      </w:r>
      <w:r w:rsidRPr="004C1333">
        <w:t xml:space="preserve"> a serverům, na kterých je řešení </w:t>
      </w:r>
      <w:r w:rsidRPr="001118A6">
        <w:rPr>
          <w:rStyle w:val="Siln"/>
          <w:szCs w:val="20"/>
        </w:rPr>
        <w:t>Dodavatel</w:t>
      </w:r>
      <w:r w:rsidRPr="004C1333">
        <w:t>e provozováno</w:t>
      </w:r>
      <w:r>
        <w:t>.</w:t>
      </w:r>
    </w:p>
    <w:p w:rsidR="00C32D07" w:rsidRPr="00E80C63" w:rsidRDefault="00C32D07" w:rsidP="00C32D07">
      <w:pPr>
        <w:pStyle w:val="Odstavec2"/>
      </w:pPr>
      <w:r w:rsidRPr="006D6E89">
        <w:t>Objedn</w:t>
      </w:r>
      <w:r>
        <w:t xml:space="preserve">atel je v souvislosti s poskytováním služeb povinen zajistit pracovníkům </w:t>
      </w:r>
      <w:r w:rsidRPr="001118A6">
        <w:rPr>
          <w:rStyle w:val="Siln"/>
          <w:szCs w:val="20"/>
        </w:rPr>
        <w:t>Dodavatel</w:t>
      </w:r>
      <w:r>
        <w:t xml:space="preserve">e přístup do objektů a na pracoviště Objednatele. </w:t>
      </w:r>
    </w:p>
    <w:p w:rsidR="00C32D07" w:rsidRPr="006D6E89" w:rsidRDefault="00C32D07" w:rsidP="00C32D07">
      <w:pPr>
        <w:pStyle w:val="Odstavec2"/>
      </w:pPr>
      <w:r w:rsidRPr="006D6E89">
        <w:t>Objednatel je povinen zajistit na své straně funkční ha</w:t>
      </w:r>
      <w:r>
        <w:t>rdwarové a softwarové prostředí</w:t>
      </w:r>
      <w:r w:rsidRPr="006D6E89">
        <w:t xml:space="preserve"> tak</w:t>
      </w:r>
      <w:r>
        <w:t>,</w:t>
      </w:r>
      <w:r w:rsidRPr="006D6E89">
        <w:t xml:space="preserve"> aby mohla být řádně poskytována technická podpora a další služby podle této smlouvy. </w:t>
      </w:r>
    </w:p>
    <w:p w:rsidR="00C32D07" w:rsidRDefault="00C32D07" w:rsidP="00C32D07">
      <w:pPr>
        <w:pStyle w:val="Odstavec2"/>
      </w:pPr>
      <w:r w:rsidRPr="006D6E89">
        <w:t xml:space="preserve">Objednatel předává </w:t>
      </w:r>
      <w:r w:rsidRPr="001118A6">
        <w:rPr>
          <w:rStyle w:val="Siln"/>
          <w:szCs w:val="20"/>
        </w:rPr>
        <w:t>Dodavatel</w:t>
      </w:r>
      <w:r w:rsidRPr="006D6E89">
        <w:t>i potřebné nebo</w:t>
      </w:r>
      <w:r>
        <w:t xml:space="preserve"> vyžádané podklady a informace </w:t>
      </w:r>
      <w:r w:rsidRPr="006D6E89">
        <w:t>související s</w:t>
      </w:r>
      <w:r>
        <w:t> </w:t>
      </w:r>
      <w:r w:rsidRPr="006D6E89">
        <w:t xml:space="preserve">realizací předmětu </w:t>
      </w:r>
      <w:r>
        <w:t>p</w:t>
      </w:r>
      <w:r w:rsidRPr="006D6E89">
        <w:t xml:space="preserve">lnění </w:t>
      </w:r>
      <w:r>
        <w:t>nejpozději do tří</w:t>
      </w:r>
      <w:r w:rsidRPr="006D6E89">
        <w:t xml:space="preserve"> </w:t>
      </w:r>
      <w:r>
        <w:t>p</w:t>
      </w:r>
      <w:r w:rsidRPr="006D6E89">
        <w:t>racovních dnů po jejich písemném či ústním vyžádání, pokud se</w:t>
      </w:r>
      <w:r>
        <w:t xml:space="preserve"> o obě strany nedohodnou jinak.</w:t>
      </w:r>
    </w:p>
    <w:p w:rsidR="00C32D07" w:rsidRPr="006D6E89" w:rsidRDefault="00C32D07" w:rsidP="00C32D07">
      <w:pPr>
        <w:pStyle w:val="Odstavec2"/>
      </w:pPr>
      <w:r w:rsidRPr="006D6E89">
        <w:t>Objednatel svolává ve spolupráci s </w:t>
      </w:r>
      <w:r w:rsidRPr="001118A6">
        <w:rPr>
          <w:rStyle w:val="Siln"/>
          <w:szCs w:val="20"/>
        </w:rPr>
        <w:t>Dodavatel</w:t>
      </w:r>
      <w:r w:rsidRPr="006D6E89">
        <w:t>em schůzky k řešení sporných otázek.</w:t>
      </w:r>
      <w:r>
        <w:t xml:space="preserve"> Doba trvání schůzek se započítává do plnění služeb </w:t>
      </w:r>
      <w:r w:rsidRPr="00A75F36">
        <w:t>dle bodu 2</w:t>
      </w:r>
      <w:r w:rsidRPr="00C34D09">
        <w:rPr>
          <w:color w:val="0070C0"/>
        </w:rPr>
        <w:t>.</w:t>
      </w:r>
      <w:r w:rsidRPr="006D6E89">
        <w:t xml:space="preserve"> </w:t>
      </w:r>
      <w:r>
        <w:t xml:space="preserve">této smlouvy a je rovněž Objednateli fakturována. </w:t>
      </w:r>
    </w:p>
    <w:p w:rsidR="00C32D07" w:rsidRPr="006D6E89" w:rsidRDefault="00C32D07" w:rsidP="00C32D07">
      <w:pPr>
        <w:pStyle w:val="Odstavec2"/>
      </w:pPr>
      <w:r w:rsidRPr="006D6E89">
        <w:t xml:space="preserve">Objednatel konzultuje řešení v průběhu realizace předmětu </w:t>
      </w:r>
      <w:r>
        <w:t>p</w:t>
      </w:r>
      <w:r w:rsidRPr="006D6E89">
        <w:t xml:space="preserve">lnění na požádání </w:t>
      </w:r>
      <w:r w:rsidRPr="001118A6">
        <w:rPr>
          <w:rStyle w:val="Siln"/>
          <w:szCs w:val="20"/>
        </w:rPr>
        <w:t>Dodavatel</w:t>
      </w:r>
      <w:r w:rsidRPr="006D6E89">
        <w:t xml:space="preserve">e. Nejpozději do tří </w:t>
      </w:r>
      <w:r>
        <w:t>p</w:t>
      </w:r>
      <w:r w:rsidRPr="006D6E89">
        <w:t>racovních dnů od písemného vyzvání k projednání řešení Objednatel zorganizuje toto projednání a zajistí účast Odpovědných osob Objednatele.</w:t>
      </w:r>
    </w:p>
    <w:p w:rsidR="00C32D07" w:rsidRDefault="00C32D07" w:rsidP="00C32D07">
      <w:pPr>
        <w:pStyle w:val="Odstavec2"/>
      </w:pPr>
      <w:r w:rsidRPr="006D6E89">
        <w:t>Objednatel se vyjádří písemně k předkládaným materiálům</w:t>
      </w:r>
      <w:r>
        <w:t xml:space="preserve"> </w:t>
      </w:r>
      <w:r w:rsidRPr="001118A6">
        <w:rPr>
          <w:rStyle w:val="Siln"/>
          <w:szCs w:val="20"/>
        </w:rPr>
        <w:t>Dodavatel</w:t>
      </w:r>
      <w:r>
        <w:t>e</w:t>
      </w:r>
      <w:r w:rsidRPr="006D6E89">
        <w:t xml:space="preserve"> </w:t>
      </w:r>
      <w:r>
        <w:t>nejpozději do tří p</w:t>
      </w:r>
      <w:r w:rsidRPr="006D6E89">
        <w:t>racovních dnů od jejich obdržení, pokud není dohodnuto jinak.</w:t>
      </w:r>
    </w:p>
    <w:p w:rsidR="00C32D07" w:rsidRPr="006D6E89" w:rsidRDefault="00C32D07" w:rsidP="00C32D07">
      <w:pPr>
        <w:pStyle w:val="Odstavec2"/>
      </w:pPr>
      <w:r>
        <w:t>Za písemnou komunikaci se považuje i komunikace vedená prostřednictvím odpovědí u požadavku v Helpdesku.</w:t>
      </w:r>
    </w:p>
    <w:p w:rsidR="00C32D07" w:rsidRPr="009F2E6E" w:rsidRDefault="00C32D07" w:rsidP="00C32D07">
      <w:pPr>
        <w:pStyle w:val="Nadpis2"/>
      </w:pPr>
      <w:bookmarkStart w:id="10" w:name="_Ref31035768"/>
      <w:r w:rsidRPr="009F2E6E">
        <w:lastRenderedPageBreak/>
        <w:t>Inflační doložka</w:t>
      </w:r>
    </w:p>
    <w:p w:rsidR="00C32D07" w:rsidRPr="00A75F36" w:rsidRDefault="00C32D07" w:rsidP="00C32D07">
      <w:pPr>
        <w:pStyle w:val="Odstavec1"/>
      </w:pPr>
      <w:r w:rsidRPr="00A75F36">
        <w:t xml:space="preserve">Pokud míra inflace určena podle údajů zveřejněných Českým statistickým úřadem překročí 5%, má </w:t>
      </w:r>
      <w:r w:rsidRPr="00A75F36">
        <w:rPr>
          <w:rStyle w:val="Siln"/>
          <w:szCs w:val="20"/>
        </w:rPr>
        <w:t>Dodavatel</w:t>
      </w:r>
      <w:r w:rsidRPr="00A75F36">
        <w:t xml:space="preserve"> právo požádat o valorizaci ceny služeb. </w:t>
      </w:r>
      <w:r w:rsidRPr="00A75F36">
        <w:rPr>
          <w:rStyle w:val="Siln"/>
          <w:szCs w:val="20"/>
        </w:rPr>
        <w:t>Dodavatel</w:t>
      </w:r>
      <w:r w:rsidRPr="00A75F36">
        <w:t xml:space="preserve"> má právo požádat o valorizaci ceny služeb jednou ročně, a to vždy nejpozději do konce měsíce března každého kalendářního roku. Cena služeb bude realizována dodatkem smlouvy a navýšena o procenta odsouhlasená oběma stranami, s účinností od následujícího měsíce od podpisu dodatku.</w:t>
      </w:r>
    </w:p>
    <w:p w:rsidR="00C32D07" w:rsidRPr="00A75F36" w:rsidRDefault="00C32D07" w:rsidP="00C32D07">
      <w:pPr>
        <w:pStyle w:val="Nadpis2"/>
      </w:pPr>
      <w:r w:rsidRPr="00A75F36">
        <w:t>Závěrečná ustanovení</w:t>
      </w:r>
      <w:bookmarkEnd w:id="10"/>
    </w:p>
    <w:p w:rsidR="00C32D07" w:rsidRPr="00A75F36" w:rsidRDefault="00C32D07" w:rsidP="00C32D07">
      <w:pPr>
        <w:pStyle w:val="Odstavec1"/>
      </w:pPr>
      <w:r w:rsidRPr="00A75F36">
        <w:t>Tato smlouva nabývá platnosti dnem oboustranného podpisu této smlouvy a účinnosti</w:t>
      </w:r>
      <w:r w:rsidRPr="00A75F36">
        <w:br/>
        <w:t>1. 1. 2024 za předpokladu předchozí zveřejnění této smlouvy v registru smluv.</w:t>
      </w:r>
    </w:p>
    <w:p w:rsidR="00C32D07" w:rsidRPr="00A75F36" w:rsidRDefault="00C32D07" w:rsidP="00C32D07">
      <w:pPr>
        <w:pStyle w:val="Odstavec1"/>
      </w:pPr>
      <w:r w:rsidRPr="00A75F36">
        <w:t>Tato smlouva se uzavírá na dobu neurčitou.</w:t>
      </w:r>
    </w:p>
    <w:p w:rsidR="00C32D07" w:rsidRPr="006D6E89" w:rsidRDefault="00C32D07" w:rsidP="00C32D07">
      <w:pPr>
        <w:pStyle w:val="Odstavec1"/>
      </w:pPr>
      <w:r w:rsidRPr="006D6E89">
        <w:t xml:space="preserve">Tuto smlouvu </w:t>
      </w:r>
      <w:r w:rsidRPr="00314ADE">
        <w:t>může každá ze smluvních stran vypovědět písemnou výpovědí, přičemž výpovědní lhůta činí 3 měsíce a počíná plynout od prvého dne měsíce následujícího po měsíci, v němž byla výpověď doručena</w:t>
      </w:r>
      <w:r w:rsidRPr="006D6E89">
        <w:t xml:space="preserve"> druhé smluvní straně.</w:t>
      </w:r>
    </w:p>
    <w:p w:rsidR="00C32D07" w:rsidRPr="006D6E89" w:rsidRDefault="00C32D07" w:rsidP="00C32D07">
      <w:pPr>
        <w:pStyle w:val="Odstavec1"/>
      </w:pPr>
      <w:r w:rsidRPr="006D6E89">
        <w:t>Každá smluvní strana je oprávněna jednostranně odstoupit od smlouvy, jestliže:</w:t>
      </w:r>
    </w:p>
    <w:p w:rsidR="00C32D07" w:rsidRPr="006D6E89" w:rsidRDefault="00C32D07" w:rsidP="00C32D07">
      <w:pPr>
        <w:pStyle w:val="Odstavec2"/>
      </w:pPr>
      <w:r w:rsidRPr="006D6E89">
        <w:t>druhá smluvní strana neplní hrubě podmínky smlouvy, byla na tuto skutečnost upozorněna, nesjednala nápravu ani v dodatečně poskytnuté přiměřené lhůtě</w:t>
      </w:r>
      <w:r>
        <w:t>;</w:t>
      </w:r>
    </w:p>
    <w:p w:rsidR="00C32D07" w:rsidRPr="006D6E89" w:rsidRDefault="00C32D07" w:rsidP="00C32D07">
      <w:pPr>
        <w:pStyle w:val="Odstavec2"/>
      </w:pPr>
      <w:r w:rsidRPr="006D6E89">
        <w:t>druhá smluvní strana je v insolvenčním řízení nebo ztratila oprávnění k podnikatelské činnosti podle platných předpisů (o této skutečnosti je povinnost podat informaci neprodleně)</w:t>
      </w:r>
      <w:r>
        <w:t>;</w:t>
      </w:r>
    </w:p>
    <w:p w:rsidR="00C32D07" w:rsidRPr="006D6E89" w:rsidRDefault="00C32D07" w:rsidP="00C32D07">
      <w:pPr>
        <w:pStyle w:val="Odstavec2"/>
      </w:pPr>
      <w:r w:rsidRPr="006D6E89">
        <w:t>na majetek druhé smluvní strany byly zahájeny úkony, které nasvědčují zahájení exekučního řízení. O této skutečnosti je povinnost podat informaci neprodleně.</w:t>
      </w:r>
    </w:p>
    <w:p w:rsidR="00C32D07" w:rsidRDefault="00C32D07" w:rsidP="00C32D07">
      <w:pPr>
        <w:pStyle w:val="Odstavec1"/>
      </w:pPr>
      <w:r w:rsidRPr="00EE10F3">
        <w:t>Tato smlouva se vyhotovuje v elektronické podobě a je elektronicky podepsán</w:t>
      </w:r>
      <w:r>
        <w:t>a</w:t>
      </w:r>
      <w:r w:rsidRPr="00EE10F3">
        <w:t xml:space="preserve"> oběma smluvními stranami.</w:t>
      </w:r>
    </w:p>
    <w:p w:rsidR="00C32D07" w:rsidRPr="006D6E89" w:rsidRDefault="00C32D07" w:rsidP="00C32D07">
      <w:pPr>
        <w:pStyle w:val="Odstavec1"/>
      </w:pPr>
      <w:r w:rsidRPr="006D6E89">
        <w:t>Jakékoliv změny této smlouvy včetně příloh je možné provádět formou písemného dodatku podepsaného statutárními zástupci obou smluvních stran.</w:t>
      </w:r>
    </w:p>
    <w:p w:rsidR="00C32D07" w:rsidRPr="006D6E89" w:rsidRDefault="00C32D07" w:rsidP="00C32D07">
      <w:pPr>
        <w:pStyle w:val="Odstavec1"/>
      </w:pPr>
      <w:r w:rsidRPr="006D6E89">
        <w:t xml:space="preserve">Vztahy mezi stranami se řídí ustanoveními této smlouvy, všeobecnými </w:t>
      </w:r>
      <w:r>
        <w:t>smluvními</w:t>
      </w:r>
      <w:r w:rsidRPr="006D6E89">
        <w:t xml:space="preserve"> podmínkami pro poskytování služeb, které tvo</w:t>
      </w:r>
      <w:r w:rsidRPr="007022D8">
        <w:t xml:space="preserve">ří </w:t>
      </w:r>
      <w:hyperlink w:anchor="_Příloha_č._4" w:history="1">
        <w:r w:rsidRPr="007022D8">
          <w:t xml:space="preserve">Přílohu č. </w:t>
        </w:r>
      </w:hyperlink>
      <w:r w:rsidRPr="007022D8">
        <w:t>3</w:t>
      </w:r>
      <w:r w:rsidRPr="006D6E89">
        <w:t xml:space="preserve"> této smlouvy a občanským zákoníkem. V částech vztahujících se k udělení práva užití programů splňujících znaky autorského díla se použije režim autorského zákona.</w:t>
      </w:r>
    </w:p>
    <w:p w:rsidR="00C32D07" w:rsidRPr="00A75F36" w:rsidRDefault="00C32D07" w:rsidP="00C32D07">
      <w:pPr>
        <w:pStyle w:val="lnek2"/>
      </w:pPr>
      <w:r w:rsidRPr="00A75F36">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 </w:t>
      </w:r>
    </w:p>
    <w:p w:rsidR="00C32D07" w:rsidRPr="00A75F36" w:rsidRDefault="00C32D07" w:rsidP="00C32D07">
      <w:pPr>
        <w:pStyle w:val="lnek2"/>
      </w:pPr>
      <w:r w:rsidRPr="00A75F36">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rsidR="00C32D07" w:rsidRPr="00A75F36" w:rsidRDefault="00C32D07" w:rsidP="00C32D07">
      <w:pPr>
        <w:pStyle w:val="lnek2"/>
      </w:pPr>
      <w:r w:rsidRPr="00A75F36">
        <w:t>Smluvní strany výslovně souhlasí, že tato smlouva bude zveřejněna podle zák. č. 340/2015 Sb., zákon o registru smluv, ve znění pozdějších předpisů, a to včetně příloh, dodatků, odvozených dokumentů a metadat. Za tím účelem se smluvní strany zavazují v rámci kontraktačního procesu připravit smlouvu v otevřeném a strojově čitelném formátu.</w:t>
      </w:r>
    </w:p>
    <w:p w:rsidR="00C32D07" w:rsidRPr="00A75F36" w:rsidRDefault="00C32D07" w:rsidP="00C32D07">
      <w:pPr>
        <w:pStyle w:val="lnek2"/>
      </w:pPr>
      <w:r w:rsidRPr="00A75F36">
        <w:t xml:space="preserve">Smluvní strany se dohodly, že tuto smlouvu zveřejní v registru smluv Povodí Odry, státní podnik do 30 dnů od jejího uzavření. </w:t>
      </w:r>
    </w:p>
    <w:p w:rsidR="00C32D07" w:rsidRPr="00A75F36" w:rsidRDefault="00C32D07" w:rsidP="00C32D07">
      <w:pPr>
        <w:pStyle w:val="lnek2"/>
      </w:pPr>
      <w:r>
        <w:lastRenderedPageBreak/>
        <w:t xml:space="preserve"> Dodavatel prohlašuje, že Přílohy č. 1 a č. 2 této smlouvy tvoří jeho obchodní tajemství. Smluvní strany se dohodly, že Přílohy č. 1 a č. 2 nebudou zveřejněny prostřednictvím registru smluv. </w:t>
      </w:r>
    </w:p>
    <w:p w:rsidR="00C32D07" w:rsidRPr="00A75F36" w:rsidRDefault="00C32D07" w:rsidP="00C32D07">
      <w:pPr>
        <w:pStyle w:val="lnek2"/>
      </w:pPr>
      <w:r w:rsidRPr="00A75F36">
        <w:rPr>
          <w:rStyle w:val="Siln"/>
          <w:rFonts w:cs="Calibri"/>
          <w:szCs w:val="20"/>
        </w:rPr>
        <w:t>Dodavatel</w:t>
      </w:r>
      <w:r w:rsidRPr="00A75F36">
        <w:t xml:space="preserve"> podpisem této smlouvy prohlašuje, že proti němu, jeho přímým či nepřímým vlastníkům, ani jeho poddodavatelům (včetně jejich přímých nebo nepřímých vlastníků), kteří mu jsou ke dni podpisu této smlouvy známi, nejsou uvaleny:</w:t>
      </w:r>
    </w:p>
    <w:p w:rsidR="00C32D07" w:rsidRPr="00A75F36" w:rsidRDefault="00C32D07" w:rsidP="00C32D07">
      <w:pPr>
        <w:spacing w:before="80"/>
        <w:ind w:left="851" w:hanging="142"/>
        <w:rPr>
          <w:rFonts w:ascii="Arial" w:hAnsi="Arial" w:cs="Arial"/>
        </w:rPr>
      </w:pPr>
      <w:bookmarkStart w:id="11" w:name="_Hlk99613996"/>
      <w:r w:rsidRPr="00A75F36">
        <w:rPr>
          <w:rFonts w:ascii="Arial" w:hAnsi="Arial" w:cs="Arial"/>
        </w:rPr>
        <w:t>-</w:t>
      </w:r>
      <w:r w:rsidRPr="00A75F36">
        <w:rPr>
          <w:rFonts w:ascii="Arial" w:hAnsi="Arial" w:cs="Arial"/>
        </w:rPr>
        <w:tab/>
        <w:t xml:space="preserve">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jej samostatně zavádí další mezinárodní finanční sankce sledující stejný účel jako ty ze Základních nařízení </w:t>
      </w:r>
    </w:p>
    <w:p w:rsidR="00C32D07" w:rsidRPr="00A75F36" w:rsidRDefault="00C32D07" w:rsidP="00C32D07">
      <w:pPr>
        <w:spacing w:before="80"/>
        <w:ind w:left="851" w:hanging="142"/>
      </w:pPr>
      <w:r w:rsidRPr="00A75F36">
        <w:rPr>
          <w:rFonts w:ascii="Arial" w:hAnsi="Arial" w:cs="Arial"/>
        </w:rPr>
        <w:t>-</w:t>
      </w:r>
      <w:r w:rsidRPr="00A75F36">
        <w:rPr>
          <w:rFonts w:ascii="Arial" w:hAnsi="Arial" w:cs="Arial"/>
        </w:rPr>
        <w:tab/>
        <w:t xml:space="preserve">nebo jiné aplikovatelné sankce platné v České republice nebo zemi sídla </w:t>
      </w:r>
      <w:r w:rsidRPr="00A75F36">
        <w:rPr>
          <w:rStyle w:val="Siln"/>
          <w:rFonts w:cs="Calibri"/>
          <w:szCs w:val="20"/>
        </w:rPr>
        <w:t>Dodavatel</w:t>
      </w:r>
      <w:r w:rsidRPr="00A75F36">
        <w:rPr>
          <w:rFonts w:ascii="Arial" w:hAnsi="Arial" w:cs="Arial"/>
        </w:rPr>
        <w:t>e, kterými je sledován stejný účel jako těmi ze Základních nařízení</w:t>
      </w:r>
      <w:bookmarkEnd w:id="11"/>
      <w:r w:rsidRPr="00A75F36">
        <w:t>.</w:t>
      </w:r>
    </w:p>
    <w:p w:rsidR="00C32D07" w:rsidRPr="00A75F36" w:rsidRDefault="00C32D07" w:rsidP="00C32D07">
      <w:pPr>
        <w:pStyle w:val="ODSTAVEC"/>
        <w:keepNext/>
        <w:keepLines/>
        <w:numPr>
          <w:ilvl w:val="0"/>
          <w:numId w:val="0"/>
        </w:numPr>
        <w:tabs>
          <w:tab w:val="left" w:pos="708"/>
        </w:tabs>
        <w:spacing w:before="0"/>
        <w:ind w:left="567"/>
        <w:rPr>
          <w:sz w:val="20"/>
          <w:szCs w:val="20"/>
        </w:rPr>
      </w:pPr>
      <w:r w:rsidRPr="00A75F36">
        <w:rPr>
          <w:sz w:val="20"/>
          <w:szCs w:val="20"/>
        </w:rPr>
        <w:t xml:space="preserve">                                                                                                             </w:t>
      </w:r>
    </w:p>
    <w:p w:rsidR="00C32D07" w:rsidRPr="00A75F36" w:rsidRDefault="00C32D07" w:rsidP="00C32D07">
      <w:pPr>
        <w:pStyle w:val="ODSTAVEC"/>
        <w:keepNext/>
        <w:keepLines/>
        <w:numPr>
          <w:ilvl w:val="0"/>
          <w:numId w:val="0"/>
        </w:numPr>
        <w:tabs>
          <w:tab w:val="left" w:pos="851"/>
        </w:tabs>
        <w:spacing w:before="0" w:after="120"/>
        <w:rPr>
          <w:sz w:val="20"/>
          <w:szCs w:val="20"/>
        </w:rPr>
      </w:pPr>
      <w:r w:rsidRPr="00A75F36">
        <w:rPr>
          <w:sz w:val="20"/>
          <w:szCs w:val="20"/>
        </w:rPr>
        <w:t xml:space="preserve">      </w:t>
      </w:r>
      <w:r w:rsidRPr="00A75F36">
        <w:rPr>
          <w:sz w:val="20"/>
          <w:szCs w:val="20"/>
        </w:rPr>
        <w:tab/>
        <w:t>Dodavatel podpisem této smlouvy prohlašuje, že zajistí po celou dobu plnění této smlouvy, že</w:t>
      </w:r>
    </w:p>
    <w:p w:rsidR="00C32D07" w:rsidRPr="00A75F36" w:rsidRDefault="00C32D07" w:rsidP="00C32D07">
      <w:pPr>
        <w:pStyle w:val="ODSTAVEC"/>
        <w:keepNext/>
        <w:keepLines/>
        <w:numPr>
          <w:ilvl w:val="0"/>
          <w:numId w:val="0"/>
        </w:numPr>
        <w:spacing w:before="80"/>
        <w:ind w:left="851" w:hanging="142"/>
        <w:rPr>
          <w:sz w:val="20"/>
          <w:szCs w:val="20"/>
        </w:rPr>
      </w:pPr>
      <w:r w:rsidRPr="00A75F36">
        <w:rPr>
          <w:sz w:val="20"/>
          <w:szCs w:val="20"/>
        </w:rPr>
        <w:t>-</w:t>
      </w:r>
      <w:r w:rsidRPr="00A75F36">
        <w:rPr>
          <w:sz w:val="20"/>
          <w:szCs w:val="20"/>
        </w:rPr>
        <w:tab/>
        <w:t xml:space="preserve">k jejímu plnění nevyužije poddodavatele, na nějž byly takové sankce uvaleny, a to ať už se budou týkat přímo osoby poddodavatele nebo jeho přímých nebo nepřímých vlastníků, </w:t>
      </w:r>
    </w:p>
    <w:p w:rsidR="00C32D07" w:rsidRPr="00A75F36" w:rsidRDefault="00C32D07" w:rsidP="00C32D07">
      <w:pPr>
        <w:pStyle w:val="ODSTAVEC"/>
        <w:keepNext/>
        <w:keepLines/>
        <w:numPr>
          <w:ilvl w:val="0"/>
          <w:numId w:val="0"/>
        </w:numPr>
        <w:spacing w:before="80"/>
        <w:ind w:left="851" w:hanging="142"/>
        <w:rPr>
          <w:sz w:val="20"/>
          <w:szCs w:val="20"/>
        </w:rPr>
      </w:pPr>
      <w:r w:rsidRPr="00A75F36">
        <w:rPr>
          <w:sz w:val="20"/>
          <w:szCs w:val="20"/>
        </w:rPr>
        <w:t>-</w:t>
      </w:r>
      <w:r w:rsidRPr="00A75F36">
        <w:rPr>
          <w:sz w:val="20"/>
          <w:szCs w:val="20"/>
        </w:rPr>
        <w:tab/>
        <w:t>a v případě uvalení sankcí na kteréhokoliv svého poddodavatele nebo jeho přímého nebo nepřímého vlastníka v průběhu jeho poskytování plnění dle této smlouvy takového poddodavatele bez zbytečného odkladu nahradí v souladu se zněním smlouvy na veřejnou zakázku jiným poddodavatelem, na něhož nebyly uvaleny finanční sankce dle písm. a) tohoto bodu smlouvy.</w:t>
      </w:r>
    </w:p>
    <w:p w:rsidR="00C32D07" w:rsidRPr="00A75F36" w:rsidRDefault="00C32D07" w:rsidP="00C32D07">
      <w:pPr>
        <w:pStyle w:val="Odstavec1"/>
      </w:pPr>
      <w:r w:rsidRPr="00A75F36">
        <w:t>Nedílnou součástí této smlouvy jsou přílohy č.:</w:t>
      </w:r>
    </w:p>
    <w:p w:rsidR="00C32D07" w:rsidRPr="00A75F36" w:rsidRDefault="00C32D07" w:rsidP="00C32D07">
      <w:pPr>
        <w:pStyle w:val="Odstavecseseznamem"/>
        <w:numPr>
          <w:ilvl w:val="0"/>
          <w:numId w:val="2"/>
        </w:numPr>
        <w:rPr>
          <w:b/>
          <w:bCs/>
        </w:rPr>
      </w:pPr>
      <w:r w:rsidRPr="00A75F36">
        <w:t xml:space="preserve">Příloha č. 1 – Sjednaný rozsah poskytování služeb a servisní kalendář </w:t>
      </w:r>
    </w:p>
    <w:p w:rsidR="00C32D07" w:rsidRPr="00A75F36" w:rsidRDefault="00C32D07" w:rsidP="00C32D07">
      <w:pPr>
        <w:pStyle w:val="Odstavecseseznamem"/>
        <w:numPr>
          <w:ilvl w:val="0"/>
          <w:numId w:val="2"/>
        </w:numPr>
      </w:pPr>
      <w:r w:rsidRPr="00A75F36">
        <w:t>Příloha č. 2 – Ceník služeb</w:t>
      </w:r>
    </w:p>
    <w:p w:rsidR="00C32D07" w:rsidRDefault="00C32D07" w:rsidP="00C32D07">
      <w:pPr>
        <w:pStyle w:val="Odstavecseseznamem"/>
        <w:numPr>
          <w:ilvl w:val="0"/>
          <w:numId w:val="2"/>
        </w:numPr>
      </w:pPr>
      <w:r w:rsidRPr="007022D8">
        <w:t xml:space="preserve">Příloha č. 2 – Všeobecné smluvní </w:t>
      </w:r>
      <w:r w:rsidRPr="00BC35A3">
        <w:t xml:space="preserve">podmínky společnosti </w:t>
      </w:r>
      <w:r>
        <w:t xml:space="preserve">Arkance Systems CZ s.r.o. </w:t>
      </w:r>
    </w:p>
    <w:p w:rsidR="00C32D07" w:rsidRDefault="00C32D07" w:rsidP="00C32D07">
      <w:pPr>
        <w:rPr>
          <w:rFonts w:cs="Calibri"/>
        </w:rPr>
      </w:pPr>
    </w:p>
    <w:p w:rsidR="00C32D07" w:rsidRPr="00A148AE" w:rsidRDefault="00C32D07" w:rsidP="00C32D07">
      <w:pPr>
        <w:pStyle w:val="lnek1"/>
      </w:pPr>
      <w:r w:rsidRPr="00A148AE">
        <w:t>Podpisy zástupců smluvních stran</w:t>
      </w:r>
    </w:p>
    <w:p w:rsidR="00C32D07" w:rsidRPr="00A148AE" w:rsidRDefault="00C32D07" w:rsidP="00C32D07">
      <w:pPr>
        <w:rPr>
          <w:rFonts w:ascii="Arial" w:hAnsi="Arial" w:cs="Arial"/>
          <w:szCs w:val="20"/>
        </w:rPr>
      </w:pPr>
    </w:p>
    <w:tbl>
      <w:tblPr>
        <w:tblpPr w:leftFromText="141" w:rightFromText="141" w:vertAnchor="text" w:horzAnchor="margin" w:tblpY="513"/>
        <w:tblW w:w="0" w:type="auto"/>
        <w:tblCellMar>
          <w:left w:w="70" w:type="dxa"/>
          <w:right w:w="70" w:type="dxa"/>
        </w:tblCellMar>
        <w:tblLook w:val="0000" w:firstRow="0" w:lastRow="0" w:firstColumn="0" w:lastColumn="0" w:noHBand="0" w:noVBand="0"/>
      </w:tblPr>
      <w:tblGrid>
        <w:gridCol w:w="4536"/>
        <w:gridCol w:w="4536"/>
      </w:tblGrid>
      <w:tr w:rsidR="00C32D07" w:rsidRPr="00A148AE" w:rsidTr="00A5416E">
        <w:trPr>
          <w:trHeight w:val="284"/>
        </w:trPr>
        <w:tc>
          <w:tcPr>
            <w:tcW w:w="4536" w:type="dxa"/>
          </w:tcPr>
          <w:p w:rsidR="00C32D07" w:rsidRPr="00A148AE" w:rsidRDefault="00C32D07" w:rsidP="00A5416E">
            <w:pPr>
              <w:ind w:firstLine="0"/>
              <w:rPr>
                <w:rFonts w:ascii="Arial" w:hAnsi="Arial" w:cs="Arial"/>
                <w:szCs w:val="20"/>
              </w:rPr>
            </w:pPr>
            <w:r w:rsidRPr="00A148AE">
              <w:rPr>
                <w:rFonts w:ascii="Arial" w:hAnsi="Arial" w:cs="Arial"/>
                <w:szCs w:val="20"/>
              </w:rPr>
              <w:t xml:space="preserve">                     V Ostravě    </w:t>
            </w:r>
            <w:r>
              <w:rPr>
                <w:rFonts w:ascii="Arial" w:hAnsi="Arial" w:cs="Arial"/>
                <w:szCs w:val="20"/>
              </w:rPr>
              <w:t>18.12.2023</w:t>
            </w:r>
            <w:r w:rsidRPr="00A148AE">
              <w:rPr>
                <w:rFonts w:ascii="Arial" w:hAnsi="Arial" w:cs="Arial"/>
                <w:szCs w:val="20"/>
              </w:rPr>
              <w:t xml:space="preserve">                                                                          </w:t>
            </w:r>
          </w:p>
        </w:tc>
        <w:tc>
          <w:tcPr>
            <w:tcW w:w="4536" w:type="dxa"/>
          </w:tcPr>
          <w:p w:rsidR="00C32D07" w:rsidRPr="00A148AE" w:rsidRDefault="00C32D07" w:rsidP="00A5416E">
            <w:pPr>
              <w:ind w:firstLine="0"/>
              <w:rPr>
                <w:rFonts w:ascii="Arial" w:hAnsi="Arial" w:cs="Arial"/>
                <w:szCs w:val="20"/>
              </w:rPr>
            </w:pPr>
            <w:r w:rsidRPr="00A148AE">
              <w:rPr>
                <w:rFonts w:ascii="Arial" w:hAnsi="Arial" w:cs="Arial"/>
                <w:szCs w:val="20"/>
              </w:rPr>
              <w:t xml:space="preserve">                   V Českých Budějovicích</w:t>
            </w:r>
            <w:r>
              <w:rPr>
                <w:rFonts w:ascii="Arial" w:hAnsi="Arial" w:cs="Arial"/>
                <w:szCs w:val="20"/>
              </w:rPr>
              <w:t xml:space="preserve"> 13.12.2023</w:t>
            </w:r>
          </w:p>
        </w:tc>
      </w:tr>
      <w:tr w:rsidR="00C32D07" w:rsidRPr="00A148AE" w:rsidTr="00A5416E">
        <w:trPr>
          <w:trHeight w:val="1844"/>
        </w:trPr>
        <w:tc>
          <w:tcPr>
            <w:tcW w:w="4536" w:type="dxa"/>
            <w:vAlign w:val="center"/>
          </w:tcPr>
          <w:p w:rsidR="00C32D07" w:rsidRDefault="00C32D07" w:rsidP="00A5416E">
            <w:pPr>
              <w:ind w:firstLine="0"/>
              <w:jc w:val="center"/>
              <w:rPr>
                <w:rFonts w:ascii="Arial" w:hAnsi="Arial" w:cs="Arial"/>
                <w:szCs w:val="20"/>
              </w:rPr>
            </w:pPr>
            <w:r>
              <w:rPr>
                <w:rFonts w:ascii="Arial" w:hAnsi="Arial" w:cs="Arial"/>
                <w:szCs w:val="20"/>
              </w:rPr>
              <w:t>xxx</w:t>
            </w:r>
          </w:p>
          <w:p w:rsidR="00C32D07" w:rsidRDefault="00C32D07" w:rsidP="00A5416E">
            <w:pPr>
              <w:ind w:firstLine="0"/>
              <w:jc w:val="center"/>
              <w:rPr>
                <w:rFonts w:ascii="Arial" w:hAnsi="Arial" w:cs="Arial"/>
                <w:szCs w:val="20"/>
              </w:rPr>
            </w:pPr>
            <w:r>
              <w:rPr>
                <w:rFonts w:ascii="Arial" w:hAnsi="Arial" w:cs="Arial"/>
                <w:sz w:val="16"/>
                <w:szCs w:val="16"/>
              </w:rPr>
              <w:t>podepsáno elektronicky</w:t>
            </w:r>
          </w:p>
          <w:p w:rsidR="00C32D07" w:rsidRPr="00A148AE" w:rsidRDefault="00C32D07" w:rsidP="00A5416E">
            <w:pPr>
              <w:ind w:firstLine="0"/>
              <w:jc w:val="center"/>
              <w:rPr>
                <w:rFonts w:ascii="Arial" w:hAnsi="Arial" w:cs="Arial"/>
                <w:szCs w:val="20"/>
              </w:rPr>
            </w:pPr>
          </w:p>
        </w:tc>
        <w:tc>
          <w:tcPr>
            <w:tcW w:w="4536" w:type="dxa"/>
            <w:vAlign w:val="center"/>
          </w:tcPr>
          <w:p w:rsidR="00C32D07" w:rsidRDefault="00C32D07" w:rsidP="00A5416E">
            <w:pPr>
              <w:pStyle w:val="Zpat"/>
              <w:jc w:val="center"/>
              <w:rPr>
                <w:rFonts w:ascii="Arial" w:hAnsi="Arial" w:cs="Arial"/>
              </w:rPr>
            </w:pPr>
            <w:r>
              <w:rPr>
                <w:rFonts w:ascii="Arial" w:hAnsi="Arial" w:cs="Arial"/>
              </w:rPr>
              <w:t>xxx</w:t>
            </w:r>
          </w:p>
          <w:p w:rsidR="00C32D07" w:rsidRPr="00D56435" w:rsidRDefault="00C32D07" w:rsidP="00A5416E">
            <w:pPr>
              <w:pStyle w:val="Zpat"/>
              <w:jc w:val="center"/>
              <w:rPr>
                <w:rFonts w:ascii="Arial" w:hAnsi="Arial" w:cs="Arial"/>
                <w:sz w:val="16"/>
                <w:szCs w:val="16"/>
              </w:rPr>
            </w:pPr>
            <w:r>
              <w:rPr>
                <w:rFonts w:ascii="Arial" w:hAnsi="Arial" w:cs="Arial"/>
                <w:sz w:val="16"/>
                <w:szCs w:val="16"/>
              </w:rPr>
              <w:t>podepsáno elektronicky</w:t>
            </w:r>
          </w:p>
          <w:p w:rsidR="00C32D07" w:rsidRPr="00A148AE" w:rsidRDefault="00C32D07" w:rsidP="00A5416E">
            <w:pPr>
              <w:pStyle w:val="Zpat"/>
              <w:jc w:val="center"/>
              <w:rPr>
                <w:rFonts w:ascii="Arial" w:hAnsi="Arial" w:cs="Arial"/>
              </w:rPr>
            </w:pPr>
          </w:p>
        </w:tc>
      </w:tr>
      <w:tr w:rsidR="00C32D07" w:rsidRPr="00A148AE" w:rsidTr="00A5416E">
        <w:trPr>
          <w:trHeight w:val="60"/>
        </w:trPr>
        <w:tc>
          <w:tcPr>
            <w:tcW w:w="4536" w:type="dxa"/>
          </w:tcPr>
          <w:p w:rsidR="00C32D07" w:rsidRPr="00A148AE" w:rsidRDefault="00C32D07" w:rsidP="00A5416E">
            <w:pPr>
              <w:pStyle w:val="Bezmezer"/>
              <w:jc w:val="center"/>
              <w:rPr>
                <w:rFonts w:ascii="Arial" w:hAnsi="Arial" w:cs="Arial"/>
                <w:sz w:val="20"/>
                <w:szCs w:val="20"/>
              </w:rPr>
            </w:pPr>
            <w:r w:rsidRPr="00A148AE">
              <w:rPr>
                <w:rFonts w:ascii="Arial" w:hAnsi="Arial" w:cs="Arial"/>
                <w:sz w:val="20"/>
                <w:szCs w:val="20"/>
              </w:rPr>
              <w:t>Povodí Odry, státní podnik</w:t>
            </w:r>
          </w:p>
          <w:p w:rsidR="00C32D07" w:rsidRPr="00A148AE" w:rsidRDefault="00C32D07" w:rsidP="00A5416E">
            <w:pPr>
              <w:pStyle w:val="Bezmezer"/>
              <w:jc w:val="center"/>
              <w:rPr>
                <w:rFonts w:ascii="Arial" w:hAnsi="Arial" w:cs="Arial"/>
                <w:sz w:val="20"/>
                <w:szCs w:val="20"/>
              </w:rPr>
            </w:pPr>
            <w:r w:rsidRPr="00A148AE">
              <w:rPr>
                <w:rFonts w:ascii="Arial" w:hAnsi="Arial" w:cs="Arial"/>
                <w:sz w:val="20"/>
                <w:szCs w:val="20"/>
              </w:rPr>
              <w:t>Ing. Jiří Tkáč</w:t>
            </w:r>
          </w:p>
          <w:p w:rsidR="00C32D07" w:rsidRPr="00A148AE" w:rsidRDefault="00C32D07" w:rsidP="00A5416E">
            <w:pPr>
              <w:ind w:firstLine="0"/>
              <w:jc w:val="center"/>
              <w:rPr>
                <w:rFonts w:ascii="Arial" w:hAnsi="Arial" w:cs="Arial"/>
                <w:szCs w:val="20"/>
              </w:rPr>
            </w:pPr>
            <w:r w:rsidRPr="00A148AE">
              <w:rPr>
                <w:rFonts w:ascii="Arial" w:hAnsi="Arial" w:cs="Arial"/>
                <w:szCs w:val="20"/>
              </w:rPr>
              <w:t>generální ředitel</w:t>
            </w:r>
          </w:p>
        </w:tc>
        <w:tc>
          <w:tcPr>
            <w:tcW w:w="4536" w:type="dxa"/>
          </w:tcPr>
          <w:p w:rsidR="00C32D07" w:rsidRPr="00A148AE" w:rsidRDefault="00C32D07" w:rsidP="00A5416E">
            <w:pPr>
              <w:pStyle w:val="Bezmezer"/>
              <w:jc w:val="center"/>
              <w:rPr>
                <w:rFonts w:ascii="Arial" w:hAnsi="Arial" w:cs="Arial"/>
                <w:sz w:val="20"/>
                <w:szCs w:val="20"/>
              </w:rPr>
            </w:pPr>
            <w:r w:rsidRPr="00A148AE">
              <w:rPr>
                <w:rFonts w:ascii="Arial" w:hAnsi="Arial" w:cs="Arial"/>
                <w:sz w:val="20"/>
                <w:szCs w:val="20"/>
              </w:rPr>
              <w:t>Arkance Systems CZ s.r.o.</w:t>
            </w:r>
          </w:p>
          <w:p w:rsidR="00C32D07" w:rsidRPr="00A148AE" w:rsidRDefault="00C32D07" w:rsidP="00A5416E">
            <w:pPr>
              <w:pStyle w:val="Bezmezer"/>
              <w:jc w:val="center"/>
              <w:rPr>
                <w:rFonts w:ascii="Arial" w:hAnsi="Arial" w:cs="Arial"/>
                <w:sz w:val="20"/>
                <w:szCs w:val="20"/>
              </w:rPr>
            </w:pPr>
            <w:r>
              <w:rPr>
                <w:rFonts w:ascii="Arial" w:hAnsi="Arial" w:cs="Arial"/>
                <w:sz w:val="20"/>
                <w:szCs w:val="20"/>
              </w:rPr>
              <w:t>xxx</w:t>
            </w:r>
          </w:p>
          <w:p w:rsidR="00C32D07" w:rsidRPr="00A148AE" w:rsidRDefault="00C32D07" w:rsidP="00A5416E">
            <w:pPr>
              <w:ind w:firstLine="0"/>
              <w:jc w:val="center"/>
              <w:rPr>
                <w:rFonts w:ascii="Arial" w:hAnsi="Arial" w:cs="Arial"/>
                <w:szCs w:val="20"/>
              </w:rPr>
            </w:pPr>
            <w:r w:rsidRPr="00A148AE">
              <w:rPr>
                <w:rFonts w:ascii="Arial" w:hAnsi="Arial" w:cs="Arial"/>
                <w:szCs w:val="20"/>
              </w:rPr>
              <w:t>jednatel společnosti</w:t>
            </w:r>
          </w:p>
        </w:tc>
      </w:tr>
    </w:tbl>
    <w:p w:rsidR="00C32D07" w:rsidRDefault="00C32D07" w:rsidP="00C32D07">
      <w:pPr>
        <w:pStyle w:val="Nadpis1"/>
      </w:pPr>
      <w:bookmarkStart w:id="12" w:name="_Příloha_č._1"/>
      <w:bookmarkEnd w:id="12"/>
      <w:r w:rsidRPr="001C1C21">
        <w:lastRenderedPageBreak/>
        <w:t>Příloha č. 1</w:t>
      </w:r>
    </w:p>
    <w:p w:rsidR="00C32D07" w:rsidRPr="00D56435" w:rsidRDefault="00C32D07" w:rsidP="00C32D07">
      <w:pPr>
        <w:jc w:val="center"/>
      </w:pPr>
    </w:p>
    <w:p w:rsidR="00C32D07" w:rsidRDefault="00C32D07" w:rsidP="00C32D07">
      <w:pPr>
        <w:ind w:firstLine="0"/>
        <w:jc w:val="center"/>
      </w:pPr>
      <w:r>
        <w:t>xxx</w:t>
      </w:r>
    </w:p>
    <w:p w:rsidR="00C32D07" w:rsidRDefault="00C32D07" w:rsidP="00C32D07">
      <w:pPr>
        <w:ind w:firstLine="0"/>
      </w:pPr>
    </w:p>
    <w:p w:rsidR="00C32D07" w:rsidRDefault="00C32D07" w:rsidP="00C32D07">
      <w:pPr>
        <w:ind w:firstLine="0"/>
      </w:pPr>
    </w:p>
    <w:p w:rsidR="00C32D07" w:rsidRPr="006D6E89" w:rsidRDefault="00C32D07" w:rsidP="00C32D07">
      <w:pPr>
        <w:pStyle w:val="Nadpis1"/>
      </w:pPr>
      <w:bookmarkStart w:id="13" w:name="_Příloha_č._2"/>
      <w:bookmarkStart w:id="14" w:name="_Příloha_č._3"/>
      <w:bookmarkEnd w:id="13"/>
      <w:bookmarkEnd w:id="14"/>
      <w:r w:rsidRPr="006D6E89">
        <w:lastRenderedPageBreak/>
        <w:t xml:space="preserve">Příloha č. </w:t>
      </w:r>
      <w:r>
        <w:t>2</w:t>
      </w:r>
    </w:p>
    <w:p w:rsidR="00C32D07" w:rsidRDefault="00C32D07" w:rsidP="00C32D07">
      <w:pPr>
        <w:widowControl w:val="0"/>
        <w:contextualSpacing/>
        <w:rPr>
          <w:rFonts w:cs="Calibri"/>
        </w:rPr>
      </w:pPr>
    </w:p>
    <w:p w:rsidR="00C32D07" w:rsidRPr="006D6E89" w:rsidRDefault="00C32D07" w:rsidP="00C32D07">
      <w:pPr>
        <w:widowControl w:val="0"/>
        <w:contextualSpacing/>
        <w:jc w:val="center"/>
        <w:rPr>
          <w:rFonts w:cs="Calibri"/>
        </w:rPr>
      </w:pPr>
      <w:r>
        <w:rPr>
          <w:rFonts w:cs="Calibri"/>
        </w:rPr>
        <w:t>xxx</w:t>
      </w:r>
    </w:p>
    <w:p w:rsidR="00C32D07" w:rsidRPr="0093408B" w:rsidRDefault="00C32D07" w:rsidP="00C32D07">
      <w:pPr>
        <w:pStyle w:val="Nadpis1"/>
      </w:pPr>
      <w:bookmarkStart w:id="15" w:name="_Příloha_č._4"/>
      <w:bookmarkEnd w:id="15"/>
      <w:r w:rsidRPr="0093408B">
        <w:lastRenderedPageBreak/>
        <w:t xml:space="preserve">Příloha č. </w:t>
      </w:r>
      <w:r>
        <w:t>3</w:t>
      </w:r>
    </w:p>
    <w:p w:rsidR="00C32D07" w:rsidRPr="009F2E6E" w:rsidRDefault="00C32D07" w:rsidP="00C32D07">
      <w:pPr>
        <w:pStyle w:val="Nadpis3"/>
      </w:pPr>
      <w:r w:rsidRPr="009F2E6E">
        <w:t>Všeobecné smluvní podmínky společnosti Arkance Systems CZ s.r.o.</w:t>
      </w:r>
    </w:p>
    <w:p w:rsidR="00C32D07" w:rsidRDefault="00C32D07" w:rsidP="00C32D07"/>
    <w:p w:rsidR="00C32D07" w:rsidRDefault="00C32D07" w:rsidP="00C32D07">
      <w:hyperlink r:id="rId7" w:history="1">
        <w:r w:rsidRPr="00395F25">
          <w:rPr>
            <w:rStyle w:val="Hypertextovodkaz"/>
          </w:rPr>
          <w:t>https://www.arkance-systems.cz/vseobecne-obchodni-podminky</w:t>
        </w:r>
      </w:hyperlink>
    </w:p>
    <w:p w:rsidR="00C32D07" w:rsidRPr="003C5AD7" w:rsidRDefault="00C32D07" w:rsidP="00C32D07"/>
    <w:p w:rsidR="00775EDD" w:rsidRDefault="00C32D07">
      <w:bookmarkStart w:id="16" w:name="_GoBack"/>
      <w:bookmarkEnd w:id="16"/>
    </w:p>
    <w:sectPr w:rsidR="00775EDD" w:rsidSect="00C32D07">
      <w:headerReference w:type="default" r:id="rId8"/>
      <w:footerReference w:type="default" r:id="rId9"/>
      <w:pgSz w:w="11906" w:h="16838"/>
      <w:pgMar w:top="1417" w:right="1417" w:bottom="1276" w:left="1417" w:header="720" w:footer="55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oboto">
    <w:altName w:val="Arial"/>
    <w:charset w:val="00"/>
    <w:family w:val="auto"/>
    <w:pitch w:val="variable"/>
    <w:sig w:usb0="E0000AFF" w:usb1="5000217F" w:usb2="00000021"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632" w:rsidRPr="008645B4" w:rsidRDefault="00C32D07" w:rsidP="00B54870">
    <w:pPr>
      <w:pStyle w:val="Zpat"/>
      <w:tabs>
        <w:tab w:val="clear" w:pos="4536"/>
      </w:tabs>
      <w:rPr>
        <w:rFonts w:ascii="Calibri" w:hAnsi="Calibri"/>
      </w:rPr>
    </w:pPr>
    <w:r w:rsidRPr="00B54870">
      <w:rPr>
        <w:rFonts w:ascii="Calibri" w:hAnsi="Calibri"/>
      </w:rPr>
      <w:t xml:space="preserve">Stránka </w:t>
    </w:r>
    <w:r w:rsidRPr="00B54870">
      <w:rPr>
        <w:rFonts w:ascii="Calibri" w:hAnsi="Calibri"/>
      </w:rPr>
      <w:fldChar w:fldCharType="begin"/>
    </w:r>
    <w:r w:rsidRPr="00B54870">
      <w:rPr>
        <w:rFonts w:ascii="Calibri" w:hAnsi="Calibri"/>
      </w:rPr>
      <w:instrText>PAGE  \* Arabic  \* MERGEFORMAT</w:instrText>
    </w:r>
    <w:r w:rsidRPr="00B54870">
      <w:rPr>
        <w:rFonts w:ascii="Calibri" w:hAnsi="Calibri"/>
      </w:rPr>
      <w:fldChar w:fldCharType="separate"/>
    </w:r>
    <w:r>
      <w:rPr>
        <w:rFonts w:ascii="Calibri" w:hAnsi="Calibri"/>
        <w:noProof/>
      </w:rPr>
      <w:t>1</w:t>
    </w:r>
    <w:r w:rsidRPr="00B54870">
      <w:rPr>
        <w:rFonts w:ascii="Calibri" w:hAnsi="Calibri"/>
      </w:rPr>
      <w:fldChar w:fldCharType="end"/>
    </w:r>
    <w:r w:rsidRPr="00B54870">
      <w:rPr>
        <w:rFonts w:ascii="Calibri" w:hAnsi="Calibri"/>
      </w:rPr>
      <w:t xml:space="preserve"> z </w:t>
    </w:r>
    <w:r w:rsidRPr="00B54870">
      <w:rPr>
        <w:rFonts w:ascii="Calibri" w:hAnsi="Calibri"/>
      </w:rPr>
      <w:fldChar w:fldCharType="begin"/>
    </w:r>
    <w:r w:rsidRPr="00B54870">
      <w:rPr>
        <w:rFonts w:ascii="Calibri" w:hAnsi="Calibri"/>
      </w:rPr>
      <w:instrText>NUMPAGES  \* Arabic  \*</w:instrText>
    </w:r>
    <w:r w:rsidRPr="00B54870">
      <w:rPr>
        <w:rFonts w:ascii="Calibri" w:hAnsi="Calibri"/>
      </w:rPr>
      <w:instrText xml:space="preserve"> MERGEFORMAT</w:instrText>
    </w:r>
    <w:r w:rsidRPr="00B54870">
      <w:rPr>
        <w:rFonts w:ascii="Calibri" w:hAnsi="Calibri"/>
      </w:rPr>
      <w:fldChar w:fldCharType="separate"/>
    </w:r>
    <w:r>
      <w:rPr>
        <w:rFonts w:ascii="Calibri" w:hAnsi="Calibri"/>
        <w:noProof/>
      </w:rPr>
      <w:t>8</w:t>
    </w:r>
    <w:r w:rsidRPr="00B54870">
      <w:rPr>
        <w:rFonts w:ascii="Calibri" w:hAnsi="Calibri"/>
      </w:rPr>
      <w:fldChar w:fldCharType="end"/>
    </w:r>
    <w:r w:rsidRPr="00B54870">
      <w:rPr>
        <w:rFonts w:ascii="Calibri" w:hAnsi="Calibri"/>
      </w:rPr>
      <w:tab/>
    </w:r>
    <w:r w:rsidRPr="008645B4">
      <w:rPr>
        <w:rFonts w:ascii="Calibri" w:hAnsi="Calibri"/>
      </w:rPr>
      <w:t xml:space="preserve">Číslo smlouvy: </w:t>
    </w:r>
    <w:r w:rsidRPr="00A75F36">
      <w:rPr>
        <w:rFonts w:ascii="Open Sans" w:hAnsi="Open Sans" w:cs="Open Sans"/>
        <w:shd w:val="clear" w:color="auto" w:fill="FFFFFF"/>
      </w:rPr>
      <w:t xml:space="preserve">ASCZ23000938 </w:t>
    </w:r>
    <w:r w:rsidRPr="00A75F36">
      <w:rPr>
        <w:rFonts w:ascii="Roboto" w:hAnsi="Roboto"/>
        <w:bCs/>
      </w:rPr>
      <w:t xml:space="preserve"> a </w:t>
    </w:r>
    <w:r w:rsidRPr="00A75F36">
      <w:rPr>
        <w:rFonts w:ascii="Roboto" w:hAnsi="Roboto"/>
        <w:bCs/>
      </w:rPr>
      <w:t>E 0007/23</w:t>
    </w:r>
  </w:p>
  <w:p w:rsidR="00B65632" w:rsidRDefault="00C32D07"/>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632" w:rsidRPr="00BF5D3F" w:rsidRDefault="00C32D07" w:rsidP="00C61806">
    <w:pPr>
      <w:jc w:val="right"/>
    </w:pPr>
    <w:r>
      <w:tab/>
    </w:r>
  </w:p>
  <w:p w:rsidR="00B65632" w:rsidRDefault="00C32D0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8E7D1A"/>
    <w:multiLevelType w:val="hybridMultilevel"/>
    <w:tmpl w:val="5BF41A92"/>
    <w:lvl w:ilvl="0" w:tplc="F93E589E">
      <w:numFmt w:val="bullet"/>
      <w:lvlText w:val="-"/>
      <w:lvlJc w:val="left"/>
      <w:pPr>
        <w:ind w:left="1210" w:hanging="360"/>
      </w:pPr>
      <w:rPr>
        <w:rFonts w:ascii="Times New Roman" w:eastAsia="Times New Roman" w:hAnsi="Times New Roman" w:cs="Times New Roman" w:hint="default"/>
      </w:rPr>
    </w:lvl>
    <w:lvl w:ilvl="1" w:tplc="04050003">
      <w:start w:val="1"/>
      <w:numFmt w:val="bullet"/>
      <w:lvlText w:val="o"/>
      <w:lvlJc w:val="left"/>
      <w:pPr>
        <w:ind w:left="1930" w:hanging="360"/>
      </w:pPr>
      <w:rPr>
        <w:rFonts w:ascii="Courier New" w:hAnsi="Courier New" w:cs="Courier New" w:hint="default"/>
      </w:rPr>
    </w:lvl>
    <w:lvl w:ilvl="2" w:tplc="04050005" w:tentative="1">
      <w:start w:val="1"/>
      <w:numFmt w:val="bullet"/>
      <w:lvlText w:val=""/>
      <w:lvlJc w:val="left"/>
      <w:pPr>
        <w:ind w:left="2650" w:hanging="360"/>
      </w:pPr>
      <w:rPr>
        <w:rFonts w:ascii="Wingdings" w:hAnsi="Wingdings" w:hint="default"/>
      </w:rPr>
    </w:lvl>
    <w:lvl w:ilvl="3" w:tplc="04050001" w:tentative="1">
      <w:start w:val="1"/>
      <w:numFmt w:val="bullet"/>
      <w:lvlText w:val=""/>
      <w:lvlJc w:val="left"/>
      <w:pPr>
        <w:ind w:left="3370" w:hanging="360"/>
      </w:pPr>
      <w:rPr>
        <w:rFonts w:ascii="Symbol" w:hAnsi="Symbol" w:hint="default"/>
      </w:rPr>
    </w:lvl>
    <w:lvl w:ilvl="4" w:tplc="04050003" w:tentative="1">
      <w:start w:val="1"/>
      <w:numFmt w:val="bullet"/>
      <w:lvlText w:val="o"/>
      <w:lvlJc w:val="left"/>
      <w:pPr>
        <w:ind w:left="4090" w:hanging="360"/>
      </w:pPr>
      <w:rPr>
        <w:rFonts w:ascii="Courier New" w:hAnsi="Courier New" w:cs="Courier New" w:hint="default"/>
      </w:rPr>
    </w:lvl>
    <w:lvl w:ilvl="5" w:tplc="04050005" w:tentative="1">
      <w:start w:val="1"/>
      <w:numFmt w:val="bullet"/>
      <w:lvlText w:val=""/>
      <w:lvlJc w:val="left"/>
      <w:pPr>
        <w:ind w:left="4810" w:hanging="360"/>
      </w:pPr>
      <w:rPr>
        <w:rFonts w:ascii="Wingdings" w:hAnsi="Wingdings" w:hint="default"/>
      </w:rPr>
    </w:lvl>
    <w:lvl w:ilvl="6" w:tplc="04050001" w:tentative="1">
      <w:start w:val="1"/>
      <w:numFmt w:val="bullet"/>
      <w:lvlText w:val=""/>
      <w:lvlJc w:val="left"/>
      <w:pPr>
        <w:ind w:left="5530" w:hanging="360"/>
      </w:pPr>
      <w:rPr>
        <w:rFonts w:ascii="Symbol" w:hAnsi="Symbol" w:hint="default"/>
      </w:rPr>
    </w:lvl>
    <w:lvl w:ilvl="7" w:tplc="04050003" w:tentative="1">
      <w:start w:val="1"/>
      <w:numFmt w:val="bullet"/>
      <w:lvlText w:val="o"/>
      <w:lvlJc w:val="left"/>
      <w:pPr>
        <w:ind w:left="6250" w:hanging="360"/>
      </w:pPr>
      <w:rPr>
        <w:rFonts w:ascii="Courier New" w:hAnsi="Courier New" w:cs="Courier New" w:hint="default"/>
      </w:rPr>
    </w:lvl>
    <w:lvl w:ilvl="8" w:tplc="04050005" w:tentative="1">
      <w:start w:val="1"/>
      <w:numFmt w:val="bullet"/>
      <w:lvlText w:val=""/>
      <w:lvlJc w:val="left"/>
      <w:pPr>
        <w:ind w:left="6970" w:hanging="360"/>
      </w:pPr>
      <w:rPr>
        <w:rFonts w:ascii="Wingdings" w:hAnsi="Wingdings" w:hint="default"/>
      </w:rPr>
    </w:lvl>
  </w:abstractNum>
  <w:abstractNum w:abstractNumId="1" w15:restartNumberingAfterBreak="0">
    <w:nsid w:val="634C2798"/>
    <w:multiLevelType w:val="multilevel"/>
    <w:tmpl w:val="2468099C"/>
    <w:lvl w:ilvl="0">
      <w:start w:val="1"/>
      <w:numFmt w:val="decimal"/>
      <w:pStyle w:val="lnek1"/>
      <w:lvlText w:val="%1."/>
      <w:lvlJc w:val="left"/>
      <w:pPr>
        <w:tabs>
          <w:tab w:val="num" w:pos="587"/>
        </w:tabs>
        <w:ind w:left="587" w:hanging="587"/>
      </w:pPr>
      <w:rPr>
        <w:rFonts w:hint="default"/>
      </w:rPr>
    </w:lvl>
    <w:lvl w:ilvl="1">
      <w:start w:val="1"/>
      <w:numFmt w:val="decimal"/>
      <w:pStyle w:val="lnek2"/>
      <w:lvlText w:val="%1.%2."/>
      <w:lvlJc w:val="left"/>
      <w:pPr>
        <w:tabs>
          <w:tab w:val="num" w:pos="850"/>
        </w:tabs>
        <w:ind w:left="850" w:hanging="567"/>
      </w:pPr>
      <w:rPr>
        <w:rFonts w:hint="default"/>
        <w:b w:val="0"/>
        <w:color w:val="auto"/>
      </w:rPr>
    </w:lvl>
    <w:lvl w:ilvl="2">
      <w:start w:val="1"/>
      <w:numFmt w:val="decimal"/>
      <w:pStyle w:val="Odstavec2"/>
      <w:lvlText w:val="%1.%2.%3."/>
      <w:lvlJc w:val="left"/>
      <w:pPr>
        <w:tabs>
          <w:tab w:val="num" w:pos="1451"/>
        </w:tabs>
        <w:ind w:left="1451" w:hanging="504"/>
      </w:pPr>
      <w:rPr>
        <w:rFonts w:hint="default"/>
      </w:rPr>
    </w:lvl>
    <w:lvl w:ilvl="3">
      <w:start w:val="1"/>
      <w:numFmt w:val="decimal"/>
      <w:lvlText w:val="%1.%2.%3.%4."/>
      <w:lvlJc w:val="left"/>
      <w:pPr>
        <w:tabs>
          <w:tab w:val="num" w:pos="1955"/>
        </w:tabs>
        <w:ind w:left="1955" w:hanging="648"/>
      </w:pPr>
      <w:rPr>
        <w:rFonts w:hint="default"/>
      </w:rPr>
    </w:lvl>
    <w:lvl w:ilvl="4">
      <w:start w:val="1"/>
      <w:numFmt w:val="decimal"/>
      <w:lvlText w:val="%1.%2.%3.%4.%5."/>
      <w:lvlJc w:val="left"/>
      <w:pPr>
        <w:tabs>
          <w:tab w:val="num" w:pos="2459"/>
        </w:tabs>
        <w:ind w:left="2459" w:hanging="792"/>
      </w:pPr>
      <w:rPr>
        <w:rFonts w:hint="default"/>
      </w:rPr>
    </w:lvl>
    <w:lvl w:ilvl="5">
      <w:start w:val="1"/>
      <w:numFmt w:val="decimal"/>
      <w:lvlText w:val="%1.%2.%3.%4.%5.%6."/>
      <w:lvlJc w:val="left"/>
      <w:pPr>
        <w:tabs>
          <w:tab w:val="num" w:pos="2963"/>
        </w:tabs>
        <w:ind w:left="2963" w:hanging="936"/>
      </w:pPr>
      <w:rPr>
        <w:rFonts w:hint="default"/>
      </w:rPr>
    </w:lvl>
    <w:lvl w:ilvl="6">
      <w:start w:val="1"/>
      <w:numFmt w:val="decimal"/>
      <w:lvlText w:val="%1.%2.%3.%4.%5.%6.%7."/>
      <w:lvlJc w:val="left"/>
      <w:pPr>
        <w:tabs>
          <w:tab w:val="num" w:pos="3467"/>
        </w:tabs>
        <w:ind w:left="3467" w:hanging="1080"/>
      </w:pPr>
      <w:rPr>
        <w:rFonts w:hint="default"/>
      </w:rPr>
    </w:lvl>
    <w:lvl w:ilvl="7">
      <w:start w:val="1"/>
      <w:numFmt w:val="decimal"/>
      <w:lvlText w:val="%1.%2.%3.%4.%5.%6.%7.%8."/>
      <w:lvlJc w:val="left"/>
      <w:pPr>
        <w:tabs>
          <w:tab w:val="num" w:pos="3971"/>
        </w:tabs>
        <w:ind w:left="3971" w:hanging="1224"/>
      </w:pPr>
      <w:rPr>
        <w:rFonts w:hint="default"/>
      </w:rPr>
    </w:lvl>
    <w:lvl w:ilvl="8">
      <w:start w:val="1"/>
      <w:numFmt w:val="decimal"/>
      <w:lvlText w:val="%1.%2.%3.%4.%5.%6.%7.%8.%9."/>
      <w:lvlJc w:val="left"/>
      <w:pPr>
        <w:tabs>
          <w:tab w:val="num" w:pos="4547"/>
        </w:tabs>
        <w:ind w:left="4547" w:hanging="1440"/>
      </w:pPr>
      <w:rPr>
        <w:rFonts w:hint="default"/>
      </w:rPr>
    </w:lvl>
  </w:abstractNum>
  <w:abstractNum w:abstractNumId="2" w15:restartNumberingAfterBreak="0">
    <w:nsid w:val="7482756D"/>
    <w:multiLevelType w:val="multilevel"/>
    <w:tmpl w:val="6D2A444A"/>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927"/>
        </w:tabs>
        <w:ind w:left="927" w:hanging="360"/>
      </w:pPr>
      <w:rPr>
        <w:rFonts w:ascii="Arial" w:hAnsi="Arial" w:cs="Arial" w:hint="default"/>
        <w:b w:val="0"/>
        <w:i w:val="0"/>
        <w:sz w:val="18"/>
        <w:szCs w:val="18"/>
      </w:rPr>
    </w:lvl>
    <w:lvl w:ilvl="2">
      <w:start w:val="1"/>
      <w:numFmt w:val="lowerLetter"/>
      <w:lvlText w:val="%3)"/>
      <w:lvlJc w:val="left"/>
      <w:pPr>
        <w:tabs>
          <w:tab w:val="num" w:pos="1260"/>
        </w:tabs>
        <w:ind w:left="1260" w:hanging="720"/>
      </w:pPr>
      <w:rPr>
        <w:rFonts w:ascii="Arial" w:eastAsia="Calibri" w:hAnsi="Arial" w:cs="Arial" w:hint="default"/>
      </w:rPr>
    </w:lvl>
    <w:lvl w:ilvl="3">
      <w:start w:val="1"/>
      <w:numFmt w:val="bullet"/>
      <w:lvlText w:val=""/>
      <w:lvlJc w:val="left"/>
      <w:pPr>
        <w:tabs>
          <w:tab w:val="num" w:pos="720"/>
        </w:tabs>
        <w:ind w:left="720" w:hanging="72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D07"/>
    <w:rsid w:val="008C2DD7"/>
    <w:rsid w:val="00C32D07"/>
    <w:rsid w:val="00D440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F248C0-C3B3-4221-9769-A93586C2D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32D07"/>
    <w:pPr>
      <w:spacing w:before="60" w:after="0" w:line="240" w:lineRule="auto"/>
      <w:ind w:firstLine="227"/>
      <w:jc w:val="both"/>
    </w:pPr>
    <w:rPr>
      <w:rFonts w:ascii="Roboto" w:eastAsia="Times New Roman" w:hAnsi="Roboto" w:cs="Times New Roman"/>
      <w:sz w:val="20"/>
      <w:szCs w:val="24"/>
      <w:lang w:eastAsia="cs-CZ"/>
    </w:rPr>
  </w:style>
  <w:style w:type="paragraph" w:styleId="Nadpis1">
    <w:name w:val="heading 1"/>
    <w:aliases w:val="Sml Nadpis 1"/>
    <w:basedOn w:val="Normln"/>
    <w:next w:val="Normln"/>
    <w:link w:val="Nadpis1Char"/>
    <w:qFormat/>
    <w:rsid w:val="00C32D07"/>
    <w:pPr>
      <w:pageBreakBefore/>
      <w:spacing w:before="720"/>
      <w:ind w:firstLine="0"/>
      <w:jc w:val="center"/>
      <w:outlineLvl w:val="0"/>
    </w:pPr>
    <w:rPr>
      <w:rFonts w:cs="Calibri"/>
      <w:b/>
      <w:bCs/>
      <w:kern w:val="32"/>
      <w:sz w:val="36"/>
      <w:szCs w:val="32"/>
    </w:rPr>
  </w:style>
  <w:style w:type="paragraph" w:styleId="Nadpis2">
    <w:name w:val="heading 2"/>
    <w:basedOn w:val="lnek1"/>
    <w:next w:val="Normln"/>
    <w:link w:val="Nadpis2Char"/>
    <w:qFormat/>
    <w:rsid w:val="00C32D07"/>
    <w:pPr>
      <w:spacing w:before="480"/>
      <w:ind w:left="590" w:hanging="590"/>
      <w:outlineLvl w:val="1"/>
    </w:pPr>
    <w:rPr>
      <w:rFonts w:cs="Calibri"/>
    </w:rPr>
  </w:style>
  <w:style w:type="paragraph" w:styleId="Nadpis3">
    <w:name w:val="heading 3"/>
    <w:basedOn w:val="Normln"/>
    <w:next w:val="Normln"/>
    <w:link w:val="Nadpis3Char"/>
    <w:qFormat/>
    <w:rsid w:val="00C32D07"/>
    <w:pPr>
      <w:keepNext/>
      <w:spacing w:before="240" w:after="60"/>
      <w:jc w:val="center"/>
      <w:outlineLvl w:val="2"/>
    </w:pPr>
    <w:rPr>
      <w:rFonts w:cs="Arial"/>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32D07"/>
    <w:rPr>
      <w:rFonts w:ascii="Roboto" w:eastAsia="Times New Roman" w:hAnsi="Roboto" w:cs="Calibri"/>
      <w:b/>
      <w:bCs/>
      <w:kern w:val="32"/>
      <w:sz w:val="36"/>
      <w:szCs w:val="32"/>
      <w:lang w:eastAsia="cs-CZ"/>
    </w:rPr>
  </w:style>
  <w:style w:type="character" w:customStyle="1" w:styleId="Nadpis2Char">
    <w:name w:val="Nadpis 2 Char"/>
    <w:basedOn w:val="Standardnpsmoodstavce"/>
    <w:link w:val="Nadpis2"/>
    <w:rsid w:val="00C32D07"/>
    <w:rPr>
      <w:rFonts w:ascii="Roboto" w:eastAsia="Times New Roman" w:hAnsi="Roboto" w:cs="Calibri"/>
      <w:b/>
      <w:sz w:val="24"/>
      <w:szCs w:val="24"/>
      <w:lang w:eastAsia="cs-CZ"/>
    </w:rPr>
  </w:style>
  <w:style w:type="character" w:customStyle="1" w:styleId="Nadpis3Char">
    <w:name w:val="Nadpis 3 Char"/>
    <w:basedOn w:val="Standardnpsmoodstavce"/>
    <w:link w:val="Nadpis3"/>
    <w:rsid w:val="00C32D07"/>
    <w:rPr>
      <w:rFonts w:ascii="Roboto" w:eastAsia="Times New Roman" w:hAnsi="Roboto" w:cs="Arial"/>
      <w:b/>
      <w:bCs/>
      <w:sz w:val="28"/>
      <w:szCs w:val="28"/>
      <w:lang w:eastAsia="cs-CZ"/>
    </w:rPr>
  </w:style>
  <w:style w:type="paragraph" w:customStyle="1" w:styleId="lnek1">
    <w:name w:val="Článek 1"/>
    <w:basedOn w:val="Normln"/>
    <w:rsid w:val="00C32D07"/>
    <w:pPr>
      <w:keepNext/>
      <w:numPr>
        <w:numId w:val="1"/>
      </w:numPr>
      <w:spacing w:before="640"/>
    </w:pPr>
    <w:rPr>
      <w:b/>
      <w:sz w:val="24"/>
    </w:rPr>
  </w:style>
  <w:style w:type="paragraph" w:customStyle="1" w:styleId="lnek2">
    <w:name w:val="Článek 2"/>
    <w:basedOn w:val="Normln"/>
    <w:link w:val="lnek2Char"/>
    <w:autoRedefine/>
    <w:rsid w:val="00C32D07"/>
    <w:pPr>
      <w:numPr>
        <w:ilvl w:val="1"/>
        <w:numId w:val="1"/>
      </w:numPr>
    </w:pPr>
  </w:style>
  <w:style w:type="paragraph" w:styleId="Zpat">
    <w:name w:val="footer"/>
    <w:basedOn w:val="Normln"/>
    <w:link w:val="ZpatChar"/>
    <w:uiPriority w:val="99"/>
    <w:rsid w:val="00C32D07"/>
    <w:pPr>
      <w:tabs>
        <w:tab w:val="center" w:pos="4536"/>
        <w:tab w:val="right" w:pos="9072"/>
      </w:tabs>
      <w:spacing w:before="0"/>
      <w:ind w:firstLine="0"/>
      <w:jc w:val="left"/>
    </w:pPr>
    <w:rPr>
      <w:rFonts w:ascii="Tahoma" w:hAnsi="Tahoma"/>
      <w:szCs w:val="20"/>
    </w:rPr>
  </w:style>
  <w:style w:type="character" w:customStyle="1" w:styleId="ZpatChar">
    <w:name w:val="Zápatí Char"/>
    <w:basedOn w:val="Standardnpsmoodstavce"/>
    <w:link w:val="Zpat"/>
    <w:uiPriority w:val="99"/>
    <w:rsid w:val="00C32D07"/>
    <w:rPr>
      <w:rFonts w:ascii="Tahoma" w:eastAsia="Times New Roman" w:hAnsi="Tahoma" w:cs="Times New Roman"/>
      <w:sz w:val="20"/>
      <w:szCs w:val="20"/>
      <w:lang w:eastAsia="cs-CZ"/>
    </w:rPr>
  </w:style>
  <w:style w:type="character" w:styleId="Hypertextovodkaz">
    <w:name w:val="Hyperlink"/>
    <w:rsid w:val="00C32D07"/>
    <w:rPr>
      <w:color w:val="0000FF"/>
      <w:u w:val="single"/>
    </w:rPr>
  </w:style>
  <w:style w:type="character" w:styleId="Siln">
    <w:name w:val="Strong"/>
    <w:aliases w:val="Sml Silné"/>
    <w:uiPriority w:val="22"/>
    <w:qFormat/>
    <w:rsid w:val="00C32D07"/>
    <w:rPr>
      <w:b/>
      <w:bCs/>
    </w:rPr>
  </w:style>
  <w:style w:type="paragraph" w:styleId="Odstavecseseznamem">
    <w:name w:val="List Paragraph"/>
    <w:basedOn w:val="Normln"/>
    <w:uiPriority w:val="34"/>
    <w:qFormat/>
    <w:rsid w:val="00C32D07"/>
    <w:pPr>
      <w:tabs>
        <w:tab w:val="num" w:pos="360"/>
      </w:tabs>
      <w:contextualSpacing/>
    </w:pPr>
  </w:style>
  <w:style w:type="character" w:customStyle="1" w:styleId="Zvyraznenipole10">
    <w:name w:val="Zvyrazneni_pole_10"/>
    <w:basedOn w:val="Standardnpsmoodstavce"/>
    <w:uiPriority w:val="1"/>
    <w:rsid w:val="00C32D07"/>
    <w:rPr>
      <w:rFonts w:ascii="Calibri" w:hAnsi="Calibri"/>
      <w:color w:val="2F5496" w:themeColor="accent5" w:themeShade="BF"/>
      <w:sz w:val="20"/>
    </w:rPr>
  </w:style>
  <w:style w:type="paragraph" w:styleId="Bezmezer">
    <w:name w:val="No Spacing"/>
    <w:aliases w:val="Sml Tabulka"/>
    <w:uiPriority w:val="1"/>
    <w:qFormat/>
    <w:rsid w:val="00C32D07"/>
    <w:pPr>
      <w:spacing w:after="0" w:line="240" w:lineRule="auto"/>
    </w:pPr>
  </w:style>
  <w:style w:type="paragraph" w:customStyle="1" w:styleId="Odstavec1">
    <w:name w:val="Odstavec_1"/>
    <w:basedOn w:val="lnek2"/>
    <w:link w:val="Odstavec1Char"/>
    <w:qFormat/>
    <w:rsid w:val="00C32D07"/>
    <w:rPr>
      <w:rFonts w:cs="Calibri"/>
    </w:rPr>
  </w:style>
  <w:style w:type="paragraph" w:customStyle="1" w:styleId="Odstavec2">
    <w:name w:val="Odstavec_2"/>
    <w:basedOn w:val="lnek2"/>
    <w:link w:val="Odstavec2Char"/>
    <w:qFormat/>
    <w:rsid w:val="00C32D07"/>
    <w:pPr>
      <w:numPr>
        <w:ilvl w:val="2"/>
      </w:numPr>
    </w:pPr>
    <w:rPr>
      <w:rFonts w:cs="Calibri"/>
    </w:rPr>
  </w:style>
  <w:style w:type="character" w:customStyle="1" w:styleId="lnek2Char">
    <w:name w:val="Článek 2 Char"/>
    <w:basedOn w:val="Standardnpsmoodstavce"/>
    <w:link w:val="lnek2"/>
    <w:rsid w:val="00C32D07"/>
    <w:rPr>
      <w:rFonts w:ascii="Roboto" w:eastAsia="Times New Roman" w:hAnsi="Roboto" w:cs="Times New Roman"/>
      <w:sz w:val="20"/>
      <w:szCs w:val="24"/>
      <w:lang w:eastAsia="cs-CZ"/>
    </w:rPr>
  </w:style>
  <w:style w:type="character" w:customStyle="1" w:styleId="Odstavec1Char">
    <w:name w:val="Odstavec_1 Char"/>
    <w:basedOn w:val="lnek2Char"/>
    <w:link w:val="Odstavec1"/>
    <w:rsid w:val="00C32D07"/>
    <w:rPr>
      <w:rFonts w:ascii="Roboto" w:eastAsia="Times New Roman" w:hAnsi="Roboto" w:cs="Calibri"/>
      <w:sz w:val="20"/>
      <w:szCs w:val="24"/>
      <w:lang w:eastAsia="cs-CZ"/>
    </w:rPr>
  </w:style>
  <w:style w:type="character" w:customStyle="1" w:styleId="Odstavec2Char">
    <w:name w:val="Odstavec_2 Char"/>
    <w:basedOn w:val="lnek2Char"/>
    <w:link w:val="Odstavec2"/>
    <w:rsid w:val="00C32D07"/>
    <w:rPr>
      <w:rFonts w:ascii="Roboto" w:eastAsia="Times New Roman" w:hAnsi="Roboto" w:cs="Calibri"/>
      <w:sz w:val="20"/>
      <w:szCs w:val="24"/>
      <w:lang w:eastAsia="cs-CZ"/>
    </w:rPr>
  </w:style>
  <w:style w:type="paragraph" w:customStyle="1" w:styleId="ODSTAVEC">
    <w:name w:val="ODSTAVEC"/>
    <w:basedOn w:val="Bezmezer"/>
    <w:rsid w:val="00C32D07"/>
    <w:pPr>
      <w:numPr>
        <w:ilvl w:val="1"/>
        <w:numId w:val="3"/>
      </w:numPr>
      <w:spacing w:before="120"/>
      <w:jc w:val="both"/>
    </w:pPr>
    <w:rPr>
      <w:rFonts w:ascii="Arial" w:eastAsia="Times New Roman" w:hAnsi="Arial" w:cs="Arial"/>
      <w:sz w:val="18"/>
      <w:szCs w:val="18"/>
      <w:lang w:eastAsia="cs-CZ"/>
    </w:rPr>
  </w:style>
  <w:style w:type="paragraph" w:customStyle="1" w:styleId="NADPIS">
    <w:name w:val="NADPIS"/>
    <w:basedOn w:val="Bezmezer"/>
    <w:rsid w:val="00C32D07"/>
    <w:pPr>
      <w:numPr>
        <w:numId w:val="3"/>
      </w:numPr>
      <w:spacing w:before="360"/>
      <w:jc w:val="center"/>
    </w:pPr>
    <w:rPr>
      <w:rFonts w:ascii="Arial" w:eastAsia="Calibri"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rkance-systems.cz/vseobecne-obchodni-podmink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lga.smitkova@arkance-systems.com" TargetMode="External"/><Relationship Id="rId11" Type="http://schemas.openxmlformats.org/officeDocument/2006/relationships/theme" Target="theme/theme1.xml"/><Relationship Id="rId5" Type="http://schemas.openxmlformats.org/officeDocument/2006/relationships/hyperlink" Target="mailto:karel.kralovec@arkance-systems.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2217</Words>
  <Characters>13082</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Povodí Odry, státní podnik</Company>
  <LinksUpToDate>false</LinksUpToDate>
  <CharactersWithSpaces>15269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Groholova</dc:creator>
  <cp:keywords/>
  <dc:description/>
  <cp:lastModifiedBy>Groholova</cp:lastModifiedBy>
  <cp:revision>1</cp:revision>
  <dcterms:created xsi:type="dcterms:W3CDTF">2023-12-19T08:57:00Z</dcterms:created>
  <dcterms:modified xsi:type="dcterms:W3CDTF">2023-12-19T08:58:00Z</dcterms:modified>
</cp:coreProperties>
</file>