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3"/>
        <w:ind w:left="3423" w:right="3148"/>
      </w:pPr>
      <w:r>
        <w:rPr>
          <w:color w:val="808080"/>
        </w:rPr>
        <w:t>Smlouva</w:t>
      </w:r>
      <w:r>
        <w:rPr>
          <w:color w:val="808080"/>
          <w:spacing w:val="-19"/>
        </w:rPr>
        <w:t> </w:t>
      </w:r>
      <w:r>
        <w:rPr>
          <w:color w:val="808080"/>
        </w:rPr>
        <w:t>č.</w:t>
      </w:r>
      <w:r>
        <w:rPr>
          <w:color w:val="808080"/>
          <w:spacing w:val="-18"/>
        </w:rPr>
        <w:t> </w:t>
      </w:r>
      <w:r>
        <w:rPr>
          <w:color w:val="808080"/>
        </w:rPr>
        <w:t>5211200268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ind w:left="0"/>
        <w:rPr>
          <w:sz w:val="60"/>
        </w:rPr>
      </w:pPr>
    </w:p>
    <w:p>
      <w:pPr>
        <w:pStyle w:val="BodyText"/>
        <w:ind w:left="382"/>
      </w:pPr>
      <w:r>
        <w:rPr/>
        <w:t>Smluvní</w:t>
      </w:r>
      <w:r>
        <w:rPr>
          <w:spacing w:val="-12"/>
        </w:rPr>
        <w:t> </w:t>
      </w:r>
      <w:r>
        <w:rPr>
          <w:spacing w:val="-2"/>
        </w:rPr>
        <w:t>strany</w:t>
      </w:r>
    </w:p>
    <w:p>
      <w:pPr>
        <w:pStyle w:val="BodyText"/>
        <w:spacing w:before="1"/>
        <w:ind w:left="0"/>
      </w:pPr>
    </w:p>
    <w:p>
      <w:pPr>
        <w:pStyle w:val="Heading2"/>
        <w:spacing w:line="265" w:lineRule="exact"/>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line="265" w:lineRule="exact"/>
        <w:ind w:left="38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262" w:val="left" w:leader="none"/>
        </w:tabs>
        <w:ind w:left="38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4126" w:val="right" w:leader="none"/>
        </w:tabs>
        <w:spacing w:before="1"/>
        <w:ind w:left="382"/>
      </w:pPr>
      <w:r>
        <w:rPr>
          <w:spacing w:val="-4"/>
        </w:rPr>
        <w:t>IČO:</w:t>
      </w:r>
      <w:r>
        <w:rPr/>
        <w:tab/>
      </w:r>
      <w:r>
        <w:rPr>
          <w:spacing w:val="-2"/>
        </w:rPr>
        <w:t>00020729</w:t>
      </w:r>
    </w:p>
    <w:p>
      <w:pPr>
        <w:pStyle w:val="BodyText"/>
        <w:tabs>
          <w:tab w:pos="3262" w:val="left" w:leader="none"/>
        </w:tabs>
        <w:ind w:left="382"/>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262" w:val="left" w:leader="none"/>
        </w:tabs>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line="237" w:lineRule="auto" w:before="4"/>
        <w:ind w:left="382" w:right="4643"/>
      </w:pPr>
      <w:r>
        <w:rPr/>
        <w:t>číslo účtu:</w:t>
        <w:tab/>
      </w:r>
      <w:r>
        <w:rPr>
          <w:spacing w:val="-2"/>
        </w:rPr>
        <w:t>200002-9025001/0710 </w:t>
      </w:r>
      <w:r>
        <w:rPr/>
        <w:t>(dále jen „Fond")</w:t>
      </w:r>
    </w:p>
    <w:p>
      <w:pPr>
        <w:pStyle w:val="BodyText"/>
        <w:spacing w:before="1"/>
        <w:ind w:left="0"/>
      </w:pPr>
    </w:p>
    <w:p>
      <w:pPr>
        <w:pStyle w:val="BodyText"/>
        <w:spacing w:before="1"/>
        <w:ind w:left="382"/>
      </w:pPr>
      <w:r>
        <w:rPr>
          <w:w w:val="99"/>
        </w:rPr>
        <w:t>a</w:t>
      </w:r>
    </w:p>
    <w:p>
      <w:pPr>
        <w:pStyle w:val="BodyText"/>
        <w:ind w:left="0"/>
      </w:pPr>
    </w:p>
    <w:p>
      <w:pPr>
        <w:pStyle w:val="Heading2"/>
        <w:jc w:val="left"/>
      </w:pPr>
      <w:r>
        <w:rPr/>
        <w:t>město</w:t>
      </w:r>
      <w:r>
        <w:rPr>
          <w:spacing w:val="-6"/>
        </w:rPr>
        <w:t> </w:t>
      </w:r>
      <w:r>
        <w:rPr>
          <w:spacing w:val="-2"/>
        </w:rPr>
        <w:t>Otrokovice</w:t>
      </w:r>
    </w:p>
    <w:p>
      <w:pPr>
        <w:pStyle w:val="BodyText"/>
        <w:tabs>
          <w:tab w:pos="3262" w:val="left" w:leader="none"/>
        </w:tabs>
        <w:spacing w:line="265" w:lineRule="exact" w:before="1"/>
        <w:ind w:left="382"/>
      </w:pPr>
      <w:r>
        <w:rPr/>
        <w:t>kontaktní</w:t>
      </w:r>
      <w:r>
        <w:rPr>
          <w:spacing w:val="-11"/>
        </w:rPr>
        <w:t> </w:t>
      </w:r>
      <w:r>
        <w:rPr>
          <w:spacing w:val="-2"/>
        </w:rPr>
        <w:t>adresa:</w:t>
      </w:r>
      <w:r>
        <w:rPr/>
        <w:tab/>
        <w:t>Městský</w:t>
      </w:r>
      <w:r>
        <w:rPr>
          <w:spacing w:val="-6"/>
        </w:rPr>
        <w:t> </w:t>
      </w:r>
      <w:r>
        <w:rPr/>
        <w:t>úřad</w:t>
      </w:r>
      <w:r>
        <w:rPr>
          <w:spacing w:val="-5"/>
        </w:rPr>
        <w:t> </w:t>
      </w:r>
      <w:r>
        <w:rPr/>
        <w:t>Otrokovice,</w:t>
      </w:r>
      <w:r>
        <w:rPr>
          <w:spacing w:val="-4"/>
        </w:rPr>
        <w:t> </w:t>
      </w:r>
      <w:r>
        <w:rPr/>
        <w:t>nám.</w:t>
      </w:r>
      <w:r>
        <w:rPr>
          <w:spacing w:val="-5"/>
        </w:rPr>
        <w:t> </w:t>
      </w:r>
      <w:r>
        <w:rPr/>
        <w:t>3.</w:t>
      </w:r>
      <w:r>
        <w:rPr>
          <w:spacing w:val="-6"/>
        </w:rPr>
        <w:t> </w:t>
      </w:r>
      <w:r>
        <w:rPr/>
        <w:t>května</w:t>
      </w:r>
      <w:r>
        <w:rPr>
          <w:spacing w:val="-5"/>
        </w:rPr>
        <w:t> </w:t>
      </w:r>
      <w:r>
        <w:rPr/>
        <w:t>1340,</w:t>
      </w:r>
      <w:r>
        <w:rPr>
          <w:spacing w:val="-6"/>
        </w:rPr>
        <w:t> </w:t>
      </w:r>
      <w:r>
        <w:rPr/>
        <w:t>765</w:t>
      </w:r>
      <w:r>
        <w:rPr>
          <w:spacing w:val="-2"/>
        </w:rPr>
        <w:t> </w:t>
      </w:r>
      <w:r>
        <w:rPr/>
        <w:t>02</w:t>
      </w:r>
      <w:r>
        <w:rPr>
          <w:spacing w:val="-7"/>
        </w:rPr>
        <w:t> </w:t>
      </w:r>
      <w:r>
        <w:rPr>
          <w:spacing w:val="-2"/>
        </w:rPr>
        <w:t>Otrokovice</w:t>
      </w:r>
    </w:p>
    <w:p>
      <w:pPr>
        <w:pStyle w:val="BodyText"/>
        <w:tabs>
          <w:tab w:pos="3262" w:val="left" w:leader="none"/>
        </w:tabs>
        <w:spacing w:line="265" w:lineRule="exact"/>
        <w:ind w:left="382"/>
      </w:pPr>
      <w:r>
        <w:rPr>
          <w:spacing w:val="-4"/>
        </w:rPr>
        <w:t>IČO:</w:t>
      </w:r>
      <w:r>
        <w:rPr/>
        <w:tab/>
      </w:r>
      <w:r>
        <w:rPr>
          <w:spacing w:val="-2"/>
        </w:rPr>
        <w:t>00284301</w:t>
      </w:r>
    </w:p>
    <w:p>
      <w:pPr>
        <w:pStyle w:val="BodyText"/>
        <w:tabs>
          <w:tab w:pos="3262" w:val="left" w:leader="none"/>
        </w:tabs>
        <w:ind w:left="382"/>
      </w:pPr>
      <w:r>
        <w:rPr>
          <w:spacing w:val="-2"/>
        </w:rPr>
        <w:t>zastoupené:</w:t>
      </w:r>
      <w:r>
        <w:rPr/>
        <w:tab/>
        <w:t>Bc.</w:t>
      </w:r>
      <w:r>
        <w:rPr>
          <w:spacing w:val="-6"/>
        </w:rPr>
        <w:t> </w:t>
      </w:r>
      <w:r>
        <w:rPr/>
        <w:t>Hanou</w:t>
      </w:r>
      <w:r>
        <w:rPr>
          <w:spacing w:val="-2"/>
        </w:rPr>
        <w:t> </w:t>
      </w:r>
      <w:r>
        <w:rPr/>
        <w:t>V</w:t>
      </w:r>
      <w:r>
        <w:rPr>
          <w:spacing w:val="-1"/>
        </w:rPr>
        <w:t> </w:t>
      </w:r>
      <w:r>
        <w:rPr/>
        <w:t>e</w:t>
      </w:r>
      <w:r>
        <w:rPr>
          <w:spacing w:val="-3"/>
        </w:rPr>
        <w:t> </w:t>
      </w:r>
      <w:r>
        <w:rPr/>
        <w:t>č</w:t>
      </w:r>
      <w:r>
        <w:rPr>
          <w:spacing w:val="-1"/>
        </w:rPr>
        <w:t> </w:t>
      </w:r>
      <w:r>
        <w:rPr/>
        <w:t>e</w:t>
      </w:r>
      <w:r>
        <w:rPr>
          <w:spacing w:val="-3"/>
        </w:rPr>
        <w:t> </w:t>
      </w:r>
      <w:r>
        <w:rPr/>
        <w:t>r</w:t>
      </w:r>
      <w:r>
        <w:rPr>
          <w:spacing w:val="-3"/>
        </w:rPr>
        <w:t> </w:t>
      </w:r>
      <w:r>
        <w:rPr/>
        <w:t>k</w:t>
      </w:r>
      <w:r>
        <w:rPr>
          <w:spacing w:val="-2"/>
        </w:rPr>
        <w:t> </w:t>
      </w:r>
      <w:r>
        <w:rPr/>
        <w:t>o</w:t>
      </w:r>
      <w:r>
        <w:rPr>
          <w:spacing w:val="-2"/>
        </w:rPr>
        <w:t> </w:t>
      </w:r>
      <w:r>
        <w:rPr/>
        <w:t>v</w:t>
      </w:r>
      <w:r>
        <w:rPr>
          <w:spacing w:val="-1"/>
        </w:rPr>
        <w:t> </w:t>
      </w:r>
      <w:r>
        <w:rPr/>
        <w:t>o</w:t>
      </w:r>
      <w:r>
        <w:rPr>
          <w:spacing w:val="-2"/>
        </w:rPr>
        <w:t> </w:t>
      </w:r>
      <w:r>
        <w:rPr/>
        <w:t>u,</w:t>
      </w:r>
      <w:r>
        <w:rPr>
          <w:spacing w:val="-2"/>
        </w:rPr>
        <w:t> </w:t>
      </w:r>
      <w:r>
        <w:rPr/>
        <w:t>DiS.,</w:t>
      </w:r>
      <w:r>
        <w:rPr>
          <w:spacing w:val="-3"/>
        </w:rPr>
        <w:t> </w:t>
      </w:r>
      <w:r>
        <w:rPr>
          <w:spacing w:val="-2"/>
        </w:rPr>
        <w:t>starostkou</w:t>
      </w:r>
    </w:p>
    <w:p>
      <w:pPr>
        <w:pStyle w:val="BodyText"/>
        <w:tabs>
          <w:tab w:pos="3262" w:val="left" w:leader="none"/>
        </w:tabs>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before="1"/>
        <w:ind w:left="382" w:right="4967"/>
      </w:pPr>
      <w:r>
        <w:rPr/>
        <w:t>číslo účtu:</w:t>
        <w:tab/>
      </w:r>
      <w:r>
        <w:rPr>
          <w:spacing w:val="-2"/>
        </w:rPr>
        <w:t>94-33528661/0710 </w:t>
      </w:r>
      <w:r>
        <w:rPr/>
        <w:t>(dále jen „příjemce podpory")</w:t>
      </w:r>
    </w:p>
    <w:p>
      <w:pPr>
        <w:pStyle w:val="BodyText"/>
        <w:spacing w:before="1"/>
        <w:ind w:left="0"/>
      </w:pPr>
    </w:p>
    <w:p>
      <w:pPr>
        <w:pStyle w:val="BodyText"/>
        <w:ind w:left="382"/>
      </w:pPr>
      <w:r>
        <w:rPr/>
        <w:t>se</w:t>
      </w:r>
      <w:r>
        <w:rPr>
          <w:spacing w:val="-7"/>
        </w:rPr>
        <w:t> </w:t>
      </w:r>
      <w:r>
        <w:rPr/>
        <w:t>dohodly</w:t>
      </w:r>
      <w:r>
        <w:rPr>
          <w:spacing w:val="-6"/>
        </w:rPr>
        <w:t> </w:t>
      </w:r>
      <w:r>
        <w:rPr>
          <w:spacing w:val="-2"/>
        </w:rPr>
        <w:t>takto:</w:t>
      </w:r>
    </w:p>
    <w:p>
      <w:pPr>
        <w:pStyle w:val="BodyText"/>
        <w:spacing w:before="13"/>
        <w:ind w:left="0"/>
        <w:rPr>
          <w:sz w:val="35"/>
        </w:rPr>
      </w:pPr>
    </w:p>
    <w:p>
      <w:pPr>
        <w:pStyle w:val="Heading1"/>
      </w:pPr>
      <w:r>
        <w:rPr>
          <w:spacing w:val="-5"/>
        </w:rPr>
        <w:t>I.</w:t>
      </w:r>
    </w:p>
    <w:p>
      <w:pPr>
        <w:pStyle w:val="Heading2"/>
        <w:ind w:left="3412" w:right="3148"/>
      </w:pPr>
      <w:r>
        <w:rPr/>
        <w:t>Předmět</w:t>
      </w:r>
      <w:r>
        <w:rPr>
          <w:spacing w:val="-12"/>
        </w:rPr>
        <w:t> </w:t>
      </w:r>
      <w:r>
        <w:rPr>
          <w:spacing w:val="-2"/>
        </w:rPr>
        <w:t>smlouvy</w:t>
      </w:r>
    </w:p>
    <w:p>
      <w:pPr>
        <w:pStyle w:val="BodyText"/>
        <w:spacing w:before="1"/>
        <w:ind w:left="0"/>
        <w:rPr>
          <w:b/>
          <w:sz w:val="18"/>
        </w:rPr>
      </w:pPr>
    </w:p>
    <w:p>
      <w:pPr>
        <w:pStyle w:val="ListParagraph"/>
        <w:numPr>
          <w:ilvl w:val="0"/>
          <w:numId w:val="1"/>
        </w:numPr>
        <w:tabs>
          <w:tab w:pos="666" w:val="left" w:leader="none"/>
        </w:tabs>
        <w:spacing w:line="240" w:lineRule="auto" w:before="0"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right="110"/>
        <w:jc w:val="both"/>
      </w:pPr>
      <w:r>
        <w:rPr/>
        <w:t>„Smlouva“) se uzavírá na základě Rozhodnutí ministra životního prostředí č. 5211200268 o poskytnutí finančních prostředků ze Státního fondu životního prostředí ČR ze dne 17.</w:t>
      </w:r>
      <w:r>
        <w:rPr>
          <w:spacing w:val="-1"/>
        </w:rPr>
        <w:t> </w:t>
      </w:r>
      <w:r>
        <w:rPr/>
        <w:t>5.</w:t>
      </w:r>
      <w:r>
        <w:rPr>
          <w:spacing w:val="-2"/>
        </w:rPr>
        <w:t> </w:t>
      </w:r>
      <w:r>
        <w:rPr/>
        <w:t>2023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6"/>
        </w:rPr>
        <w:t> </w:t>
      </w:r>
      <w:r>
        <w:rPr/>
        <w:t>Národního</w:t>
      </w:r>
      <w:r>
        <w:rPr>
          <w:spacing w:val="32"/>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7"/>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666" w:val="left" w:leader="none"/>
        </w:tabs>
        <w:spacing w:line="240" w:lineRule="auto" w:before="120" w:after="0"/>
        <w:ind w:left="665" w:right="111" w:hanging="284"/>
        <w:jc w:val="both"/>
        <w:rPr>
          <w:sz w:val="20"/>
        </w:rPr>
      </w:pPr>
      <w:r>
        <w:rPr>
          <w:sz w:val="20"/>
        </w:rPr>
        <w:t>Příjemce podpory potvrzuje, že se seznámil se Směrnicí MŽP (včetně jejích příloh) a Výzvou č.</w:t>
      </w:r>
      <w:r>
        <w:rPr>
          <w:spacing w:val="19"/>
          <w:sz w:val="20"/>
        </w:rPr>
        <w:t> </w:t>
      </w:r>
      <w:r>
        <w:rPr>
          <w:sz w:val="20"/>
        </w:rPr>
        <w:t>12/2021</w:t>
      </w:r>
      <w:r>
        <w:rPr>
          <w:spacing w:val="40"/>
          <w:sz w:val="20"/>
        </w:rPr>
        <w:t> </w:t>
      </w:r>
      <w:r>
        <w:rPr>
          <w:sz w:val="20"/>
        </w:rPr>
        <w:t>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3"/>
          <w:sz w:val="20"/>
        </w:rPr>
        <w:t> </w:t>
      </w:r>
      <w:r>
        <w:rPr>
          <w:sz w:val="20"/>
        </w:rPr>
        <w:t>že</w:t>
      </w:r>
      <w:r>
        <w:rPr>
          <w:spacing w:val="-14"/>
          <w:sz w:val="20"/>
        </w:rPr>
        <w:t> </w:t>
      </w:r>
      <w:r>
        <w:rPr>
          <w:sz w:val="20"/>
        </w:rPr>
        <w:t>náležitosti</w:t>
      </w:r>
      <w:r>
        <w:rPr>
          <w:spacing w:val="-12"/>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384" w:header="0" w:top="1060" w:bottom="1580" w:left="1320" w:right="1020"/>
          <w:pgNumType w:start="1"/>
        </w:sectPr>
      </w:pPr>
    </w:p>
    <w:p>
      <w:pPr>
        <w:pStyle w:val="ListParagraph"/>
        <w:numPr>
          <w:ilvl w:val="0"/>
          <w:numId w:val="1"/>
        </w:numPr>
        <w:tabs>
          <w:tab w:pos="666" w:val="left" w:leader="none"/>
        </w:tabs>
        <w:spacing w:line="240" w:lineRule="auto" w:before="73" w:after="0"/>
        <w:ind w:left="66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996"/>
        <w:jc w:val="left"/>
      </w:pPr>
      <w:r>
        <w:rPr/>
        <w:t>„Zlepšení</w:t>
      </w:r>
      <w:r>
        <w:rPr>
          <w:spacing w:val="-7"/>
        </w:rPr>
        <w:t> </w:t>
      </w:r>
      <w:r>
        <w:rPr/>
        <w:t>tepelně</w:t>
      </w:r>
      <w:r>
        <w:rPr>
          <w:spacing w:val="-4"/>
        </w:rPr>
        <w:t> </w:t>
      </w:r>
      <w:r>
        <w:rPr/>
        <w:t>technických</w:t>
      </w:r>
      <w:r>
        <w:rPr>
          <w:spacing w:val="-6"/>
        </w:rPr>
        <w:t> </w:t>
      </w:r>
      <w:r>
        <w:rPr/>
        <w:t>vlastností</w:t>
      </w:r>
      <w:r>
        <w:rPr>
          <w:spacing w:val="-6"/>
        </w:rPr>
        <w:t> </w:t>
      </w:r>
      <w:r>
        <w:rPr/>
        <w:t>budovy</w:t>
      </w:r>
      <w:r>
        <w:rPr>
          <w:spacing w:val="-6"/>
        </w:rPr>
        <w:t> </w:t>
      </w:r>
      <w:r>
        <w:rPr/>
        <w:t>Senioru</w:t>
      </w:r>
      <w:r>
        <w:rPr>
          <w:spacing w:val="-7"/>
        </w:rPr>
        <w:t> </w:t>
      </w:r>
      <w:r>
        <w:rPr/>
        <w:t>B,</w:t>
      </w:r>
      <w:r>
        <w:rPr>
          <w:spacing w:val="-8"/>
        </w:rPr>
        <w:t> </w:t>
      </w:r>
      <w:r>
        <w:rPr/>
        <w:t>K.</w:t>
      </w:r>
      <w:r>
        <w:rPr>
          <w:spacing w:val="-2"/>
        </w:rPr>
        <w:t> </w:t>
      </w:r>
      <w:r>
        <w:rPr/>
        <w:t>Čapka</w:t>
      </w:r>
      <w:r>
        <w:rPr>
          <w:spacing w:val="-7"/>
        </w:rPr>
        <w:t> </w:t>
      </w:r>
      <w:r>
        <w:rPr/>
        <w:t>1615,</w:t>
      </w:r>
      <w:r>
        <w:rPr>
          <w:spacing w:val="-7"/>
        </w:rPr>
        <w:t> </w:t>
      </w:r>
      <w:r>
        <w:rPr>
          <w:spacing w:val="-2"/>
        </w:rPr>
        <w:t>Otrokovice“</w:t>
      </w:r>
    </w:p>
    <w:p>
      <w:pPr>
        <w:pStyle w:val="BodyText"/>
        <w:spacing w:before="121"/>
      </w:pPr>
      <w:r>
        <w:rPr/>
        <w:t>(dále</w:t>
      </w:r>
      <w:r>
        <w:rPr>
          <w:spacing w:val="-6"/>
        </w:rPr>
        <w:t> </w:t>
      </w:r>
      <w:r>
        <w:rPr/>
        <w:t>jen</w:t>
      </w:r>
      <w:r>
        <w:rPr>
          <w:spacing w:val="-4"/>
        </w:rPr>
        <w:t> </w:t>
      </w:r>
      <w:r>
        <w:rPr/>
        <w:t>„projekt“</w:t>
      </w:r>
      <w:r>
        <w:rPr>
          <w:spacing w:val="-5"/>
        </w:rPr>
        <w:t> </w:t>
      </w:r>
      <w:r>
        <w:rPr/>
        <w:t>nebo</w:t>
      </w:r>
      <w:r>
        <w:rPr>
          <w:spacing w:val="-3"/>
        </w:rPr>
        <w:t> </w:t>
      </w:r>
      <w:r>
        <w:rPr/>
        <w:t>„akce“).</w:t>
      </w:r>
      <w:r>
        <w:rPr>
          <w:spacing w:val="-4"/>
        </w:rPr>
        <w:t> </w:t>
      </w:r>
      <w:r>
        <w:rPr/>
        <w:t>Akce</w:t>
      </w:r>
      <w:r>
        <w:rPr>
          <w:spacing w:val="-5"/>
        </w:rPr>
        <w:t> </w:t>
      </w:r>
      <w:r>
        <w:rPr/>
        <w:t>je</w:t>
      </w:r>
      <w:r>
        <w:rPr>
          <w:spacing w:val="-5"/>
        </w:rPr>
        <w:t> </w:t>
      </w:r>
      <w:r>
        <w:rPr>
          <w:spacing w:val="-2"/>
        </w:rPr>
        <w:t>investiční.</w:t>
      </w:r>
    </w:p>
    <w:p>
      <w:pPr>
        <w:pStyle w:val="BodyText"/>
        <w:ind w:left="0"/>
        <w:rPr>
          <w:sz w:val="26"/>
        </w:rPr>
      </w:pPr>
    </w:p>
    <w:p>
      <w:pPr>
        <w:pStyle w:val="BodyText"/>
        <w:spacing w:before="2"/>
        <w:ind w:left="0"/>
        <w:rPr>
          <w:sz w:val="30"/>
        </w:rPr>
      </w:pPr>
    </w:p>
    <w:p>
      <w:pPr>
        <w:pStyle w:val="Heading1"/>
      </w:pPr>
      <w:r>
        <w:rPr>
          <w:spacing w:val="-5"/>
        </w:rPr>
        <w:t>II.</w:t>
      </w:r>
    </w:p>
    <w:p>
      <w:pPr>
        <w:pStyle w:val="Heading2"/>
        <w:ind w:left="3413" w:right="3148"/>
      </w:pPr>
      <w:r>
        <w:rPr/>
        <w:t>Výše</w:t>
      </w:r>
      <w:r>
        <w:rPr>
          <w:spacing w:val="-6"/>
        </w:rPr>
        <w:t> </w:t>
      </w:r>
      <w:r>
        <w:rPr>
          <w:spacing w:val="-2"/>
        </w:rPr>
        <w:t>dotace</w:t>
      </w:r>
    </w:p>
    <w:p>
      <w:pPr>
        <w:pStyle w:val="BodyText"/>
        <w:spacing w:before="12"/>
        <w:ind w:left="0"/>
        <w:rPr>
          <w:b/>
          <w:sz w:val="17"/>
        </w:rPr>
      </w:pPr>
    </w:p>
    <w:p>
      <w:pPr>
        <w:pStyle w:val="ListParagraph"/>
        <w:numPr>
          <w:ilvl w:val="0"/>
          <w:numId w:val="2"/>
        </w:numPr>
        <w:tabs>
          <w:tab w:pos="809" w:val="left" w:leader="none"/>
          <w:tab w:pos="810" w:val="left" w:leader="none"/>
        </w:tabs>
        <w:spacing w:line="240" w:lineRule="auto" w:before="0" w:after="0"/>
        <w:ind w:left="809" w:right="111" w:hanging="428"/>
        <w:jc w:val="left"/>
        <w:rPr>
          <w:sz w:val="20"/>
        </w:rPr>
      </w:pPr>
      <w:r>
        <w:rPr>
          <w:sz w:val="20"/>
        </w:rPr>
        <w:t>Fond</w:t>
      </w:r>
      <w:r>
        <w:rPr>
          <w:spacing w:val="-10"/>
          <w:sz w:val="20"/>
        </w:rPr>
        <w:t> </w:t>
      </w:r>
      <w:r>
        <w:rPr>
          <w:sz w:val="20"/>
        </w:rPr>
        <w:t>se</w:t>
      </w:r>
      <w:r>
        <w:rPr>
          <w:spacing w:val="-12"/>
          <w:sz w:val="20"/>
        </w:rPr>
        <w:t> </w:t>
      </w:r>
      <w:r>
        <w:rPr>
          <w:sz w:val="20"/>
        </w:rPr>
        <w:t>zavazuje</w:t>
      </w:r>
      <w:r>
        <w:rPr>
          <w:spacing w:val="-11"/>
          <w:sz w:val="20"/>
        </w:rPr>
        <w:t> </w:t>
      </w:r>
      <w:r>
        <w:rPr>
          <w:sz w:val="20"/>
        </w:rPr>
        <w:t>poskytnout</w:t>
      </w:r>
      <w:r>
        <w:rPr>
          <w:spacing w:val="-11"/>
          <w:sz w:val="20"/>
        </w:rPr>
        <w:t> </w:t>
      </w:r>
      <w:r>
        <w:rPr>
          <w:sz w:val="20"/>
        </w:rPr>
        <w:t>příjemci</w:t>
      </w:r>
      <w:r>
        <w:rPr>
          <w:spacing w:val="-11"/>
          <w:sz w:val="20"/>
        </w:rPr>
        <w:t> </w:t>
      </w:r>
      <w:r>
        <w:rPr>
          <w:sz w:val="20"/>
        </w:rPr>
        <w:t>podpory</w:t>
      </w:r>
      <w:r>
        <w:rPr>
          <w:spacing w:val="-10"/>
          <w:sz w:val="20"/>
        </w:rPr>
        <w:t> </w:t>
      </w:r>
      <w:r>
        <w:rPr>
          <w:sz w:val="20"/>
        </w:rPr>
        <w:t>podporu</w:t>
      </w:r>
      <w:r>
        <w:rPr>
          <w:spacing w:val="-8"/>
          <w:sz w:val="20"/>
        </w:rPr>
        <w:t> </w:t>
      </w:r>
      <w:r>
        <w:rPr>
          <w:sz w:val="20"/>
        </w:rPr>
        <w:t>formou</w:t>
      </w:r>
      <w:r>
        <w:rPr>
          <w:spacing w:val="-10"/>
          <w:sz w:val="20"/>
        </w:rPr>
        <w:t> </w:t>
      </w:r>
      <w:r>
        <w:rPr>
          <w:sz w:val="20"/>
        </w:rPr>
        <w:t>dotace</w:t>
      </w:r>
      <w:r>
        <w:rPr>
          <w:spacing w:val="-11"/>
          <w:sz w:val="20"/>
        </w:rPr>
        <w:t> </w:t>
      </w:r>
      <w:r>
        <w:rPr>
          <w:sz w:val="20"/>
        </w:rPr>
        <w:t>ve</w:t>
      </w:r>
      <w:r>
        <w:rPr>
          <w:spacing w:val="-11"/>
          <w:sz w:val="20"/>
        </w:rPr>
        <w:t> </w:t>
      </w:r>
      <w:r>
        <w:rPr>
          <w:sz w:val="20"/>
        </w:rPr>
        <w:t>výši</w:t>
      </w:r>
      <w:r>
        <w:rPr>
          <w:spacing w:val="-5"/>
          <w:sz w:val="20"/>
        </w:rPr>
        <w:t> </w:t>
      </w:r>
      <w:r>
        <w:rPr>
          <w:b/>
          <w:sz w:val="20"/>
        </w:rPr>
        <w:t>5</w:t>
      </w:r>
      <w:r>
        <w:rPr>
          <w:b/>
          <w:spacing w:val="-3"/>
          <w:sz w:val="20"/>
        </w:rPr>
        <w:t> </w:t>
      </w:r>
      <w:r>
        <w:rPr>
          <w:b/>
          <w:sz w:val="20"/>
        </w:rPr>
        <w:t>160</w:t>
      </w:r>
      <w:r>
        <w:rPr>
          <w:b/>
          <w:spacing w:val="-2"/>
          <w:sz w:val="20"/>
        </w:rPr>
        <w:t> </w:t>
      </w:r>
      <w:r>
        <w:rPr>
          <w:b/>
          <w:sz w:val="20"/>
        </w:rPr>
        <w:t>483,43</w:t>
      </w:r>
      <w:r>
        <w:rPr>
          <w:b/>
          <w:spacing w:val="-9"/>
          <w:sz w:val="20"/>
        </w:rPr>
        <w:t> </w:t>
      </w:r>
      <w:r>
        <w:rPr>
          <w:b/>
          <w:sz w:val="20"/>
        </w:rPr>
        <w:t>Kč</w:t>
      </w:r>
      <w:r>
        <w:rPr>
          <w:b/>
          <w:spacing w:val="-10"/>
          <w:sz w:val="20"/>
        </w:rPr>
        <w:t> </w:t>
      </w:r>
      <w:r>
        <w:rPr>
          <w:sz w:val="20"/>
        </w:rPr>
        <w:t>(slovy: pět milionů</w:t>
      </w:r>
      <w:r>
        <w:rPr>
          <w:spacing w:val="40"/>
          <w:sz w:val="20"/>
        </w:rPr>
        <w:t> </w:t>
      </w:r>
      <w:r>
        <w:rPr>
          <w:sz w:val="20"/>
        </w:rPr>
        <w:t>jedno sto šedesát</w:t>
      </w:r>
      <w:r>
        <w:rPr>
          <w:spacing w:val="40"/>
          <w:sz w:val="20"/>
        </w:rPr>
        <w:t> </w:t>
      </w:r>
      <w:r>
        <w:rPr>
          <w:sz w:val="20"/>
        </w:rPr>
        <w:t>tisíc čtyři sta osmdesát tři korun českých a čtyřicet tři haléřů).</w:t>
      </w:r>
    </w:p>
    <w:p>
      <w:pPr>
        <w:pStyle w:val="ListParagraph"/>
        <w:numPr>
          <w:ilvl w:val="0"/>
          <w:numId w:val="2"/>
        </w:numPr>
        <w:tabs>
          <w:tab w:pos="742" w:val="left" w:leader="none"/>
        </w:tabs>
        <w:spacing w:line="240" w:lineRule="auto" w:before="121" w:after="0"/>
        <w:ind w:left="741" w:right="109" w:hanging="360"/>
        <w:jc w:val="left"/>
        <w:rPr>
          <w:sz w:val="20"/>
        </w:rPr>
      </w:pPr>
      <w:r>
        <w:rPr>
          <w:sz w:val="20"/>
        </w:rPr>
        <w:t>Základ pro stanovení podpory odpovídá způsobilým výdajům stanoveným Fondem dle žádosti a</w:t>
      </w:r>
      <w:r>
        <w:rPr>
          <w:spacing w:val="-5"/>
          <w:sz w:val="20"/>
        </w:rPr>
        <w:t> </w:t>
      </w:r>
      <w:r>
        <w:rPr>
          <w:sz w:val="20"/>
        </w:rPr>
        <w:t>jejích příloh a činí 11 467 740,97 Kč.</w:t>
      </w:r>
    </w:p>
    <w:p>
      <w:pPr>
        <w:pStyle w:val="ListParagraph"/>
        <w:numPr>
          <w:ilvl w:val="0"/>
          <w:numId w:val="2"/>
        </w:numPr>
        <w:tabs>
          <w:tab w:pos="742" w:val="left" w:leader="none"/>
        </w:tabs>
        <w:spacing w:line="240" w:lineRule="auto" w:before="121" w:after="0"/>
        <w:ind w:left="742" w:right="0" w:hanging="360"/>
        <w:jc w:val="left"/>
        <w:rPr>
          <w:sz w:val="20"/>
        </w:rPr>
      </w:pPr>
      <w:r>
        <w:rPr>
          <w:sz w:val="20"/>
        </w:rPr>
        <w:t>Podpora</w:t>
      </w:r>
      <w:r>
        <w:rPr>
          <w:spacing w:val="-8"/>
          <w:sz w:val="20"/>
        </w:rPr>
        <w:t> </w:t>
      </w:r>
      <w:r>
        <w:rPr>
          <w:sz w:val="20"/>
        </w:rPr>
        <w:t>představuje</w:t>
      </w:r>
      <w:r>
        <w:rPr>
          <w:spacing w:val="-7"/>
          <w:sz w:val="20"/>
        </w:rPr>
        <w:t> </w:t>
      </w:r>
      <w:r>
        <w:rPr>
          <w:sz w:val="20"/>
        </w:rPr>
        <w:t>45,00</w:t>
      </w:r>
      <w:r>
        <w:rPr>
          <w:spacing w:val="-3"/>
          <w:sz w:val="20"/>
        </w:rPr>
        <w:t> </w:t>
      </w:r>
      <w:r>
        <w:rPr>
          <w:sz w:val="20"/>
        </w:rPr>
        <w:t>%</w:t>
      </w:r>
      <w:r>
        <w:rPr>
          <w:spacing w:val="-7"/>
          <w:sz w:val="20"/>
        </w:rPr>
        <w:t> </w:t>
      </w:r>
      <w:r>
        <w:rPr>
          <w:sz w:val="20"/>
        </w:rPr>
        <w:t>základu</w:t>
      </w:r>
      <w:r>
        <w:rPr>
          <w:spacing w:val="-7"/>
          <w:sz w:val="20"/>
        </w:rPr>
        <w:t> </w:t>
      </w:r>
      <w:r>
        <w:rPr>
          <w:sz w:val="20"/>
        </w:rPr>
        <w:t>pro</w:t>
      </w:r>
      <w:r>
        <w:rPr>
          <w:spacing w:val="-6"/>
          <w:sz w:val="20"/>
        </w:rPr>
        <w:t> </w:t>
      </w:r>
      <w:r>
        <w:rPr>
          <w:sz w:val="20"/>
        </w:rPr>
        <w:t>stanovení</w:t>
      </w:r>
      <w:r>
        <w:rPr>
          <w:spacing w:val="-8"/>
          <w:sz w:val="20"/>
        </w:rPr>
        <w:t> </w:t>
      </w:r>
      <w:r>
        <w:rPr>
          <w:spacing w:val="-2"/>
          <w:sz w:val="20"/>
        </w:rPr>
        <w:t>podpory.</w:t>
      </w:r>
    </w:p>
    <w:p>
      <w:pPr>
        <w:pStyle w:val="ListParagraph"/>
        <w:numPr>
          <w:ilvl w:val="0"/>
          <w:numId w:val="2"/>
        </w:numPr>
        <w:tabs>
          <w:tab w:pos="742" w:val="left" w:leader="none"/>
        </w:tabs>
        <w:spacing w:line="240" w:lineRule="auto" w:before="121" w:after="0"/>
        <w:ind w:left="741" w:right="110" w:hanging="360"/>
        <w:jc w:val="both"/>
        <w:rPr>
          <w:sz w:val="20"/>
        </w:rPr>
      </w:pPr>
      <w:r>
        <w:rPr>
          <w:sz w:val="20"/>
        </w:rPr>
        <w:t>Skutečná</w:t>
      </w:r>
      <w:r>
        <w:rPr>
          <w:spacing w:val="17"/>
          <w:sz w:val="20"/>
        </w:rPr>
        <w:t> </w:t>
      </w:r>
      <w:r>
        <w:rPr>
          <w:sz w:val="20"/>
        </w:rPr>
        <w:t>výše</w:t>
      </w:r>
      <w:r>
        <w:rPr>
          <w:spacing w:val="15"/>
          <w:sz w:val="20"/>
        </w:rPr>
        <w:t> </w:t>
      </w:r>
      <w:r>
        <w:rPr>
          <w:sz w:val="20"/>
        </w:rPr>
        <w:t>podpory</w:t>
      </w:r>
      <w:r>
        <w:rPr>
          <w:spacing w:val="19"/>
          <w:sz w:val="20"/>
        </w:rPr>
        <w:t> </w:t>
      </w:r>
      <w:r>
        <w:rPr>
          <w:sz w:val="20"/>
        </w:rPr>
        <w:t>je</w:t>
      </w:r>
      <w:r>
        <w:rPr>
          <w:spacing w:val="18"/>
          <w:sz w:val="20"/>
        </w:rPr>
        <w:t> </w:t>
      </w:r>
      <w:r>
        <w:rPr>
          <w:sz w:val="20"/>
        </w:rPr>
        <w:t>limitována</w:t>
      </w:r>
      <w:r>
        <w:rPr>
          <w:spacing w:val="18"/>
          <w:sz w:val="20"/>
        </w:rPr>
        <w:t> </w:t>
      </w:r>
      <w:r>
        <w:rPr>
          <w:sz w:val="20"/>
        </w:rPr>
        <w:t>částkou</w:t>
      </w:r>
      <w:r>
        <w:rPr>
          <w:spacing w:val="19"/>
          <w:sz w:val="20"/>
        </w:rPr>
        <w:t> </w:t>
      </w:r>
      <w:r>
        <w:rPr>
          <w:sz w:val="20"/>
        </w:rPr>
        <w:t>uvedenou</w:t>
      </w:r>
      <w:r>
        <w:rPr>
          <w:spacing w:val="17"/>
          <w:sz w:val="20"/>
        </w:rPr>
        <w:t> </w:t>
      </w:r>
      <w:r>
        <w:rPr>
          <w:sz w:val="20"/>
        </w:rPr>
        <w:t>v</w:t>
      </w:r>
      <w:r>
        <w:rPr>
          <w:spacing w:val="17"/>
          <w:sz w:val="20"/>
        </w:rPr>
        <w:t> </w:t>
      </w:r>
      <w:r>
        <w:rPr>
          <w:sz w:val="20"/>
        </w:rPr>
        <w:t>bodu</w:t>
      </w:r>
      <w:r>
        <w:rPr>
          <w:spacing w:val="17"/>
          <w:sz w:val="20"/>
        </w:rPr>
        <w:t> </w:t>
      </w:r>
      <w:r>
        <w:rPr>
          <w:sz w:val="20"/>
        </w:rPr>
        <w:t>1.</w:t>
      </w:r>
      <w:r>
        <w:rPr>
          <w:spacing w:val="19"/>
          <w:sz w:val="20"/>
        </w:rPr>
        <w:t> </w:t>
      </w:r>
      <w:r>
        <w:rPr>
          <w:sz w:val="20"/>
        </w:rPr>
        <w:t>Pokud</w:t>
      </w:r>
      <w:r>
        <w:rPr>
          <w:spacing w:val="20"/>
          <w:sz w:val="20"/>
        </w:rPr>
        <w:t> </w:t>
      </w:r>
      <w:r>
        <w:rPr>
          <w:sz w:val="20"/>
        </w:rPr>
        <w:t>skutečné</w:t>
      </w:r>
      <w:r>
        <w:rPr>
          <w:spacing w:val="16"/>
          <w:sz w:val="20"/>
        </w:rPr>
        <w:t> </w:t>
      </w:r>
      <w:r>
        <w:rPr>
          <w:sz w:val="20"/>
        </w:rPr>
        <w:t>výdaje</w:t>
      </w:r>
      <w:r>
        <w:rPr>
          <w:spacing w:val="18"/>
          <w:sz w:val="20"/>
        </w:rPr>
        <w:t> </w:t>
      </w:r>
      <w:r>
        <w:rPr>
          <w:sz w:val="20"/>
        </w:rPr>
        <w:t>akce</w:t>
      </w:r>
      <w:r>
        <w:rPr>
          <w:spacing w:val="16"/>
          <w:sz w:val="20"/>
        </w:rPr>
        <w:t> </w:t>
      </w:r>
      <w:r>
        <w:rPr>
          <w:sz w:val="20"/>
        </w:rPr>
        <w:t>(a</w:t>
      </w:r>
      <w:r>
        <w:rPr>
          <w:spacing w:val="18"/>
          <w:sz w:val="20"/>
        </w:rPr>
        <w:t> </w:t>
      </w:r>
      <w:r>
        <w:rPr>
          <w:sz w:val="20"/>
        </w:rPr>
        <w:t>to i</w:t>
      </w:r>
      <w:r>
        <w:rPr>
          <w:spacing w:val="-12"/>
          <w:sz w:val="20"/>
        </w:rPr>
        <w:t> </w:t>
      </w:r>
      <w:r>
        <w:rPr>
          <w:sz w:val="20"/>
        </w:rPr>
        <w:t>průběžně,</w:t>
      </w:r>
      <w:r>
        <w:rPr>
          <w:spacing w:val="-13"/>
          <w:sz w:val="20"/>
        </w:rPr>
        <w:t> </w:t>
      </w:r>
      <w:r>
        <w:rPr>
          <w:sz w:val="20"/>
        </w:rPr>
        <w:t>v</w:t>
      </w:r>
      <w:r>
        <w:rPr>
          <w:spacing w:val="-3"/>
          <w:sz w:val="20"/>
        </w:rPr>
        <w:t> </w:t>
      </w:r>
      <w:r>
        <w:rPr>
          <w:sz w:val="20"/>
        </w:rPr>
        <w:t>průběhu</w:t>
      </w:r>
      <w:r>
        <w:rPr>
          <w:spacing w:val="-14"/>
          <w:sz w:val="20"/>
        </w:rPr>
        <w:t> </w:t>
      </w:r>
      <w:r>
        <w:rPr>
          <w:sz w:val="20"/>
        </w:rPr>
        <w:t>realizace</w:t>
      </w:r>
      <w:r>
        <w:rPr>
          <w:spacing w:val="-14"/>
          <w:sz w:val="20"/>
        </w:rPr>
        <w:t> </w:t>
      </w:r>
      <w:r>
        <w:rPr>
          <w:sz w:val="20"/>
        </w:rPr>
        <w:t>akce)</w:t>
      </w:r>
      <w:r>
        <w:rPr>
          <w:spacing w:val="-13"/>
          <w:sz w:val="20"/>
        </w:rPr>
        <w:t> </w:t>
      </w:r>
      <w:r>
        <w:rPr>
          <w:sz w:val="20"/>
        </w:rPr>
        <w:t>překročily</w:t>
      </w:r>
      <w:r>
        <w:rPr>
          <w:spacing w:val="-14"/>
          <w:sz w:val="20"/>
        </w:rPr>
        <w:t> </w:t>
      </w:r>
      <w:r>
        <w:rPr>
          <w:sz w:val="20"/>
        </w:rPr>
        <w:t>nebo</w:t>
      </w:r>
      <w:r>
        <w:rPr>
          <w:spacing w:val="-13"/>
          <w:sz w:val="20"/>
        </w:rPr>
        <w:t> </w:t>
      </w:r>
      <w:r>
        <w:rPr>
          <w:sz w:val="20"/>
        </w:rPr>
        <w:t>překročí</w:t>
      </w:r>
      <w:r>
        <w:rPr>
          <w:spacing w:val="-14"/>
          <w:sz w:val="20"/>
        </w:rPr>
        <w:t> </w:t>
      </w:r>
      <w:r>
        <w:rPr>
          <w:sz w:val="20"/>
        </w:rPr>
        <w:t>základ</w:t>
      </w:r>
      <w:r>
        <w:rPr>
          <w:spacing w:val="-14"/>
          <w:sz w:val="20"/>
        </w:rPr>
        <w:t> </w:t>
      </w:r>
      <w:r>
        <w:rPr>
          <w:sz w:val="20"/>
        </w:rPr>
        <w:t>pro</w:t>
      </w:r>
      <w:r>
        <w:rPr>
          <w:spacing w:val="-14"/>
          <w:sz w:val="20"/>
        </w:rPr>
        <w:t> </w:t>
      </w:r>
      <w:r>
        <w:rPr>
          <w:sz w:val="20"/>
        </w:rPr>
        <w:t>stanovení</w:t>
      </w:r>
      <w:r>
        <w:rPr>
          <w:spacing w:val="-13"/>
          <w:sz w:val="20"/>
        </w:rPr>
        <w:t> </w:t>
      </w:r>
      <w:r>
        <w:rPr>
          <w:sz w:val="20"/>
        </w:rPr>
        <w:t>podpory</w:t>
      </w:r>
      <w:r>
        <w:rPr>
          <w:spacing w:val="-14"/>
          <w:sz w:val="20"/>
        </w:rPr>
        <w:t> </w:t>
      </w:r>
      <w:r>
        <w:rPr>
          <w:sz w:val="20"/>
        </w:rPr>
        <w:t>(popřípadě jeho část odpovídající postupu realizace akce), uhradí příjemce podpory částku tohoto překročení z vlastních zdrojů.</w:t>
      </w:r>
    </w:p>
    <w:p>
      <w:pPr>
        <w:pStyle w:val="ListParagraph"/>
        <w:numPr>
          <w:ilvl w:val="0"/>
          <w:numId w:val="2"/>
        </w:numPr>
        <w:tabs>
          <w:tab w:pos="742" w:val="left" w:leader="none"/>
        </w:tabs>
        <w:spacing w:line="240" w:lineRule="auto" w:before="119" w:after="0"/>
        <w:ind w:left="741" w:right="111" w:hanging="360"/>
        <w:jc w:val="both"/>
        <w:rPr>
          <w:sz w:val="20"/>
        </w:rPr>
      </w:pPr>
      <w:r>
        <w:rPr>
          <w:sz w:val="20"/>
        </w:rPr>
        <w:t>Podporu je možno použít pouze na úhradu skutečných, účelných, efektivních, oprávněně a nezbytně vynaložených výdajů, které</w:t>
      </w:r>
      <w:r>
        <w:rPr>
          <w:spacing w:val="-1"/>
          <w:sz w:val="20"/>
        </w:rPr>
        <w:t> </w:t>
      </w:r>
      <w:r>
        <w:rPr>
          <w:sz w:val="20"/>
        </w:rPr>
        <w:t>vznikly a byly uhrazeny ode dne 1. února 2020;</w:t>
      </w:r>
      <w:r>
        <w:rPr>
          <w:spacing w:val="-2"/>
          <w:sz w:val="20"/>
        </w:rPr>
        <w:t> </w:t>
      </w:r>
      <w:r>
        <w:rPr>
          <w:sz w:val="20"/>
        </w:rPr>
        <w:t>ustanovení článku 10 Výzvy není dotčeno.</w:t>
      </w:r>
    </w:p>
    <w:p>
      <w:pPr>
        <w:pStyle w:val="ListParagraph"/>
        <w:numPr>
          <w:ilvl w:val="0"/>
          <w:numId w:val="2"/>
        </w:numPr>
        <w:tabs>
          <w:tab w:pos="742" w:val="left" w:leader="none"/>
        </w:tabs>
        <w:spacing w:line="240" w:lineRule="auto" w:before="118" w:after="0"/>
        <w:ind w:left="741" w:right="111" w:hanging="360"/>
        <w:jc w:val="both"/>
        <w:rPr>
          <w:sz w:val="20"/>
        </w:rPr>
      </w:pPr>
      <w:r>
        <w:rPr>
          <w:sz w:val="20"/>
        </w:rPr>
        <w:t>Platby</w:t>
      </w:r>
      <w:r>
        <w:rPr>
          <w:spacing w:val="59"/>
          <w:sz w:val="20"/>
        </w:rPr>
        <w:t> </w:t>
      </w:r>
      <w:r>
        <w:rPr>
          <w:sz w:val="20"/>
        </w:rPr>
        <w:t>dodavatelům</w:t>
      </w:r>
      <w:r>
        <w:rPr>
          <w:spacing w:val="59"/>
          <w:sz w:val="20"/>
        </w:rPr>
        <w:t> </w:t>
      </w:r>
      <w:r>
        <w:rPr>
          <w:sz w:val="20"/>
        </w:rPr>
        <w:t>lze</w:t>
      </w:r>
      <w:r>
        <w:rPr>
          <w:spacing w:val="57"/>
          <w:sz w:val="20"/>
        </w:rPr>
        <w:t> </w:t>
      </w:r>
      <w:r>
        <w:rPr>
          <w:sz w:val="20"/>
        </w:rPr>
        <w:t>z podpory</w:t>
      </w:r>
      <w:r>
        <w:rPr>
          <w:spacing w:val="58"/>
          <w:sz w:val="20"/>
        </w:rPr>
        <w:t> </w:t>
      </w:r>
      <w:r>
        <w:rPr>
          <w:sz w:val="20"/>
        </w:rPr>
        <w:t>poskytované</w:t>
      </w:r>
      <w:r>
        <w:rPr>
          <w:spacing w:val="57"/>
          <w:sz w:val="20"/>
        </w:rPr>
        <w:t> </w:t>
      </w:r>
      <w:r>
        <w:rPr>
          <w:sz w:val="20"/>
        </w:rPr>
        <w:t>Fondem</w:t>
      </w:r>
      <w:r>
        <w:rPr>
          <w:spacing w:val="59"/>
          <w:sz w:val="20"/>
        </w:rPr>
        <w:t> </w:t>
      </w:r>
      <w:r>
        <w:rPr>
          <w:sz w:val="20"/>
        </w:rPr>
        <w:t>hradit</w:t>
      </w:r>
      <w:r>
        <w:rPr>
          <w:spacing w:val="58"/>
          <w:sz w:val="20"/>
        </w:rPr>
        <w:t> </w:t>
      </w:r>
      <w:r>
        <w:rPr>
          <w:sz w:val="20"/>
        </w:rPr>
        <w:t>pouze</w:t>
      </w:r>
      <w:r>
        <w:rPr>
          <w:spacing w:val="57"/>
          <w:sz w:val="20"/>
        </w:rPr>
        <w:t> </w:t>
      </w:r>
      <w:r>
        <w:rPr>
          <w:sz w:val="20"/>
        </w:rPr>
        <w:t>za</w:t>
      </w:r>
      <w:r>
        <w:rPr>
          <w:spacing w:val="61"/>
          <w:sz w:val="20"/>
        </w:rPr>
        <w:t> </w:t>
      </w:r>
      <w:r>
        <w:rPr>
          <w:sz w:val="20"/>
        </w:rPr>
        <w:t>stavební</w:t>
      </w:r>
      <w:r>
        <w:rPr>
          <w:spacing w:val="60"/>
          <w:sz w:val="20"/>
        </w:rPr>
        <w:t> </w:t>
      </w:r>
      <w:r>
        <w:rPr>
          <w:sz w:val="20"/>
        </w:rPr>
        <w:t>práce,</w:t>
      </w:r>
      <w:r>
        <w:rPr>
          <w:spacing w:val="61"/>
          <w:sz w:val="20"/>
        </w:rPr>
        <w:t> </w:t>
      </w:r>
      <w:r>
        <w:rPr>
          <w:sz w:val="20"/>
        </w:rPr>
        <w:t>služby a dodávky na realizaci akce.</w:t>
      </w:r>
    </w:p>
    <w:p>
      <w:pPr>
        <w:pStyle w:val="ListParagraph"/>
        <w:numPr>
          <w:ilvl w:val="0"/>
          <w:numId w:val="2"/>
        </w:numPr>
        <w:tabs>
          <w:tab w:pos="742" w:val="left" w:leader="none"/>
        </w:tabs>
        <w:spacing w:line="240" w:lineRule="auto" w:before="121" w:after="0"/>
        <w:ind w:left="741" w:right="113" w:hanging="360"/>
        <w:jc w:val="both"/>
        <w:rPr>
          <w:sz w:val="20"/>
        </w:rPr>
      </w:pPr>
      <w:r>
        <w:rPr>
          <w:sz w:val="20"/>
        </w:rPr>
        <w:t>Při určování způsobilých výdajů akce a z nich odvozené výše podpory se bude vycházet ze znění</w:t>
      </w:r>
      <w:r>
        <w:rPr>
          <w:spacing w:val="40"/>
          <w:sz w:val="20"/>
        </w:rPr>
        <w:t> </w:t>
      </w:r>
      <w:r>
        <w:rPr>
          <w:sz w:val="20"/>
        </w:rPr>
        <w:t>článků 10 a 11 Výzvy.</w:t>
      </w:r>
    </w:p>
    <w:p>
      <w:pPr>
        <w:pStyle w:val="BodyText"/>
        <w:spacing w:before="2"/>
        <w:ind w:left="0"/>
        <w:rPr>
          <w:sz w:val="36"/>
        </w:rPr>
      </w:pPr>
    </w:p>
    <w:p>
      <w:pPr>
        <w:pStyle w:val="Heading1"/>
        <w:spacing w:before="1"/>
        <w:ind w:left="3415"/>
      </w:pPr>
      <w:r>
        <w:rPr>
          <w:spacing w:val="-4"/>
        </w:rPr>
        <w:t>III.</w:t>
      </w:r>
    </w:p>
    <w:p>
      <w:pPr>
        <w:pStyle w:val="Heading2"/>
        <w:ind w:left="3412" w:right="3148"/>
      </w:pPr>
      <w:r>
        <w:rPr/>
        <w:t>Platební</w:t>
      </w:r>
      <w:r>
        <w:rPr>
          <w:spacing w:val="-9"/>
        </w:rPr>
        <w:t> </w:t>
      </w:r>
      <w:r>
        <w:rPr>
          <w:spacing w:val="-2"/>
        </w:rPr>
        <w:t>podmínky</w:t>
      </w:r>
    </w:p>
    <w:p>
      <w:pPr>
        <w:pStyle w:val="BodyText"/>
        <w:spacing w:before="12"/>
        <w:ind w:left="0"/>
        <w:rPr>
          <w:b/>
          <w:sz w:val="17"/>
        </w:rPr>
      </w:pPr>
    </w:p>
    <w:p>
      <w:pPr>
        <w:pStyle w:val="ListParagraph"/>
        <w:numPr>
          <w:ilvl w:val="0"/>
          <w:numId w:val="3"/>
        </w:numPr>
        <w:tabs>
          <w:tab w:pos="666" w:val="left" w:leader="none"/>
        </w:tabs>
        <w:spacing w:line="240" w:lineRule="auto" w:before="0" w:after="0"/>
        <w:ind w:left="665" w:right="116" w:hanging="284"/>
        <w:jc w:val="left"/>
        <w:rPr>
          <w:sz w:val="20"/>
        </w:rPr>
      </w:pPr>
      <w:r>
        <w:rPr>
          <w:sz w:val="20"/>
        </w:rPr>
        <w:t>Podpora bude poskytnuta bankovním převodem peněžních prostředků z bankovního účtu Fondu na</w:t>
      </w:r>
      <w:r>
        <w:rPr>
          <w:spacing w:val="80"/>
          <w:sz w:val="20"/>
        </w:rPr>
        <w:t> </w:t>
      </w:r>
      <w:r>
        <w:rPr>
          <w:sz w:val="20"/>
        </w:rPr>
        <w:t>bankovní účet příjemce podpory.</w:t>
      </w:r>
    </w:p>
    <w:p>
      <w:pPr>
        <w:pStyle w:val="ListParagraph"/>
        <w:numPr>
          <w:ilvl w:val="0"/>
          <w:numId w:val="3"/>
        </w:numPr>
        <w:tabs>
          <w:tab w:pos="666" w:val="left" w:leader="none"/>
        </w:tabs>
        <w:spacing w:line="240" w:lineRule="auto" w:before="121" w:after="0"/>
        <w:ind w:left="665" w:right="113" w:hanging="284"/>
        <w:jc w:val="left"/>
        <w:rPr>
          <w:sz w:val="20"/>
        </w:rPr>
      </w:pPr>
      <w:r>
        <w:rPr>
          <w:sz w:val="20"/>
        </w:rPr>
        <w:t>Fond poskytne</w:t>
      </w:r>
      <w:r>
        <w:rPr>
          <w:spacing w:val="-1"/>
          <w:sz w:val="20"/>
        </w:rPr>
        <w:t> </w:t>
      </w:r>
      <w:r>
        <w:rPr>
          <w:sz w:val="20"/>
        </w:rPr>
        <w:t>finanční</w:t>
      </w:r>
      <w:r>
        <w:rPr>
          <w:spacing w:val="-1"/>
          <w:sz w:val="20"/>
        </w:rPr>
        <w:t> </w:t>
      </w:r>
      <w:r>
        <w:rPr>
          <w:sz w:val="20"/>
        </w:rPr>
        <w:t>prostředky postupem</w:t>
      </w:r>
      <w:r>
        <w:rPr>
          <w:spacing w:val="-2"/>
          <w:sz w:val="20"/>
        </w:rPr>
        <w:t> </w:t>
      </w:r>
      <w:r>
        <w:rPr>
          <w:sz w:val="20"/>
        </w:rPr>
        <w:t>stanoveným touto Smlouvou tak, aby</w:t>
      </w:r>
      <w:r>
        <w:rPr>
          <w:spacing w:val="-1"/>
          <w:sz w:val="20"/>
        </w:rPr>
        <w:t> </w:t>
      </w:r>
      <w:r>
        <w:rPr>
          <w:sz w:val="20"/>
        </w:rPr>
        <w:t>byl</w:t>
      </w:r>
      <w:r>
        <w:rPr>
          <w:spacing w:val="-1"/>
          <w:sz w:val="20"/>
        </w:rPr>
        <w:t> </w:t>
      </w:r>
      <w:r>
        <w:rPr>
          <w:sz w:val="20"/>
        </w:rPr>
        <w:t>dodržen poměr podpory a vlastních zdrojů vyplývající z níže uvedených částek.</w:t>
      </w:r>
    </w:p>
    <w:p>
      <w:pPr>
        <w:pStyle w:val="ListParagraph"/>
        <w:numPr>
          <w:ilvl w:val="0"/>
          <w:numId w:val="3"/>
        </w:numPr>
        <w:tabs>
          <w:tab w:pos="666" w:val="left" w:leader="none"/>
        </w:tabs>
        <w:spacing w:line="240" w:lineRule="auto" w:before="120" w:after="0"/>
        <w:ind w:left="665" w:right="0" w:hanging="284"/>
        <w:jc w:val="left"/>
        <w:rPr>
          <w:sz w:val="20"/>
        </w:rPr>
      </w:pPr>
      <w:r>
        <w:rPr>
          <w:sz w:val="20"/>
        </w:rPr>
        <w:t>Při</w:t>
      </w:r>
      <w:r>
        <w:rPr>
          <w:spacing w:val="-8"/>
          <w:sz w:val="20"/>
        </w:rPr>
        <w:t> </w:t>
      </w:r>
      <w:r>
        <w:rPr>
          <w:sz w:val="20"/>
        </w:rPr>
        <w:t>splnění</w:t>
      </w:r>
      <w:r>
        <w:rPr>
          <w:spacing w:val="-8"/>
          <w:sz w:val="20"/>
        </w:rPr>
        <w:t> </w:t>
      </w:r>
      <w:r>
        <w:rPr>
          <w:sz w:val="20"/>
        </w:rPr>
        <w:t>příslušných</w:t>
      </w:r>
      <w:r>
        <w:rPr>
          <w:spacing w:val="-7"/>
          <w:sz w:val="20"/>
        </w:rPr>
        <w:t> </w:t>
      </w:r>
      <w:r>
        <w:rPr>
          <w:sz w:val="20"/>
        </w:rPr>
        <w:t>podmínek</w:t>
      </w:r>
      <w:r>
        <w:rPr>
          <w:spacing w:val="-8"/>
          <w:sz w:val="20"/>
        </w:rPr>
        <w:t> </w:t>
      </w:r>
      <w:r>
        <w:rPr>
          <w:sz w:val="20"/>
        </w:rPr>
        <w:t>této</w:t>
      </w:r>
      <w:r>
        <w:rPr>
          <w:spacing w:val="-7"/>
          <w:sz w:val="20"/>
        </w:rPr>
        <w:t> </w:t>
      </w:r>
      <w:r>
        <w:rPr>
          <w:sz w:val="20"/>
        </w:rPr>
        <w:t>Smlouvy</w:t>
      </w:r>
      <w:r>
        <w:rPr>
          <w:spacing w:val="-8"/>
          <w:sz w:val="20"/>
        </w:rPr>
        <w:t> </w:t>
      </w:r>
      <w:r>
        <w:rPr>
          <w:sz w:val="20"/>
        </w:rPr>
        <w:t>poskytne</w:t>
      </w:r>
      <w:r>
        <w:rPr>
          <w:spacing w:val="-9"/>
          <w:sz w:val="20"/>
        </w:rPr>
        <w:t> </w:t>
      </w:r>
      <w:r>
        <w:rPr>
          <w:sz w:val="20"/>
        </w:rPr>
        <w:t>Fond</w:t>
      </w:r>
      <w:r>
        <w:rPr>
          <w:spacing w:val="-7"/>
          <w:sz w:val="20"/>
        </w:rPr>
        <w:t> </w:t>
      </w:r>
      <w:r>
        <w:rPr>
          <w:sz w:val="20"/>
        </w:rPr>
        <w:t>podporu</w:t>
      </w:r>
      <w:r>
        <w:rPr>
          <w:spacing w:val="-7"/>
          <w:sz w:val="20"/>
        </w:rPr>
        <w:t> </w:t>
      </w:r>
      <w:r>
        <w:rPr>
          <w:spacing w:val="-2"/>
          <w:sz w:val="20"/>
        </w:rPr>
        <w:t>takto:</w:t>
      </w:r>
    </w:p>
    <w:p>
      <w:pPr>
        <w:pStyle w:val="BodyText"/>
        <w:spacing w:before="1"/>
        <w:ind w:left="0"/>
        <w:rPr>
          <w:sz w:val="9"/>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4866"/>
      </w:tblGrid>
      <w:tr>
        <w:trPr>
          <w:trHeight w:val="505" w:hRule="atLeast"/>
        </w:trPr>
        <w:tc>
          <w:tcPr>
            <w:tcW w:w="4532" w:type="dxa"/>
          </w:tcPr>
          <w:p>
            <w:pPr>
              <w:pStyle w:val="TableParagraph"/>
              <w:spacing w:before="120"/>
              <w:ind w:left="1996"/>
              <w:rPr>
                <w:sz w:val="20"/>
              </w:rPr>
            </w:pPr>
            <w:r>
              <w:rPr>
                <w:sz w:val="20"/>
              </w:rPr>
              <w:t>v </w:t>
            </w:r>
            <w:r>
              <w:rPr>
                <w:spacing w:val="-4"/>
                <w:sz w:val="20"/>
              </w:rPr>
              <w:t>roce</w:t>
            </w:r>
          </w:p>
        </w:tc>
        <w:tc>
          <w:tcPr>
            <w:tcW w:w="4866" w:type="dxa"/>
          </w:tcPr>
          <w:p>
            <w:pPr>
              <w:pStyle w:val="TableParagraph"/>
              <w:spacing w:before="120"/>
              <w:ind w:left="1853" w:right="1850"/>
              <w:jc w:val="center"/>
              <w:rPr>
                <w:sz w:val="20"/>
              </w:rPr>
            </w:pPr>
            <w:r>
              <w:rPr>
                <w:sz w:val="20"/>
              </w:rPr>
              <w:t>ve</w:t>
            </w:r>
            <w:r>
              <w:rPr>
                <w:spacing w:val="-4"/>
                <w:sz w:val="20"/>
              </w:rPr>
              <w:t> </w:t>
            </w:r>
            <w:r>
              <w:rPr>
                <w:sz w:val="20"/>
              </w:rPr>
              <w:t>výši</w:t>
            </w:r>
            <w:r>
              <w:rPr>
                <w:spacing w:val="-4"/>
                <w:sz w:val="20"/>
              </w:rPr>
              <w:t> (Kč)</w:t>
            </w:r>
          </w:p>
        </w:tc>
      </w:tr>
      <w:tr>
        <w:trPr>
          <w:trHeight w:val="506" w:hRule="atLeast"/>
        </w:trPr>
        <w:tc>
          <w:tcPr>
            <w:tcW w:w="4532" w:type="dxa"/>
          </w:tcPr>
          <w:p>
            <w:pPr>
              <w:pStyle w:val="TableParagraph"/>
              <w:spacing w:before="120"/>
              <w:ind w:left="2049"/>
              <w:rPr>
                <w:sz w:val="20"/>
              </w:rPr>
            </w:pPr>
            <w:r>
              <w:rPr>
                <w:spacing w:val="-4"/>
                <w:sz w:val="20"/>
              </w:rPr>
              <w:t>2023</w:t>
            </w:r>
          </w:p>
        </w:tc>
        <w:tc>
          <w:tcPr>
            <w:tcW w:w="4866" w:type="dxa"/>
          </w:tcPr>
          <w:p>
            <w:pPr>
              <w:pStyle w:val="TableParagraph"/>
              <w:spacing w:before="120"/>
              <w:ind w:left="1857" w:right="1850"/>
              <w:jc w:val="center"/>
              <w:rPr>
                <w:sz w:val="20"/>
              </w:rPr>
            </w:pPr>
            <w:r>
              <w:rPr>
                <w:sz w:val="20"/>
              </w:rPr>
              <w:t>5</w:t>
            </w:r>
            <w:r>
              <w:rPr>
                <w:spacing w:val="-2"/>
                <w:sz w:val="20"/>
              </w:rPr>
              <w:t> </w:t>
            </w:r>
            <w:r>
              <w:rPr>
                <w:sz w:val="20"/>
              </w:rPr>
              <w:t>160</w:t>
            </w:r>
            <w:r>
              <w:rPr>
                <w:spacing w:val="-1"/>
                <w:sz w:val="20"/>
              </w:rPr>
              <w:t> </w:t>
            </w:r>
            <w:r>
              <w:rPr>
                <w:spacing w:val="-2"/>
                <w:sz w:val="20"/>
              </w:rPr>
              <w:t>483,43</w:t>
            </w:r>
          </w:p>
        </w:tc>
      </w:tr>
    </w:tbl>
    <w:p>
      <w:pPr>
        <w:pStyle w:val="BodyText"/>
        <w:spacing w:before="121"/>
        <w:ind w:left="382"/>
        <w:jc w:val="both"/>
      </w:pPr>
      <w:r>
        <w:rPr/>
        <w:t>O</w:t>
      </w:r>
      <w:r>
        <w:rPr>
          <w:spacing w:val="-5"/>
        </w:rPr>
        <w:t> </w:t>
      </w:r>
      <w:r>
        <w:rPr/>
        <w:t>prostředky</w:t>
      </w:r>
      <w:r>
        <w:rPr>
          <w:spacing w:val="-6"/>
        </w:rPr>
        <w:t> </w:t>
      </w:r>
      <w:r>
        <w:rPr/>
        <w:t>nevyčerpané</w:t>
      </w:r>
      <w:r>
        <w:rPr>
          <w:spacing w:val="-4"/>
        </w:rPr>
        <w:t> </w:t>
      </w:r>
      <w:r>
        <w:rPr/>
        <w:t>v</w:t>
      </w:r>
      <w:r>
        <w:rPr>
          <w:spacing w:val="-2"/>
        </w:rPr>
        <w:t> </w:t>
      </w:r>
      <w:r>
        <w:rPr/>
        <w:t>daném</w:t>
      </w:r>
      <w:r>
        <w:rPr>
          <w:spacing w:val="-7"/>
        </w:rPr>
        <w:t> </w:t>
      </w:r>
      <w:r>
        <w:rPr/>
        <w:t>roce</w:t>
      </w:r>
      <w:r>
        <w:rPr>
          <w:spacing w:val="-4"/>
        </w:rPr>
        <w:t> </w:t>
      </w:r>
      <w:r>
        <w:rPr/>
        <w:t>či</w:t>
      </w:r>
      <w:r>
        <w:rPr>
          <w:spacing w:val="-6"/>
        </w:rPr>
        <w:t> </w:t>
      </w:r>
      <w:r>
        <w:rPr/>
        <w:t>vrácené</w:t>
      </w:r>
      <w:r>
        <w:rPr>
          <w:spacing w:val="-7"/>
        </w:rPr>
        <w:t> </w:t>
      </w:r>
      <w:r>
        <w:rPr/>
        <w:t>se</w:t>
      </w:r>
      <w:r>
        <w:rPr>
          <w:spacing w:val="-4"/>
        </w:rPr>
        <w:t> </w:t>
      </w:r>
      <w:r>
        <w:rPr/>
        <w:t>zvýší</w:t>
      </w:r>
      <w:r>
        <w:rPr>
          <w:spacing w:val="-6"/>
        </w:rPr>
        <w:t> </w:t>
      </w:r>
      <w:r>
        <w:rPr/>
        <w:t>finanční</w:t>
      </w:r>
      <w:r>
        <w:rPr>
          <w:spacing w:val="-6"/>
        </w:rPr>
        <w:t> </w:t>
      </w:r>
      <w:r>
        <w:rPr/>
        <w:t>objem</w:t>
      </w:r>
      <w:r>
        <w:rPr>
          <w:spacing w:val="-7"/>
        </w:rPr>
        <w:t> </w:t>
      </w:r>
      <w:r>
        <w:rPr/>
        <w:t>následujícího</w:t>
      </w:r>
      <w:r>
        <w:rPr>
          <w:spacing w:val="-5"/>
        </w:rPr>
        <w:t> </w:t>
      </w:r>
      <w:r>
        <w:rPr>
          <w:spacing w:val="-2"/>
        </w:rPr>
        <w:t>roku.</w:t>
      </w:r>
    </w:p>
    <w:p>
      <w:pPr>
        <w:pStyle w:val="ListParagraph"/>
        <w:numPr>
          <w:ilvl w:val="0"/>
          <w:numId w:val="3"/>
        </w:numPr>
        <w:tabs>
          <w:tab w:pos="742" w:val="left" w:leader="none"/>
        </w:tabs>
        <w:spacing w:line="240" w:lineRule="auto" w:before="120" w:after="0"/>
        <w:ind w:left="741" w:right="115" w:hanging="360"/>
        <w:jc w:val="both"/>
        <w:rPr>
          <w:sz w:val="20"/>
        </w:rPr>
      </w:pPr>
      <w:r>
        <w:rPr>
          <w:sz w:val="20"/>
        </w:rPr>
        <w:t>Fond</w:t>
      </w:r>
      <w:r>
        <w:rPr>
          <w:spacing w:val="-14"/>
          <w:sz w:val="20"/>
        </w:rPr>
        <w:t> </w:t>
      </w:r>
      <w:r>
        <w:rPr>
          <w:sz w:val="20"/>
        </w:rPr>
        <w:t>není</w:t>
      </w:r>
      <w:r>
        <w:rPr>
          <w:spacing w:val="-14"/>
          <w:sz w:val="20"/>
        </w:rPr>
        <w:t> </w:t>
      </w:r>
      <w:r>
        <w:rPr>
          <w:sz w:val="20"/>
        </w:rPr>
        <w:t>povinen</w:t>
      </w:r>
      <w:r>
        <w:rPr>
          <w:spacing w:val="-14"/>
          <w:sz w:val="20"/>
        </w:rPr>
        <w:t> </w:t>
      </w:r>
      <w:r>
        <w:rPr>
          <w:sz w:val="20"/>
        </w:rPr>
        <w:t>poskytnout</w:t>
      </w:r>
      <w:r>
        <w:rPr>
          <w:spacing w:val="-13"/>
          <w:sz w:val="20"/>
        </w:rPr>
        <w:t> </w:t>
      </w:r>
      <w:r>
        <w:rPr>
          <w:sz w:val="20"/>
        </w:rPr>
        <w:t>finanční</w:t>
      </w:r>
      <w:r>
        <w:rPr>
          <w:spacing w:val="-14"/>
          <w:sz w:val="20"/>
        </w:rPr>
        <w:t> </w:t>
      </w:r>
      <w:r>
        <w:rPr>
          <w:sz w:val="20"/>
        </w:rPr>
        <w:t>prostředky</w:t>
      </w:r>
      <w:r>
        <w:rPr>
          <w:spacing w:val="-14"/>
          <w:sz w:val="20"/>
        </w:rPr>
        <w:t> </w:t>
      </w:r>
      <w:r>
        <w:rPr>
          <w:sz w:val="20"/>
        </w:rPr>
        <w:t>dříve,</w:t>
      </w:r>
      <w:r>
        <w:rPr>
          <w:spacing w:val="-13"/>
          <w:sz w:val="20"/>
        </w:rPr>
        <w:t> </w:t>
      </w:r>
      <w:r>
        <w:rPr>
          <w:sz w:val="20"/>
        </w:rPr>
        <w:t>než</w:t>
      </w:r>
      <w:r>
        <w:rPr>
          <w:spacing w:val="-14"/>
          <w:sz w:val="20"/>
        </w:rPr>
        <w:t> </w:t>
      </w:r>
      <w:r>
        <w:rPr>
          <w:sz w:val="20"/>
        </w:rPr>
        <w:t>příjemce</w:t>
      </w:r>
      <w:r>
        <w:rPr>
          <w:spacing w:val="-14"/>
          <w:sz w:val="20"/>
        </w:rPr>
        <w:t> </w:t>
      </w:r>
      <w:r>
        <w:rPr>
          <w:sz w:val="20"/>
        </w:rPr>
        <w:t>podpory</w:t>
      </w:r>
      <w:r>
        <w:rPr>
          <w:spacing w:val="-13"/>
          <w:sz w:val="20"/>
        </w:rPr>
        <w:t> </w:t>
      </w:r>
      <w:r>
        <w:rPr>
          <w:sz w:val="20"/>
        </w:rPr>
        <w:t>předloží</w:t>
      </w:r>
      <w:r>
        <w:rPr>
          <w:spacing w:val="-14"/>
          <w:sz w:val="20"/>
        </w:rPr>
        <w:t> </w:t>
      </w:r>
      <w:r>
        <w:rPr>
          <w:sz w:val="20"/>
        </w:rPr>
        <w:t>prostřednictvím agendového informačního systému Státního fondu životního prostředí České republiky (dále jen „AIS SFŽP</w:t>
      </w:r>
      <w:r>
        <w:rPr>
          <w:spacing w:val="-14"/>
          <w:sz w:val="20"/>
        </w:rPr>
        <w:t> </w:t>
      </w:r>
      <w:r>
        <w:rPr>
          <w:sz w:val="20"/>
        </w:rPr>
        <w:t>ČR“)</w:t>
      </w:r>
      <w:r>
        <w:rPr>
          <w:spacing w:val="-14"/>
          <w:sz w:val="20"/>
        </w:rPr>
        <w:t> </w:t>
      </w:r>
      <w:r>
        <w:rPr>
          <w:sz w:val="20"/>
        </w:rPr>
        <w:t>s</w:t>
      </w:r>
      <w:r>
        <w:rPr>
          <w:spacing w:val="37"/>
          <w:sz w:val="20"/>
        </w:rPr>
        <w:t> </w:t>
      </w:r>
      <w:r>
        <w:rPr>
          <w:sz w:val="20"/>
        </w:rPr>
        <w:t>žádostí</w:t>
      </w:r>
      <w:r>
        <w:rPr>
          <w:spacing w:val="-14"/>
          <w:sz w:val="20"/>
        </w:rPr>
        <w:t> </w:t>
      </w:r>
      <w:r>
        <w:rPr>
          <w:sz w:val="20"/>
        </w:rPr>
        <w:t>o</w:t>
      </w:r>
      <w:r>
        <w:rPr>
          <w:spacing w:val="-3"/>
          <w:sz w:val="20"/>
        </w:rPr>
        <w:t> </w:t>
      </w:r>
      <w:r>
        <w:rPr>
          <w:sz w:val="20"/>
        </w:rPr>
        <w:t>platbu</w:t>
      </w:r>
      <w:r>
        <w:rPr>
          <w:spacing w:val="-13"/>
          <w:sz w:val="20"/>
        </w:rPr>
        <w:t> </w:t>
      </w:r>
      <w:r>
        <w:rPr>
          <w:sz w:val="20"/>
        </w:rPr>
        <w:t>(bod</w:t>
      </w:r>
      <w:r>
        <w:rPr>
          <w:spacing w:val="-13"/>
          <w:sz w:val="20"/>
        </w:rPr>
        <w:t> </w:t>
      </w:r>
      <w:r>
        <w:rPr>
          <w:sz w:val="20"/>
        </w:rPr>
        <w:t>8)</w:t>
      </w:r>
      <w:r>
        <w:rPr>
          <w:spacing w:val="-14"/>
          <w:sz w:val="20"/>
        </w:rPr>
        <w:t> </w:t>
      </w:r>
      <w:r>
        <w:rPr>
          <w:sz w:val="20"/>
        </w:rPr>
        <w:t>příslušné</w:t>
      </w:r>
      <w:r>
        <w:rPr>
          <w:spacing w:val="-14"/>
          <w:sz w:val="20"/>
        </w:rPr>
        <w:t> </w:t>
      </w:r>
      <w:r>
        <w:rPr>
          <w:sz w:val="20"/>
        </w:rPr>
        <w:t>doklady</w:t>
      </w:r>
      <w:r>
        <w:rPr>
          <w:spacing w:val="-13"/>
          <w:sz w:val="20"/>
        </w:rPr>
        <w:t> </w:t>
      </w:r>
      <w:r>
        <w:rPr>
          <w:sz w:val="20"/>
        </w:rPr>
        <w:t>prokazující</w:t>
      </w:r>
      <w:r>
        <w:rPr>
          <w:spacing w:val="-14"/>
          <w:sz w:val="20"/>
        </w:rPr>
        <w:t> </w:t>
      </w:r>
      <w:r>
        <w:rPr>
          <w:sz w:val="20"/>
        </w:rPr>
        <w:t>oprávněnost</w:t>
      </w:r>
      <w:r>
        <w:rPr>
          <w:spacing w:val="-14"/>
          <w:sz w:val="20"/>
        </w:rPr>
        <w:t> </w:t>
      </w:r>
      <w:r>
        <w:rPr>
          <w:sz w:val="20"/>
        </w:rPr>
        <w:t>vynaložených</w:t>
      </w:r>
      <w:r>
        <w:rPr>
          <w:spacing w:val="-13"/>
          <w:sz w:val="20"/>
        </w:rPr>
        <w:t> </w:t>
      </w:r>
      <w:r>
        <w:rPr>
          <w:sz w:val="20"/>
        </w:rPr>
        <w:t>finančních</w:t>
      </w:r>
    </w:p>
    <w:p>
      <w:pPr>
        <w:spacing w:after="0" w:line="240" w:lineRule="auto"/>
        <w:jc w:val="both"/>
        <w:rPr>
          <w:sz w:val="20"/>
        </w:rPr>
        <w:sectPr>
          <w:pgSz w:w="12240" w:h="15840"/>
          <w:pgMar w:header="0" w:footer="1384" w:top="1060" w:bottom="1660" w:left="1320" w:right="1020"/>
        </w:sectPr>
      </w:pPr>
    </w:p>
    <w:p>
      <w:pPr>
        <w:pStyle w:val="BodyText"/>
        <w:spacing w:before="73"/>
        <w:ind w:left="741"/>
      </w:pPr>
      <w:r>
        <w:rPr>
          <w:spacing w:val="-2"/>
        </w:rPr>
        <w:t>prostředků.</w:t>
      </w:r>
    </w:p>
    <w:p>
      <w:pPr>
        <w:pStyle w:val="ListParagraph"/>
        <w:numPr>
          <w:ilvl w:val="0"/>
          <w:numId w:val="3"/>
        </w:numPr>
        <w:tabs>
          <w:tab w:pos="666" w:val="left" w:leader="none"/>
        </w:tabs>
        <w:spacing w:line="240" w:lineRule="auto" w:before="120" w:after="0"/>
        <w:ind w:left="665" w:right="113" w:hanging="284"/>
        <w:jc w:val="both"/>
        <w:rPr>
          <w:sz w:val="20"/>
        </w:rPr>
      </w:pPr>
      <w:r>
        <w:rPr>
          <w:sz w:val="20"/>
        </w:rPr>
        <w:t>Fond je oprávněn pozastavit (či nezahájit) poskytování podpory, pokud zjistí, že příjemce podpory nesplnil</w:t>
      </w:r>
      <w:r>
        <w:rPr>
          <w:spacing w:val="-5"/>
          <w:sz w:val="20"/>
        </w:rPr>
        <w:t> </w:t>
      </w:r>
      <w:r>
        <w:rPr>
          <w:sz w:val="20"/>
        </w:rPr>
        <w:t>nebo</w:t>
      </w:r>
      <w:r>
        <w:rPr>
          <w:spacing w:val="-2"/>
          <w:sz w:val="20"/>
        </w:rPr>
        <w:t> </w:t>
      </w:r>
      <w:r>
        <w:rPr>
          <w:sz w:val="20"/>
        </w:rPr>
        <w:t>neplní</w:t>
      </w:r>
      <w:r>
        <w:rPr>
          <w:spacing w:val="-5"/>
          <w:sz w:val="20"/>
        </w:rPr>
        <w:t> </w:t>
      </w:r>
      <w:r>
        <w:rPr>
          <w:sz w:val="20"/>
        </w:rPr>
        <w:t>některou</w:t>
      </w:r>
      <w:r>
        <w:rPr>
          <w:spacing w:val="-4"/>
          <w:sz w:val="20"/>
        </w:rPr>
        <w:t> </w:t>
      </w:r>
      <w:r>
        <w:rPr>
          <w:sz w:val="20"/>
        </w:rPr>
        <w:t>z</w:t>
      </w:r>
      <w:r>
        <w:rPr>
          <w:spacing w:val="-3"/>
          <w:sz w:val="20"/>
        </w:rPr>
        <w:t> </w:t>
      </w:r>
      <w:r>
        <w:rPr>
          <w:sz w:val="20"/>
        </w:rPr>
        <w:t>povinností</w:t>
      </w:r>
      <w:r>
        <w:rPr>
          <w:spacing w:val="-5"/>
          <w:sz w:val="20"/>
        </w:rPr>
        <w:t> </w:t>
      </w:r>
      <w:r>
        <w:rPr>
          <w:sz w:val="20"/>
        </w:rPr>
        <w:t>stanovených</w:t>
      </w:r>
      <w:r>
        <w:rPr>
          <w:spacing w:val="-4"/>
          <w:sz w:val="20"/>
        </w:rPr>
        <w:t> </w:t>
      </w:r>
      <w:r>
        <w:rPr>
          <w:sz w:val="20"/>
        </w:rPr>
        <w:t>touto</w:t>
      </w:r>
      <w:r>
        <w:rPr>
          <w:spacing w:val="-3"/>
          <w:sz w:val="20"/>
        </w:rPr>
        <w:t> </w:t>
      </w:r>
      <w:r>
        <w:rPr>
          <w:sz w:val="20"/>
        </w:rPr>
        <w:t>Smlouvou,</w:t>
      </w:r>
      <w:r>
        <w:rPr>
          <w:spacing w:val="-4"/>
          <w:sz w:val="20"/>
        </w:rPr>
        <w:t> </w:t>
      </w:r>
      <w:r>
        <w:rPr>
          <w:sz w:val="20"/>
        </w:rPr>
        <w:t>či</w:t>
      </w:r>
      <w:r>
        <w:rPr>
          <w:spacing w:val="-5"/>
          <w:sz w:val="20"/>
        </w:rPr>
        <w:t> </w:t>
      </w:r>
      <w:r>
        <w:rPr>
          <w:sz w:val="20"/>
        </w:rPr>
        <w:t>je</w:t>
      </w:r>
      <w:r>
        <w:rPr>
          <w:spacing w:val="-5"/>
          <w:sz w:val="20"/>
        </w:rPr>
        <w:t> </w:t>
      </w:r>
      <w:r>
        <w:rPr>
          <w:sz w:val="20"/>
        </w:rPr>
        <w:t>plnění</w:t>
      </w:r>
      <w:r>
        <w:rPr>
          <w:spacing w:val="-5"/>
          <w:sz w:val="20"/>
        </w:rPr>
        <w:t> </w:t>
      </w:r>
      <w:r>
        <w:rPr>
          <w:sz w:val="20"/>
        </w:rPr>
        <w:t>některé</w:t>
      </w:r>
      <w:r>
        <w:rPr>
          <w:spacing w:val="-5"/>
          <w:sz w:val="20"/>
        </w:rPr>
        <w:t> </w:t>
      </w:r>
      <w:r>
        <w:rPr>
          <w:sz w:val="20"/>
        </w:rPr>
        <w:t>povinnosti vážně ohroženo. Ustanovení článku V bodu 1 tím není dotčeno.</w:t>
      </w:r>
    </w:p>
    <w:p>
      <w:pPr>
        <w:pStyle w:val="ListParagraph"/>
        <w:numPr>
          <w:ilvl w:val="0"/>
          <w:numId w:val="3"/>
        </w:numPr>
        <w:tabs>
          <w:tab w:pos="666" w:val="left" w:leader="none"/>
        </w:tabs>
        <w:spacing w:line="240" w:lineRule="auto" w:before="122" w:after="0"/>
        <w:ind w:left="665" w:right="110" w:hanging="284"/>
        <w:jc w:val="both"/>
        <w:rPr>
          <w:sz w:val="20"/>
        </w:rPr>
      </w:pPr>
      <w:r>
        <w:rPr>
          <w:sz w:val="20"/>
        </w:rPr>
        <w:t>Příjemce</w:t>
      </w:r>
      <w:r>
        <w:rPr>
          <w:spacing w:val="-14"/>
          <w:sz w:val="20"/>
        </w:rPr>
        <w:t> </w:t>
      </w:r>
      <w:r>
        <w:rPr>
          <w:sz w:val="20"/>
        </w:rPr>
        <w:t>podpory</w:t>
      </w:r>
      <w:r>
        <w:rPr>
          <w:spacing w:val="-14"/>
          <w:sz w:val="20"/>
        </w:rPr>
        <w:t> </w:t>
      </w:r>
      <w:r>
        <w:rPr>
          <w:sz w:val="20"/>
        </w:rPr>
        <w:t>prohlašuje,</w:t>
      </w:r>
      <w:r>
        <w:rPr>
          <w:spacing w:val="-14"/>
          <w:sz w:val="20"/>
        </w:rPr>
        <w:t> </w:t>
      </w:r>
      <w:r>
        <w:rPr>
          <w:sz w:val="20"/>
        </w:rPr>
        <w:t>že</w:t>
      </w:r>
      <w:r>
        <w:rPr>
          <w:spacing w:val="-13"/>
          <w:sz w:val="20"/>
        </w:rPr>
        <w:t> </w:t>
      </w:r>
      <w:r>
        <w:rPr>
          <w:sz w:val="20"/>
        </w:rPr>
        <w:t>z</w:t>
      </w:r>
      <w:r>
        <w:rPr>
          <w:spacing w:val="-14"/>
          <w:sz w:val="20"/>
        </w:rPr>
        <w:t> </w:t>
      </w:r>
      <w:r>
        <w:rPr>
          <w:sz w:val="20"/>
        </w:rPr>
        <w:t>vlastních</w:t>
      </w:r>
      <w:r>
        <w:rPr>
          <w:spacing w:val="-14"/>
          <w:sz w:val="20"/>
        </w:rPr>
        <w:t> </w:t>
      </w:r>
      <w:r>
        <w:rPr>
          <w:sz w:val="20"/>
        </w:rPr>
        <w:t>zdrojů</w:t>
      </w:r>
      <w:r>
        <w:rPr>
          <w:spacing w:val="-13"/>
          <w:sz w:val="20"/>
        </w:rPr>
        <w:t> </w:t>
      </w:r>
      <w:r>
        <w:rPr>
          <w:sz w:val="20"/>
        </w:rPr>
        <w:t>uhradil</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přesahující</w:t>
      </w:r>
      <w:r>
        <w:rPr>
          <w:spacing w:val="-14"/>
          <w:sz w:val="20"/>
        </w:rPr>
        <w:t> </w:t>
      </w:r>
      <w:r>
        <w:rPr>
          <w:sz w:val="20"/>
        </w:rPr>
        <w:t>výši</w:t>
      </w:r>
      <w:r>
        <w:rPr>
          <w:spacing w:val="-14"/>
          <w:sz w:val="20"/>
        </w:rPr>
        <w:t> </w:t>
      </w:r>
      <w:r>
        <w:rPr>
          <w:sz w:val="20"/>
        </w:rPr>
        <w:t>poskytnuté podpory včetně výdajů připadajících na nezpůsobilé výdaje projektu.</w:t>
      </w:r>
    </w:p>
    <w:p>
      <w:pPr>
        <w:pStyle w:val="ListParagraph"/>
        <w:numPr>
          <w:ilvl w:val="0"/>
          <w:numId w:val="3"/>
        </w:numPr>
        <w:tabs>
          <w:tab w:pos="666" w:val="left" w:leader="none"/>
        </w:tabs>
        <w:spacing w:line="240" w:lineRule="auto" w:before="118" w:after="0"/>
        <w:ind w:left="665" w:right="111" w:hanging="425"/>
        <w:jc w:val="both"/>
        <w:rPr>
          <w:sz w:val="20"/>
        </w:rPr>
      </w:pPr>
      <w:r>
        <w:rPr>
          <w:sz w:val="20"/>
        </w:rPr>
        <w:t>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w:t>
      </w:r>
    </w:p>
    <w:p>
      <w:pPr>
        <w:pStyle w:val="ListParagraph"/>
        <w:numPr>
          <w:ilvl w:val="0"/>
          <w:numId w:val="3"/>
        </w:numPr>
        <w:tabs>
          <w:tab w:pos="666" w:val="left" w:leader="none"/>
        </w:tabs>
        <w:spacing w:line="240" w:lineRule="auto" w:before="121" w:after="0"/>
        <w:ind w:left="665" w:right="0" w:hanging="426"/>
        <w:jc w:val="both"/>
        <w:rPr>
          <w:sz w:val="20"/>
        </w:rPr>
      </w:pPr>
      <w:r>
        <w:rPr>
          <w:sz w:val="20"/>
        </w:rPr>
        <w:t>Žádost</w:t>
      </w:r>
      <w:r>
        <w:rPr>
          <w:spacing w:val="-6"/>
          <w:sz w:val="20"/>
        </w:rPr>
        <w:t> </w:t>
      </w:r>
      <w:r>
        <w:rPr>
          <w:sz w:val="20"/>
        </w:rPr>
        <w:t>o</w:t>
      </w:r>
      <w:r>
        <w:rPr>
          <w:spacing w:val="-3"/>
          <w:sz w:val="20"/>
        </w:rPr>
        <w:t> </w:t>
      </w:r>
      <w:r>
        <w:rPr>
          <w:sz w:val="20"/>
        </w:rPr>
        <w:t>platbu</w:t>
      </w:r>
      <w:r>
        <w:rPr>
          <w:spacing w:val="-3"/>
          <w:sz w:val="20"/>
        </w:rPr>
        <w:t> </w:t>
      </w:r>
      <w:r>
        <w:rPr>
          <w:sz w:val="20"/>
        </w:rPr>
        <w:t>bude</w:t>
      </w:r>
      <w:r>
        <w:rPr>
          <w:spacing w:val="-6"/>
          <w:sz w:val="20"/>
        </w:rPr>
        <w:t> </w:t>
      </w:r>
      <w:r>
        <w:rPr>
          <w:sz w:val="20"/>
        </w:rPr>
        <w:t>obsahovat</w:t>
      </w:r>
      <w:r>
        <w:rPr>
          <w:spacing w:val="-3"/>
          <w:sz w:val="20"/>
        </w:rPr>
        <w:t> </w:t>
      </w:r>
      <w:r>
        <w:rPr>
          <w:sz w:val="20"/>
        </w:rPr>
        <w:t>doklady</w:t>
      </w:r>
      <w:r>
        <w:rPr>
          <w:spacing w:val="-5"/>
          <w:sz w:val="20"/>
        </w:rPr>
        <w:t> </w:t>
      </w:r>
      <w:r>
        <w:rPr>
          <w:sz w:val="20"/>
        </w:rPr>
        <w:t>definované</w:t>
      </w:r>
      <w:r>
        <w:rPr>
          <w:spacing w:val="-6"/>
          <w:sz w:val="20"/>
        </w:rPr>
        <w:t> </w:t>
      </w:r>
      <w:r>
        <w:rPr>
          <w:sz w:val="20"/>
        </w:rPr>
        <w:t>v</w:t>
      </w:r>
      <w:r>
        <w:rPr>
          <w:spacing w:val="-2"/>
          <w:sz w:val="20"/>
        </w:rPr>
        <w:t> </w:t>
      </w:r>
      <w:r>
        <w:rPr>
          <w:sz w:val="20"/>
        </w:rPr>
        <w:t>čl.</w:t>
      </w:r>
      <w:r>
        <w:rPr>
          <w:spacing w:val="-5"/>
          <w:sz w:val="20"/>
        </w:rPr>
        <w:t> </w:t>
      </w:r>
      <w:r>
        <w:rPr>
          <w:sz w:val="20"/>
        </w:rPr>
        <w:t>15</w:t>
      </w:r>
      <w:r>
        <w:rPr>
          <w:spacing w:val="-5"/>
          <w:sz w:val="20"/>
        </w:rPr>
        <w:t> </w:t>
      </w:r>
      <w:r>
        <w:rPr>
          <w:sz w:val="20"/>
        </w:rPr>
        <w:t>bodu</w:t>
      </w:r>
      <w:r>
        <w:rPr>
          <w:spacing w:val="-4"/>
          <w:sz w:val="20"/>
        </w:rPr>
        <w:t> </w:t>
      </w:r>
      <w:r>
        <w:rPr>
          <w:sz w:val="20"/>
        </w:rPr>
        <w:t>15.3</w:t>
      </w:r>
      <w:r>
        <w:rPr>
          <w:spacing w:val="-4"/>
          <w:sz w:val="20"/>
        </w:rPr>
        <w:t> </w:t>
      </w:r>
      <w:r>
        <w:rPr>
          <w:spacing w:val="-2"/>
          <w:sz w:val="20"/>
        </w:rPr>
        <w:t>Výzvy.</w:t>
      </w:r>
    </w:p>
    <w:p>
      <w:pPr>
        <w:pStyle w:val="ListParagraph"/>
        <w:numPr>
          <w:ilvl w:val="0"/>
          <w:numId w:val="3"/>
        </w:numPr>
        <w:tabs>
          <w:tab w:pos="666" w:val="left" w:leader="none"/>
        </w:tabs>
        <w:spacing w:line="240" w:lineRule="auto" w:before="121" w:after="0"/>
        <w:ind w:left="665" w:right="113" w:hanging="425"/>
        <w:jc w:val="both"/>
        <w:rPr>
          <w:sz w:val="20"/>
        </w:rPr>
      </w:pPr>
      <w:r>
        <w:rPr>
          <w:sz w:val="20"/>
        </w:rPr>
        <w:t>Žádostí o platbu a předložením kopií faktur příjemce podpory mj. potvrzuje, že předložené faktury odpovídají skutečným, účelně vynaloženým a způsobilým výdajům akce.</w:t>
      </w:r>
    </w:p>
    <w:p>
      <w:pPr>
        <w:pStyle w:val="ListParagraph"/>
        <w:numPr>
          <w:ilvl w:val="0"/>
          <w:numId w:val="3"/>
        </w:numPr>
        <w:tabs>
          <w:tab w:pos="666" w:val="left" w:leader="none"/>
        </w:tabs>
        <w:spacing w:line="240" w:lineRule="auto" w:before="118" w:after="0"/>
        <w:ind w:left="665" w:right="111" w:hanging="425"/>
        <w:jc w:val="both"/>
        <w:rPr>
          <w:sz w:val="20"/>
        </w:rPr>
      </w:pPr>
      <w:r>
        <w:rPr>
          <w:sz w:val="20"/>
        </w:rPr>
        <w:t>Fondu mohou být předloženy faktury již uhrazené. Fond akceptuje předložení faktur i z roku předcházejícího uvolnění podpory, pokud fakturace odpovídá termínům realizace akce.</w:t>
      </w:r>
    </w:p>
    <w:p>
      <w:pPr>
        <w:pStyle w:val="ListParagraph"/>
        <w:numPr>
          <w:ilvl w:val="0"/>
          <w:numId w:val="3"/>
        </w:numPr>
        <w:tabs>
          <w:tab w:pos="666" w:val="left" w:leader="none"/>
        </w:tabs>
        <w:spacing w:line="240" w:lineRule="auto" w:before="121" w:after="0"/>
        <w:ind w:left="665" w:right="119" w:hanging="425"/>
        <w:jc w:val="both"/>
        <w:rPr>
          <w:sz w:val="20"/>
        </w:rPr>
      </w:pPr>
      <w:r>
        <w:rPr>
          <w:sz w:val="20"/>
        </w:rPr>
        <w:t>Fond je oprávněn vydat pokyny, které mohou uvedený výčet náležitostí změnit, popřípadě rozšířit. Příjemce</w:t>
      </w:r>
      <w:r>
        <w:rPr>
          <w:spacing w:val="-4"/>
          <w:sz w:val="20"/>
        </w:rPr>
        <w:t> </w:t>
      </w:r>
      <w:r>
        <w:rPr>
          <w:sz w:val="20"/>
        </w:rPr>
        <w:t>podpory</w:t>
      </w:r>
      <w:r>
        <w:rPr>
          <w:spacing w:val="-6"/>
          <w:sz w:val="20"/>
        </w:rPr>
        <w:t> </w:t>
      </w:r>
      <w:r>
        <w:rPr>
          <w:sz w:val="20"/>
        </w:rPr>
        <w:t>je</w:t>
      </w:r>
      <w:r>
        <w:rPr>
          <w:spacing w:val="-6"/>
          <w:sz w:val="20"/>
        </w:rPr>
        <w:t> </w:t>
      </w:r>
      <w:r>
        <w:rPr>
          <w:sz w:val="20"/>
        </w:rPr>
        <w:t>povinen</w:t>
      </w:r>
      <w:r>
        <w:rPr>
          <w:spacing w:val="-5"/>
          <w:sz w:val="20"/>
        </w:rPr>
        <w:t> </w:t>
      </w:r>
      <w:r>
        <w:rPr>
          <w:sz w:val="20"/>
        </w:rPr>
        <w:t>takové</w:t>
      </w:r>
      <w:r>
        <w:rPr>
          <w:spacing w:val="-6"/>
          <w:sz w:val="20"/>
        </w:rPr>
        <w:t> </w:t>
      </w:r>
      <w:r>
        <w:rPr>
          <w:sz w:val="20"/>
        </w:rPr>
        <w:t>pokyny</w:t>
      </w:r>
      <w:r>
        <w:rPr>
          <w:spacing w:val="-6"/>
          <w:sz w:val="20"/>
        </w:rPr>
        <w:t> </w:t>
      </w:r>
      <w:r>
        <w:rPr>
          <w:sz w:val="20"/>
        </w:rPr>
        <w:t>vydané</w:t>
      </w:r>
      <w:r>
        <w:rPr>
          <w:spacing w:val="-6"/>
          <w:sz w:val="20"/>
        </w:rPr>
        <w:t> </w:t>
      </w:r>
      <w:r>
        <w:rPr>
          <w:sz w:val="20"/>
        </w:rPr>
        <w:t>Fondem</w:t>
      </w:r>
      <w:r>
        <w:rPr>
          <w:spacing w:val="-7"/>
          <w:sz w:val="20"/>
        </w:rPr>
        <w:t> </w:t>
      </w:r>
      <w:r>
        <w:rPr>
          <w:sz w:val="20"/>
        </w:rPr>
        <w:t>splnit.</w:t>
      </w:r>
      <w:r>
        <w:rPr>
          <w:spacing w:val="-4"/>
          <w:sz w:val="20"/>
        </w:rPr>
        <w:t> </w:t>
      </w:r>
      <w:r>
        <w:rPr>
          <w:sz w:val="20"/>
        </w:rPr>
        <w:t>Tyto</w:t>
      </w:r>
      <w:r>
        <w:rPr>
          <w:spacing w:val="-5"/>
          <w:sz w:val="20"/>
        </w:rPr>
        <w:t> </w:t>
      </w:r>
      <w:r>
        <w:rPr>
          <w:sz w:val="20"/>
        </w:rPr>
        <w:t>pokyny</w:t>
      </w:r>
      <w:r>
        <w:rPr>
          <w:spacing w:val="-4"/>
          <w:sz w:val="20"/>
        </w:rPr>
        <w:t> </w:t>
      </w:r>
      <w:r>
        <w:rPr>
          <w:sz w:val="20"/>
        </w:rPr>
        <w:t>mohou</w:t>
      </w:r>
      <w:r>
        <w:rPr>
          <w:spacing w:val="-5"/>
          <w:sz w:val="20"/>
        </w:rPr>
        <w:t> </w:t>
      </w:r>
      <w:r>
        <w:rPr>
          <w:sz w:val="20"/>
        </w:rPr>
        <w:t>být</w:t>
      </w:r>
      <w:r>
        <w:rPr>
          <w:spacing w:val="-6"/>
          <w:sz w:val="20"/>
        </w:rPr>
        <w:t> </w:t>
      </w:r>
      <w:r>
        <w:rPr>
          <w:sz w:val="20"/>
        </w:rPr>
        <w:t>uvedeny</w:t>
      </w:r>
      <w:r>
        <w:rPr>
          <w:spacing w:val="-4"/>
          <w:sz w:val="20"/>
        </w:rPr>
        <w:t> </w:t>
      </w:r>
      <w:r>
        <w:rPr>
          <w:sz w:val="20"/>
        </w:rPr>
        <w:t>na formuláři finančně platebního kalendáře.</w:t>
      </w:r>
    </w:p>
    <w:p>
      <w:pPr>
        <w:pStyle w:val="ListParagraph"/>
        <w:numPr>
          <w:ilvl w:val="0"/>
          <w:numId w:val="3"/>
        </w:numPr>
        <w:tabs>
          <w:tab w:pos="666" w:val="left" w:leader="none"/>
        </w:tabs>
        <w:spacing w:line="240" w:lineRule="auto" w:before="121" w:after="0"/>
        <w:ind w:left="665" w:right="119" w:hanging="425"/>
        <w:jc w:val="both"/>
        <w:rPr>
          <w:sz w:val="20"/>
        </w:rPr>
      </w:pPr>
      <w:r>
        <w:rPr>
          <w:sz w:val="20"/>
        </w:rPr>
        <w:t>V</w:t>
      </w:r>
      <w:r>
        <w:rPr>
          <w:spacing w:val="-1"/>
          <w:sz w:val="20"/>
        </w:rPr>
        <w:t> </w:t>
      </w:r>
      <w:r>
        <w:rPr>
          <w:sz w:val="20"/>
        </w:rPr>
        <w:t>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pPr>
        <w:pStyle w:val="ListParagraph"/>
        <w:numPr>
          <w:ilvl w:val="0"/>
          <w:numId w:val="3"/>
        </w:numPr>
        <w:tabs>
          <w:tab w:pos="666" w:val="left" w:leader="none"/>
        </w:tabs>
        <w:spacing w:line="240" w:lineRule="auto" w:before="119" w:after="0"/>
        <w:ind w:left="66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2"/>
          <w:sz w:val="20"/>
        </w:rPr>
        <w:t> </w:t>
      </w:r>
      <w:r>
        <w:rPr>
          <w:sz w:val="20"/>
        </w:rPr>
        <w:t>i</w:t>
      </w:r>
      <w:r>
        <w:rPr>
          <w:spacing w:val="-3"/>
          <w:sz w:val="20"/>
        </w:rPr>
        <w:t> </w:t>
      </w:r>
      <w:r>
        <w:rPr>
          <w:sz w:val="20"/>
        </w:rPr>
        <w:t>zhotovitelem. Tato</w:t>
      </w:r>
      <w:r>
        <w:rPr>
          <w:spacing w:val="-1"/>
          <w:sz w:val="20"/>
        </w:rPr>
        <w:t> </w:t>
      </w:r>
      <w:r>
        <w:rPr>
          <w:sz w:val="20"/>
        </w:rPr>
        <w:t>oboustranná vzájemná</w:t>
      </w:r>
      <w:r>
        <w:rPr>
          <w:spacing w:val="-2"/>
          <w:sz w:val="20"/>
        </w:rPr>
        <w:t> </w:t>
      </w:r>
      <w:r>
        <w:rPr>
          <w:sz w:val="20"/>
        </w:rPr>
        <w:t>dohoda</w:t>
      </w:r>
      <w:r>
        <w:rPr>
          <w:spacing w:val="-2"/>
          <w:sz w:val="20"/>
        </w:rPr>
        <w:t> </w:t>
      </w:r>
      <w:r>
        <w:rPr>
          <w:sz w:val="20"/>
        </w:rPr>
        <w:t>musí</w:t>
      </w:r>
      <w:r>
        <w:rPr>
          <w:spacing w:val="-2"/>
          <w:sz w:val="20"/>
        </w:rPr>
        <w:t> </w:t>
      </w:r>
      <w:r>
        <w:rPr>
          <w:sz w:val="20"/>
        </w:rPr>
        <w:t>být</w:t>
      </w:r>
      <w:r>
        <w:rPr>
          <w:spacing w:val="-2"/>
          <w:sz w:val="20"/>
        </w:rPr>
        <w:t> </w:t>
      </w:r>
      <w:r>
        <w:rPr>
          <w:sz w:val="20"/>
        </w:rPr>
        <w:t>uzavřena</w:t>
      </w:r>
      <w:r>
        <w:rPr>
          <w:spacing w:val="-2"/>
          <w:sz w:val="20"/>
        </w:rPr>
        <w:t> </w:t>
      </w:r>
      <w:r>
        <w:rPr>
          <w:sz w:val="20"/>
        </w:rPr>
        <w:t>v souladu s</w:t>
      </w:r>
      <w:r>
        <w:rPr>
          <w:spacing w:val="-2"/>
          <w:sz w:val="20"/>
        </w:rPr>
        <w:t> </w:t>
      </w:r>
      <w:r>
        <w:rPr>
          <w:sz w:val="20"/>
        </w:rPr>
        <w:t>občanským zákoníkem. V dohodě musí být uvedeny smluvní strany, identifikace projektu a faktura/y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666" w:val="left" w:leader="none"/>
        </w:tabs>
        <w:spacing w:line="240" w:lineRule="auto" w:before="121" w:after="0"/>
        <w:ind w:left="665" w:right="118" w:hanging="425"/>
        <w:jc w:val="both"/>
        <w:rPr>
          <w:sz w:val="20"/>
        </w:rPr>
      </w:pPr>
      <w:r>
        <w:rPr>
          <w:sz w:val="20"/>
        </w:rPr>
        <w:t>Fond není povinen poskytnout podporu, dokud neobdrží doklady prokazující, že tato Smlouva byla uzavřena v souladu se zákonem o obcích.</w:t>
      </w:r>
    </w:p>
    <w:p>
      <w:pPr>
        <w:pStyle w:val="BodyText"/>
        <w:spacing w:before="9"/>
        <w:ind w:left="0"/>
        <w:rPr>
          <w:sz w:val="28"/>
        </w:rPr>
      </w:pPr>
    </w:p>
    <w:p>
      <w:pPr>
        <w:pStyle w:val="Heading1"/>
        <w:spacing w:before="100"/>
        <w:ind w:left="3419"/>
      </w:pPr>
      <w:r>
        <w:rPr>
          <w:spacing w:val="-5"/>
        </w:rPr>
        <w:t>IV.</w:t>
      </w:r>
    </w:p>
    <w:p>
      <w:pPr>
        <w:pStyle w:val="Heading2"/>
        <w:ind w:left="1325" w:right="1061"/>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2"/>
        <w:ind w:left="0"/>
        <w:rPr>
          <w:b/>
          <w:sz w:val="17"/>
        </w:rPr>
      </w:pPr>
    </w:p>
    <w:p>
      <w:pPr>
        <w:pStyle w:val="ListParagraph"/>
        <w:numPr>
          <w:ilvl w:val="0"/>
          <w:numId w:val="4"/>
        </w:numPr>
        <w:tabs>
          <w:tab w:pos="666" w:val="left" w:leader="none"/>
        </w:tabs>
        <w:spacing w:line="240" w:lineRule="auto" w:before="0" w:after="0"/>
        <w:ind w:left="665" w:right="0" w:hanging="284"/>
        <w:jc w:val="left"/>
        <w:rPr>
          <w:sz w:val="20"/>
        </w:rPr>
      </w:pPr>
      <w:r>
        <w:rPr>
          <w:sz w:val="20"/>
        </w:rPr>
        <w:t>Příjemce</w:t>
      </w:r>
      <w:r>
        <w:rPr>
          <w:spacing w:val="-11"/>
          <w:sz w:val="20"/>
        </w:rPr>
        <w:t> </w:t>
      </w:r>
      <w:r>
        <w:rPr>
          <w:spacing w:val="-2"/>
          <w:sz w:val="20"/>
        </w:rPr>
        <w:t>podpory:</w:t>
      </w:r>
    </w:p>
    <w:p>
      <w:pPr>
        <w:pStyle w:val="ListParagraph"/>
        <w:numPr>
          <w:ilvl w:val="1"/>
          <w:numId w:val="4"/>
        </w:numPr>
        <w:tabs>
          <w:tab w:pos="949" w:val="left" w:leader="none"/>
        </w:tabs>
        <w:spacing w:line="240" w:lineRule="auto" w:before="120" w:after="0"/>
        <w:ind w:left="948" w:right="0" w:hanging="284"/>
        <w:jc w:val="both"/>
        <w:rPr>
          <w:sz w:val="20"/>
        </w:rPr>
      </w:pPr>
      <w:r>
        <w:rPr>
          <w:sz w:val="20"/>
        </w:rPr>
        <w:t>prohlašuje,</w:t>
      </w:r>
      <w:r>
        <w:rPr>
          <w:spacing w:val="-6"/>
          <w:sz w:val="20"/>
        </w:rPr>
        <w:t> </w:t>
      </w:r>
      <w:r>
        <w:rPr>
          <w:sz w:val="20"/>
        </w:rPr>
        <w:t>že</w:t>
      </w:r>
      <w:r>
        <w:rPr>
          <w:spacing w:val="-5"/>
          <w:sz w:val="20"/>
        </w:rPr>
        <w:t> </w:t>
      </w:r>
      <w:r>
        <w:rPr>
          <w:sz w:val="20"/>
        </w:rPr>
        <w:t>splnil</w:t>
      </w:r>
      <w:r>
        <w:rPr>
          <w:spacing w:val="-5"/>
          <w:sz w:val="20"/>
        </w:rPr>
        <w:t> </w:t>
      </w:r>
      <w:r>
        <w:rPr>
          <w:sz w:val="20"/>
        </w:rPr>
        <w:t>účel</w:t>
      </w:r>
      <w:r>
        <w:rPr>
          <w:spacing w:val="-6"/>
          <w:sz w:val="20"/>
        </w:rPr>
        <w:t> </w:t>
      </w:r>
      <w:r>
        <w:rPr>
          <w:sz w:val="20"/>
        </w:rPr>
        <w:t>akce</w:t>
      </w:r>
      <w:r>
        <w:rPr>
          <w:spacing w:val="-6"/>
          <w:sz w:val="20"/>
        </w:rPr>
        <w:t> </w:t>
      </w:r>
      <w:r>
        <w:rPr>
          <w:sz w:val="20"/>
        </w:rPr>
        <w:t>tím,</w:t>
      </w:r>
      <w:r>
        <w:rPr>
          <w:spacing w:val="-6"/>
          <w:sz w:val="20"/>
        </w:rPr>
        <w:t> </w:t>
      </w:r>
      <w:r>
        <w:rPr>
          <w:spacing w:val="-5"/>
          <w:sz w:val="20"/>
        </w:rPr>
        <w:t>že:</w:t>
      </w:r>
    </w:p>
    <w:p>
      <w:pPr>
        <w:pStyle w:val="ListParagraph"/>
        <w:numPr>
          <w:ilvl w:val="2"/>
          <w:numId w:val="4"/>
        </w:numPr>
        <w:tabs>
          <w:tab w:pos="1090" w:val="left" w:leader="none"/>
        </w:tabs>
        <w:spacing w:line="240" w:lineRule="auto" w:before="121" w:after="0"/>
        <w:ind w:left="1090" w:right="115" w:hanging="281"/>
        <w:jc w:val="both"/>
        <w:rPr>
          <w:sz w:val="20"/>
        </w:rPr>
      </w:pPr>
      <w:r>
        <w:rPr>
          <w:sz w:val="20"/>
        </w:rPr>
        <w:t>akce</w:t>
      </w:r>
      <w:r>
        <w:rPr>
          <w:spacing w:val="-14"/>
          <w:sz w:val="20"/>
        </w:rPr>
        <w:t> </w:t>
      </w:r>
      <w:r>
        <w:rPr>
          <w:sz w:val="20"/>
        </w:rPr>
        <w:t>byla</w:t>
      </w:r>
      <w:r>
        <w:rPr>
          <w:spacing w:val="-14"/>
          <w:sz w:val="20"/>
        </w:rPr>
        <w:t> </w:t>
      </w:r>
      <w:r>
        <w:rPr>
          <w:sz w:val="20"/>
        </w:rPr>
        <w:t>provedena</w:t>
      </w:r>
      <w:r>
        <w:rPr>
          <w:spacing w:val="-14"/>
          <w:sz w:val="20"/>
        </w:rPr>
        <w:t> </w:t>
      </w:r>
      <w:r>
        <w:rPr>
          <w:sz w:val="20"/>
        </w:rPr>
        <w:t>v</w:t>
      </w:r>
      <w:r>
        <w:rPr>
          <w:spacing w:val="-13"/>
          <w:sz w:val="20"/>
        </w:rPr>
        <w:t> </w:t>
      </w:r>
      <w:r>
        <w:rPr>
          <w:sz w:val="20"/>
        </w:rPr>
        <w:t>souladu</w:t>
      </w:r>
      <w:r>
        <w:rPr>
          <w:spacing w:val="-13"/>
          <w:sz w:val="20"/>
        </w:rPr>
        <w:t> </w:t>
      </w:r>
      <w:r>
        <w:rPr>
          <w:sz w:val="20"/>
        </w:rPr>
        <w:t>s</w:t>
      </w:r>
      <w:r>
        <w:rPr>
          <w:spacing w:val="-4"/>
          <w:sz w:val="20"/>
        </w:rPr>
        <w:t> </w:t>
      </w:r>
      <w:r>
        <w:rPr>
          <w:sz w:val="20"/>
        </w:rPr>
        <w:t>Výzvou,</w:t>
      </w:r>
      <w:r>
        <w:rPr>
          <w:spacing w:val="-14"/>
          <w:sz w:val="20"/>
        </w:rPr>
        <w:t> </w:t>
      </w:r>
      <w:r>
        <w:rPr>
          <w:sz w:val="20"/>
        </w:rPr>
        <w:t>žádostí</w:t>
      </w:r>
      <w:r>
        <w:rPr>
          <w:spacing w:val="-14"/>
          <w:sz w:val="20"/>
        </w:rPr>
        <w:t> </w:t>
      </w:r>
      <w:r>
        <w:rPr>
          <w:sz w:val="20"/>
        </w:rPr>
        <w:t>o</w:t>
      </w:r>
      <w:r>
        <w:rPr>
          <w:spacing w:val="-14"/>
          <w:sz w:val="20"/>
        </w:rPr>
        <w:t> </w:t>
      </w:r>
      <w:r>
        <w:rPr>
          <w:sz w:val="20"/>
        </w:rPr>
        <w:t>podporu,</w:t>
      </w:r>
      <w:r>
        <w:rPr>
          <w:spacing w:val="-13"/>
          <w:sz w:val="20"/>
        </w:rPr>
        <w:t> </w:t>
      </w:r>
      <w:r>
        <w:rPr>
          <w:sz w:val="20"/>
        </w:rPr>
        <w:t>předloženou</w:t>
      </w:r>
      <w:r>
        <w:rPr>
          <w:spacing w:val="-14"/>
          <w:sz w:val="20"/>
        </w:rPr>
        <w:t> </w:t>
      </w:r>
      <w:r>
        <w:rPr>
          <w:sz w:val="20"/>
        </w:rPr>
        <w:t>projektovou</w:t>
      </w:r>
      <w:r>
        <w:rPr>
          <w:spacing w:val="-14"/>
          <w:sz w:val="20"/>
        </w:rPr>
        <w:t> </w:t>
      </w:r>
      <w:r>
        <w:rPr>
          <w:sz w:val="20"/>
        </w:rPr>
        <w:t>dokumentací včetně Fondem odsouhlasených změn, předloženým energetickým posouzením včetně Fondem odsouhlasených změn a touto Smlouvou,</w:t>
      </w:r>
    </w:p>
    <w:p>
      <w:pPr>
        <w:pStyle w:val="ListParagraph"/>
        <w:numPr>
          <w:ilvl w:val="2"/>
          <w:numId w:val="4"/>
        </w:numPr>
        <w:tabs>
          <w:tab w:pos="1090" w:val="left" w:leader="none"/>
        </w:tabs>
        <w:spacing w:line="240" w:lineRule="auto" w:before="119" w:after="0"/>
        <w:ind w:left="1090" w:right="118" w:hanging="281"/>
        <w:jc w:val="both"/>
        <w:rPr>
          <w:sz w:val="20"/>
        </w:rPr>
      </w:pPr>
      <w:r>
        <w:rPr>
          <w:sz w:val="20"/>
        </w:rPr>
        <w:t>do 25. 11. 2021 došlo k zateplení obvodových stěn, výměně výplní otvorů, zateplení stropní konstrukce a vyregulování otopné soustavy,</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byla</w:t>
      </w:r>
      <w:r>
        <w:rPr>
          <w:spacing w:val="-6"/>
          <w:sz w:val="20"/>
        </w:rPr>
        <w:t> </w:t>
      </w:r>
      <w:r>
        <w:rPr>
          <w:sz w:val="20"/>
        </w:rPr>
        <w:t>dodržena</w:t>
      </w:r>
      <w:r>
        <w:rPr>
          <w:spacing w:val="-5"/>
          <w:sz w:val="20"/>
        </w:rPr>
        <w:t> </w:t>
      </w:r>
      <w:r>
        <w:rPr>
          <w:sz w:val="20"/>
        </w:rPr>
        <w:t>ustanovení</w:t>
      </w:r>
      <w:r>
        <w:rPr>
          <w:spacing w:val="-5"/>
          <w:sz w:val="20"/>
        </w:rPr>
        <w:t> </w:t>
      </w:r>
      <w:r>
        <w:rPr>
          <w:sz w:val="20"/>
        </w:rPr>
        <w:t>Směrnice</w:t>
      </w:r>
      <w:r>
        <w:rPr>
          <w:spacing w:val="-6"/>
          <w:sz w:val="20"/>
        </w:rPr>
        <w:t> </w:t>
      </w:r>
      <w:r>
        <w:rPr>
          <w:sz w:val="20"/>
        </w:rPr>
        <w:t>MŽP</w:t>
      </w:r>
      <w:r>
        <w:rPr>
          <w:spacing w:val="-7"/>
          <w:sz w:val="20"/>
        </w:rPr>
        <w:t> </w:t>
      </w:r>
      <w:r>
        <w:rPr>
          <w:sz w:val="20"/>
        </w:rPr>
        <w:t>a</w:t>
      </w:r>
      <w:r>
        <w:rPr>
          <w:spacing w:val="-5"/>
          <w:sz w:val="20"/>
        </w:rPr>
        <w:t> </w:t>
      </w:r>
      <w:r>
        <w:rPr>
          <w:spacing w:val="-2"/>
          <w:sz w:val="20"/>
        </w:rPr>
        <w:t>Výzvy,</w:t>
      </w:r>
    </w:p>
    <w:p>
      <w:pPr>
        <w:spacing w:after="0" w:line="240" w:lineRule="auto"/>
        <w:jc w:val="both"/>
        <w:rPr>
          <w:sz w:val="20"/>
        </w:rPr>
        <w:sectPr>
          <w:pgSz w:w="12240" w:h="15840"/>
          <w:pgMar w:header="0" w:footer="1384" w:top="1060" w:bottom="1580" w:left="1320" w:right="1020"/>
        </w:sectPr>
      </w:pPr>
    </w:p>
    <w:p>
      <w:pPr>
        <w:pStyle w:val="BodyText"/>
        <w:spacing w:before="73"/>
        <w:ind w:left="1063" w:right="113"/>
        <w:jc w:val="both"/>
      </w:pPr>
      <w:r>
        <w:rPr/>
        <w:t>Příjemce podpory bere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w:t>
      </w:r>
      <w:r>
        <w:rPr>
          <w:spacing w:val="-11"/>
        </w:rPr>
        <w:t> </w:t>
      </w:r>
      <w:r>
        <w:rPr/>
        <w:t>zákonů</w:t>
      </w:r>
      <w:r>
        <w:rPr>
          <w:spacing w:val="-11"/>
        </w:rPr>
        <w:t> </w:t>
      </w:r>
      <w:r>
        <w:rPr/>
        <w:t>(rozpočtová</w:t>
      </w:r>
      <w:r>
        <w:rPr>
          <w:spacing w:val="-12"/>
        </w:rPr>
        <w:t> </w:t>
      </w:r>
      <w:r>
        <w:rPr/>
        <w:t>pravidla),</w:t>
      </w:r>
      <w:r>
        <w:rPr>
          <w:spacing w:val="-11"/>
        </w:rPr>
        <w:t> </w:t>
      </w:r>
      <w:r>
        <w:rPr/>
        <w:t>v</w:t>
      </w:r>
      <w:r>
        <w:rPr>
          <w:spacing w:val="-2"/>
        </w:rPr>
        <w:t> </w:t>
      </w:r>
      <w:r>
        <w:rPr/>
        <w:t>platném</w:t>
      </w:r>
      <w:r>
        <w:rPr>
          <w:spacing w:val="-13"/>
        </w:rPr>
        <w:t> </w:t>
      </w:r>
      <w:r>
        <w:rPr/>
        <w:t>znění,</w:t>
      </w:r>
      <w:r>
        <w:rPr>
          <w:spacing w:val="-11"/>
        </w:rPr>
        <w:t> </w:t>
      </w:r>
      <w:r>
        <w:rPr/>
        <w:t>a</w:t>
      </w:r>
      <w:r>
        <w:rPr>
          <w:spacing w:val="-12"/>
        </w:rPr>
        <w:t> </w:t>
      </w:r>
      <w:r>
        <w:rPr/>
        <w:t>že</w:t>
      </w:r>
      <w:r>
        <w:rPr>
          <w:spacing w:val="-12"/>
        </w:rPr>
        <w:t> </w:t>
      </w:r>
      <w:r>
        <w:rPr/>
        <w:t>mohou</w:t>
      </w:r>
      <w:r>
        <w:rPr>
          <w:spacing w:val="-11"/>
        </w:rPr>
        <w:t> </w:t>
      </w:r>
      <w:r>
        <w:rPr/>
        <w:t>být</w:t>
      </w:r>
      <w:r>
        <w:rPr>
          <w:spacing w:val="-12"/>
        </w:rPr>
        <w:t> </w:t>
      </w:r>
      <w:r>
        <w:rPr/>
        <w:t>uplatněny</w:t>
      </w:r>
      <w:r>
        <w:rPr>
          <w:spacing w:val="-12"/>
        </w:rPr>
        <w:t> </w:t>
      </w:r>
      <w:r>
        <w:rPr/>
        <w:t>sankce</w:t>
      </w:r>
      <w:r>
        <w:rPr>
          <w:spacing w:val="-12"/>
        </w:rPr>
        <w:t> </w:t>
      </w:r>
      <w:r>
        <w:rPr/>
        <w:t>podle tohoto zákona.</w:t>
      </w:r>
    </w:p>
    <w:p>
      <w:pPr>
        <w:pStyle w:val="ListParagraph"/>
        <w:numPr>
          <w:ilvl w:val="1"/>
          <w:numId w:val="4"/>
        </w:numPr>
        <w:tabs>
          <w:tab w:pos="949" w:val="left" w:leader="none"/>
        </w:tabs>
        <w:spacing w:line="240" w:lineRule="auto" w:before="122"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2"/>
          <w:numId w:val="4"/>
        </w:numPr>
        <w:tabs>
          <w:tab w:pos="1064" w:val="left" w:leader="none"/>
        </w:tabs>
        <w:spacing w:line="240" w:lineRule="auto" w:before="120" w:after="0"/>
        <w:ind w:left="1063" w:right="0" w:hanging="286"/>
        <w:jc w:val="both"/>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8"/>
          <w:sz w:val="20"/>
        </w:rPr>
        <w:t> </w:t>
      </w:r>
      <w:r>
        <w:rPr>
          <w:sz w:val="20"/>
        </w:rPr>
        <w:t>a</w:t>
      </w:r>
      <w:r>
        <w:rPr>
          <w:spacing w:val="-6"/>
          <w:sz w:val="20"/>
        </w:rPr>
        <w:t> </w:t>
      </w:r>
      <w:r>
        <w:rPr>
          <w:spacing w:val="-2"/>
          <w:sz w:val="20"/>
        </w:rPr>
        <w:t>Výzvy,</w:t>
      </w:r>
    </w:p>
    <w:p>
      <w:pPr>
        <w:pStyle w:val="ListParagraph"/>
        <w:numPr>
          <w:ilvl w:val="2"/>
          <w:numId w:val="4"/>
        </w:numPr>
        <w:tabs>
          <w:tab w:pos="1064" w:val="left" w:leader="none"/>
        </w:tabs>
        <w:spacing w:line="240" w:lineRule="auto" w:before="118" w:after="0"/>
        <w:ind w:left="1063" w:right="110" w:hanging="286"/>
        <w:jc w:val="both"/>
        <w:rPr>
          <w:sz w:val="20"/>
        </w:rPr>
      </w:pPr>
      <w:r>
        <w:rPr>
          <w:sz w:val="20"/>
        </w:rPr>
        <w:t>zajistí udržitelnost projektu, tj. že účel, pro který je poskytnuta podpora podle této Smlouvy, bude (u</w:t>
      </w:r>
      <w:r>
        <w:rPr>
          <w:spacing w:val="-2"/>
          <w:sz w:val="20"/>
        </w:rPr>
        <w:t> </w:t>
      </w:r>
      <w:r>
        <w:rPr>
          <w:sz w:val="20"/>
        </w:rPr>
        <w:t>relevantních</w:t>
      </w:r>
      <w:r>
        <w:rPr>
          <w:spacing w:val="-2"/>
          <w:sz w:val="20"/>
        </w:rPr>
        <w:t> </w:t>
      </w:r>
      <w:r>
        <w:rPr>
          <w:sz w:val="20"/>
        </w:rPr>
        <w:t>aktivit</w:t>
      </w:r>
      <w:r>
        <w:rPr>
          <w:spacing w:val="-3"/>
          <w:sz w:val="20"/>
        </w:rPr>
        <w:t> </w:t>
      </w:r>
      <w:r>
        <w:rPr>
          <w:sz w:val="20"/>
        </w:rPr>
        <w:t>a</w:t>
      </w:r>
      <w:r>
        <w:rPr>
          <w:spacing w:val="-2"/>
          <w:sz w:val="20"/>
        </w:rPr>
        <w:t> </w:t>
      </w:r>
      <w:r>
        <w:rPr>
          <w:sz w:val="20"/>
        </w:rPr>
        <w:t>jejich</w:t>
      </w:r>
      <w:r>
        <w:rPr>
          <w:spacing w:val="-2"/>
          <w:sz w:val="20"/>
        </w:rPr>
        <w:t> </w:t>
      </w:r>
      <w:r>
        <w:rPr>
          <w:sz w:val="20"/>
        </w:rPr>
        <w:t>výstupů) řádně</w:t>
      </w:r>
      <w:r>
        <w:rPr>
          <w:spacing w:val="-3"/>
          <w:sz w:val="20"/>
        </w:rPr>
        <w:t> </w:t>
      </w:r>
      <w:r>
        <w:rPr>
          <w:sz w:val="20"/>
        </w:rPr>
        <w:t>plněn</w:t>
      </w:r>
      <w:r>
        <w:rPr>
          <w:spacing w:val="-1"/>
          <w:sz w:val="20"/>
        </w:rPr>
        <w:t> </w:t>
      </w:r>
      <w:r>
        <w:rPr>
          <w:sz w:val="20"/>
        </w:rPr>
        <w:t>nejméně</w:t>
      </w:r>
      <w:r>
        <w:rPr>
          <w:spacing w:val="-3"/>
          <w:sz w:val="20"/>
        </w:rPr>
        <w:t> </w:t>
      </w:r>
      <w:r>
        <w:rPr>
          <w:sz w:val="20"/>
        </w:rPr>
        <w:t>po</w:t>
      </w:r>
      <w:r>
        <w:rPr>
          <w:spacing w:val="-1"/>
          <w:sz w:val="20"/>
        </w:rPr>
        <w:t> </w:t>
      </w:r>
      <w:r>
        <w:rPr>
          <w:sz w:val="20"/>
        </w:rPr>
        <w:t>dobu</w:t>
      </w:r>
      <w:r>
        <w:rPr>
          <w:spacing w:val="-1"/>
          <w:sz w:val="20"/>
        </w:rPr>
        <w:t> </w:t>
      </w:r>
      <w:r>
        <w:rPr>
          <w:sz w:val="20"/>
        </w:rPr>
        <w:t>pěti</w:t>
      </w:r>
      <w:r>
        <w:rPr>
          <w:spacing w:val="-2"/>
          <w:sz w:val="20"/>
        </w:rPr>
        <w:t> </w:t>
      </w:r>
      <w:r>
        <w:rPr>
          <w:sz w:val="20"/>
        </w:rPr>
        <w:t>let</w:t>
      </w:r>
      <w:r>
        <w:rPr>
          <w:spacing w:val="-2"/>
          <w:sz w:val="20"/>
        </w:rPr>
        <w:t> </w:t>
      </w:r>
      <w:r>
        <w:rPr>
          <w:sz w:val="20"/>
        </w:rPr>
        <w:t>od</w:t>
      </w:r>
      <w:r>
        <w:rPr>
          <w:spacing w:val="-1"/>
          <w:sz w:val="20"/>
        </w:rPr>
        <w:t> </w:t>
      </w:r>
      <w:r>
        <w:rPr>
          <w:sz w:val="20"/>
        </w:rPr>
        <w:t>ukončení</w:t>
      </w:r>
      <w:r>
        <w:rPr>
          <w:spacing w:val="-2"/>
          <w:sz w:val="20"/>
        </w:rPr>
        <w:t> </w:t>
      </w:r>
      <w:r>
        <w:rPr>
          <w:sz w:val="20"/>
        </w:rPr>
        <w:t>projektu (čl. 12 písm. f) Výzvy, včetně poznámky pod čarou č. 10 Výzvy) a zajistí, že po dobu udržitelnosti bude akce splňovat podmínky stanovené ve čl. 13 bodu 13.1 písm. g) Výzvy,</w:t>
      </w:r>
    </w:p>
    <w:p>
      <w:pPr>
        <w:pStyle w:val="ListParagraph"/>
        <w:numPr>
          <w:ilvl w:val="2"/>
          <w:numId w:val="4"/>
        </w:numPr>
        <w:tabs>
          <w:tab w:pos="1090" w:val="left" w:leader="none"/>
        </w:tabs>
        <w:spacing w:line="240" w:lineRule="auto" w:before="122" w:after="0"/>
        <w:ind w:left="1090" w:right="116" w:hanging="281"/>
        <w:jc w:val="both"/>
        <w:rPr>
          <w:sz w:val="20"/>
        </w:rPr>
      </w:pPr>
      <w:r>
        <w:rPr>
          <w:sz w:val="20"/>
        </w:rPr>
        <w:t>k</w:t>
      </w:r>
      <w:r>
        <w:rPr>
          <w:spacing w:val="-5"/>
          <w:sz w:val="20"/>
        </w:rPr>
        <w:t> </w:t>
      </w:r>
      <w:r>
        <w:rPr>
          <w:sz w:val="20"/>
        </w:rPr>
        <w:t>termínu pro předložení Závěrečného vyhodnocení akce</w:t>
      </w:r>
      <w:r>
        <w:rPr>
          <w:spacing w:val="-1"/>
          <w:sz w:val="20"/>
        </w:rPr>
        <w:t> </w:t>
      </w:r>
      <w:r>
        <w:rPr>
          <w:sz w:val="20"/>
        </w:rPr>
        <w:t>(dále</w:t>
      </w:r>
      <w:r>
        <w:rPr>
          <w:spacing w:val="-1"/>
          <w:sz w:val="20"/>
        </w:rPr>
        <w:t> </w:t>
      </w:r>
      <w:r>
        <w:rPr>
          <w:sz w:val="20"/>
        </w:rPr>
        <w:t>jen „ZVA“) budou realizací projektu splněny tyto indikátory:</w:t>
      </w:r>
    </w:p>
    <w:p>
      <w:pPr>
        <w:pStyle w:val="BodyText"/>
        <w:spacing w:before="12"/>
        <w:ind w:left="0"/>
        <w:rPr>
          <w:sz w:val="8"/>
        </w:rPr>
      </w:pPr>
    </w:p>
    <w:tbl>
      <w:tblPr>
        <w:tblW w:w="0" w:type="auto"/>
        <w:jc w:val="left"/>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97"/>
        <w:gridCol w:w="1670"/>
        <w:gridCol w:w="1867"/>
        <w:gridCol w:w="1792"/>
      </w:tblGrid>
      <w:tr>
        <w:trPr>
          <w:trHeight w:val="506" w:hRule="atLeast"/>
        </w:trPr>
        <w:tc>
          <w:tcPr>
            <w:tcW w:w="3497" w:type="dxa"/>
          </w:tcPr>
          <w:p>
            <w:pPr>
              <w:pStyle w:val="TableParagraph"/>
              <w:spacing w:before="123"/>
              <w:ind w:left="105"/>
              <w:rPr>
                <w:b/>
                <w:sz w:val="20"/>
              </w:rPr>
            </w:pPr>
            <w:r>
              <w:rPr>
                <w:b/>
                <w:spacing w:val="-2"/>
                <w:sz w:val="20"/>
              </w:rPr>
              <w:t>Indikátor</w:t>
            </w:r>
          </w:p>
        </w:tc>
        <w:tc>
          <w:tcPr>
            <w:tcW w:w="1670" w:type="dxa"/>
          </w:tcPr>
          <w:p>
            <w:pPr>
              <w:pStyle w:val="TableParagraph"/>
              <w:spacing w:before="123"/>
              <w:ind w:left="108"/>
              <w:rPr>
                <w:b/>
                <w:sz w:val="20"/>
              </w:rPr>
            </w:pPr>
            <w:r>
              <w:rPr>
                <w:b/>
                <w:spacing w:val="-2"/>
                <w:sz w:val="20"/>
              </w:rPr>
              <w:t>Jednotka</w:t>
            </w:r>
          </w:p>
        </w:tc>
        <w:tc>
          <w:tcPr>
            <w:tcW w:w="1867" w:type="dxa"/>
          </w:tcPr>
          <w:p>
            <w:pPr>
              <w:pStyle w:val="TableParagraph"/>
              <w:spacing w:before="123"/>
              <w:ind w:left="108"/>
              <w:rPr>
                <w:b/>
                <w:sz w:val="20"/>
              </w:rPr>
            </w:pPr>
            <w:r>
              <w:rPr>
                <w:b/>
                <w:sz w:val="20"/>
              </w:rPr>
              <w:t>Výchozí</w:t>
            </w:r>
            <w:r>
              <w:rPr>
                <w:b/>
                <w:spacing w:val="-7"/>
                <w:sz w:val="20"/>
              </w:rPr>
              <w:t> </w:t>
            </w:r>
            <w:r>
              <w:rPr>
                <w:b/>
                <w:spacing w:val="-2"/>
                <w:sz w:val="20"/>
              </w:rPr>
              <w:t>hodnota</w:t>
            </w:r>
          </w:p>
        </w:tc>
        <w:tc>
          <w:tcPr>
            <w:tcW w:w="1792" w:type="dxa"/>
          </w:tcPr>
          <w:p>
            <w:pPr>
              <w:pStyle w:val="TableParagraph"/>
              <w:spacing w:before="123"/>
              <w:ind w:left="109"/>
              <w:rPr>
                <w:b/>
                <w:sz w:val="20"/>
              </w:rPr>
            </w:pPr>
            <w:r>
              <w:rPr>
                <w:b/>
                <w:sz w:val="20"/>
              </w:rPr>
              <w:t>Cílová</w:t>
            </w:r>
            <w:r>
              <w:rPr>
                <w:b/>
                <w:spacing w:val="-5"/>
                <w:sz w:val="20"/>
              </w:rPr>
              <w:t> </w:t>
            </w:r>
            <w:r>
              <w:rPr>
                <w:b/>
                <w:spacing w:val="-2"/>
                <w:sz w:val="20"/>
              </w:rPr>
              <w:t>hodnota</w:t>
            </w:r>
          </w:p>
        </w:tc>
      </w:tr>
      <w:tr>
        <w:trPr>
          <w:trHeight w:val="506" w:hRule="atLeast"/>
        </w:trPr>
        <w:tc>
          <w:tcPr>
            <w:tcW w:w="3497"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0" w:type="dxa"/>
          </w:tcPr>
          <w:p>
            <w:pPr>
              <w:pStyle w:val="TableParagraph"/>
              <w:spacing w:before="122"/>
              <w:ind w:left="391"/>
              <w:rPr>
                <w:sz w:val="20"/>
              </w:rPr>
            </w:pPr>
            <w:r>
              <w:rPr>
                <w:sz w:val="20"/>
              </w:rPr>
              <w:t>t</w:t>
            </w:r>
            <w:r>
              <w:rPr>
                <w:spacing w:val="-2"/>
                <w:sz w:val="20"/>
              </w:rPr>
              <w:t> CO2/rok</w:t>
            </w:r>
          </w:p>
        </w:tc>
        <w:tc>
          <w:tcPr>
            <w:tcW w:w="1867" w:type="dxa"/>
          </w:tcPr>
          <w:p>
            <w:pPr>
              <w:pStyle w:val="TableParagraph"/>
              <w:spacing w:before="122"/>
              <w:ind w:left="392"/>
              <w:rPr>
                <w:sz w:val="20"/>
              </w:rPr>
            </w:pPr>
            <w:r>
              <w:rPr>
                <w:spacing w:val="-2"/>
                <w:sz w:val="20"/>
              </w:rPr>
              <w:t>308.90</w:t>
            </w:r>
          </w:p>
        </w:tc>
        <w:tc>
          <w:tcPr>
            <w:tcW w:w="1792" w:type="dxa"/>
          </w:tcPr>
          <w:p>
            <w:pPr>
              <w:pStyle w:val="TableParagraph"/>
              <w:spacing w:before="122"/>
              <w:ind w:left="392"/>
              <w:rPr>
                <w:sz w:val="20"/>
              </w:rPr>
            </w:pPr>
            <w:r>
              <w:rPr>
                <w:spacing w:val="-2"/>
                <w:sz w:val="20"/>
              </w:rPr>
              <w:t>220.67</w:t>
            </w:r>
          </w:p>
        </w:tc>
      </w:tr>
      <w:tr>
        <w:trPr>
          <w:trHeight w:val="505" w:hRule="atLeast"/>
        </w:trPr>
        <w:tc>
          <w:tcPr>
            <w:tcW w:w="3497" w:type="dxa"/>
          </w:tcPr>
          <w:p>
            <w:pPr>
              <w:pStyle w:val="TableParagraph"/>
              <w:ind w:left="388"/>
              <w:rPr>
                <w:sz w:val="20"/>
              </w:rPr>
            </w:pPr>
            <w:r>
              <w:rPr>
                <w:sz w:val="20"/>
              </w:rPr>
              <w:t>Snížení</w:t>
            </w:r>
            <w:r>
              <w:rPr>
                <w:spacing w:val="-10"/>
                <w:sz w:val="20"/>
              </w:rPr>
              <w:t> </w:t>
            </w:r>
            <w:r>
              <w:rPr>
                <w:sz w:val="20"/>
              </w:rPr>
              <w:t>konečné</w:t>
            </w:r>
            <w:r>
              <w:rPr>
                <w:spacing w:val="-9"/>
                <w:sz w:val="20"/>
              </w:rPr>
              <w:t> </w:t>
            </w:r>
            <w:r>
              <w:rPr>
                <w:sz w:val="20"/>
              </w:rPr>
              <w:t>spotřeby</w:t>
            </w:r>
            <w:r>
              <w:rPr>
                <w:spacing w:val="-7"/>
                <w:sz w:val="20"/>
              </w:rPr>
              <w:t> </w:t>
            </w:r>
            <w:r>
              <w:rPr>
                <w:spacing w:val="-2"/>
                <w:sz w:val="20"/>
              </w:rPr>
              <w:t>energie</w:t>
            </w:r>
          </w:p>
        </w:tc>
        <w:tc>
          <w:tcPr>
            <w:tcW w:w="1670" w:type="dxa"/>
          </w:tcPr>
          <w:p>
            <w:pPr>
              <w:pStyle w:val="TableParagraph"/>
              <w:spacing w:before="122"/>
              <w:ind w:left="391"/>
              <w:rPr>
                <w:sz w:val="20"/>
              </w:rPr>
            </w:pPr>
            <w:r>
              <w:rPr>
                <w:spacing w:val="-2"/>
                <w:sz w:val="20"/>
              </w:rPr>
              <w:t>GJ/rok</w:t>
            </w:r>
          </w:p>
        </w:tc>
        <w:tc>
          <w:tcPr>
            <w:tcW w:w="1867" w:type="dxa"/>
          </w:tcPr>
          <w:p>
            <w:pPr>
              <w:pStyle w:val="TableParagraph"/>
              <w:spacing w:before="122"/>
              <w:ind w:left="392"/>
              <w:rPr>
                <w:sz w:val="20"/>
              </w:rPr>
            </w:pPr>
            <w:r>
              <w:rPr>
                <w:spacing w:val="-2"/>
                <w:sz w:val="20"/>
              </w:rPr>
              <w:t>2008.54</w:t>
            </w:r>
          </w:p>
        </w:tc>
        <w:tc>
          <w:tcPr>
            <w:tcW w:w="1792" w:type="dxa"/>
          </w:tcPr>
          <w:p>
            <w:pPr>
              <w:pStyle w:val="TableParagraph"/>
              <w:spacing w:before="122"/>
              <w:ind w:left="392"/>
              <w:rPr>
                <w:sz w:val="20"/>
              </w:rPr>
            </w:pPr>
            <w:r>
              <w:rPr>
                <w:spacing w:val="-2"/>
                <w:sz w:val="20"/>
              </w:rPr>
              <w:t>1202.56</w:t>
            </w:r>
          </w:p>
        </w:tc>
      </w:tr>
      <w:tr>
        <w:trPr>
          <w:trHeight w:val="532" w:hRule="atLeast"/>
        </w:trPr>
        <w:tc>
          <w:tcPr>
            <w:tcW w:w="3497" w:type="dxa"/>
          </w:tcPr>
          <w:p>
            <w:pPr>
              <w:pStyle w:val="TableParagraph"/>
              <w:spacing w:line="266" w:lineRule="exact"/>
              <w:ind w:left="388"/>
              <w:rPr>
                <w:sz w:val="20"/>
              </w:rPr>
            </w:pPr>
            <w:r>
              <w:rPr>
                <w:sz w:val="20"/>
              </w:rPr>
              <w:t>Úspora</w:t>
            </w:r>
            <w:r>
              <w:rPr>
                <w:spacing w:val="-14"/>
                <w:sz w:val="20"/>
              </w:rPr>
              <w:t> </w:t>
            </w:r>
            <w:r>
              <w:rPr>
                <w:sz w:val="20"/>
              </w:rPr>
              <w:t>primární</w:t>
            </w:r>
            <w:r>
              <w:rPr>
                <w:spacing w:val="-14"/>
                <w:sz w:val="20"/>
              </w:rPr>
              <w:t> </w:t>
            </w:r>
            <w:r>
              <w:rPr>
                <w:sz w:val="20"/>
              </w:rPr>
              <w:t>energie</w:t>
            </w:r>
            <w:r>
              <w:rPr>
                <w:spacing w:val="-13"/>
                <w:sz w:val="20"/>
              </w:rPr>
              <w:t> </w:t>
            </w:r>
            <w:r>
              <w:rPr>
                <w:sz w:val="20"/>
              </w:rPr>
              <w:t>z neobnovitelných zdrojů</w:t>
            </w:r>
          </w:p>
        </w:tc>
        <w:tc>
          <w:tcPr>
            <w:tcW w:w="1670" w:type="dxa"/>
          </w:tcPr>
          <w:p>
            <w:pPr>
              <w:pStyle w:val="TableParagraph"/>
              <w:spacing w:before="122"/>
              <w:ind w:left="391"/>
              <w:rPr>
                <w:sz w:val="20"/>
              </w:rPr>
            </w:pPr>
            <w:r>
              <w:rPr>
                <w:spacing w:val="-2"/>
                <w:sz w:val="20"/>
              </w:rPr>
              <w:t>GJ/rok</w:t>
            </w:r>
          </w:p>
        </w:tc>
        <w:tc>
          <w:tcPr>
            <w:tcW w:w="1867" w:type="dxa"/>
          </w:tcPr>
          <w:p>
            <w:pPr>
              <w:pStyle w:val="TableParagraph"/>
              <w:spacing w:before="122"/>
              <w:ind w:left="392"/>
              <w:rPr>
                <w:sz w:val="20"/>
              </w:rPr>
            </w:pPr>
            <w:r>
              <w:rPr>
                <w:spacing w:val="-2"/>
                <w:sz w:val="20"/>
              </w:rPr>
              <w:t>3289.94</w:t>
            </w:r>
          </w:p>
        </w:tc>
        <w:tc>
          <w:tcPr>
            <w:tcW w:w="1792" w:type="dxa"/>
          </w:tcPr>
          <w:p>
            <w:pPr>
              <w:pStyle w:val="TableParagraph"/>
              <w:spacing w:before="122"/>
              <w:ind w:left="392"/>
              <w:rPr>
                <w:sz w:val="20"/>
              </w:rPr>
            </w:pPr>
            <w:r>
              <w:rPr>
                <w:spacing w:val="-2"/>
                <w:sz w:val="20"/>
              </w:rPr>
              <w:t>2239.92</w:t>
            </w:r>
          </w:p>
        </w:tc>
      </w:tr>
    </w:tbl>
    <w:p>
      <w:pPr>
        <w:pStyle w:val="BodyText"/>
        <w:spacing w:before="2"/>
        <w:ind w:left="0"/>
        <w:rPr>
          <w:sz w:val="29"/>
        </w:rPr>
      </w:pPr>
    </w:p>
    <w:p>
      <w:pPr>
        <w:pStyle w:val="ListParagraph"/>
        <w:numPr>
          <w:ilvl w:val="2"/>
          <w:numId w:val="4"/>
        </w:numPr>
        <w:tabs>
          <w:tab w:pos="1064" w:val="left" w:leader="none"/>
        </w:tabs>
        <w:spacing w:line="240" w:lineRule="auto" w:before="0" w:after="0"/>
        <w:ind w:left="1063" w:right="109" w:hanging="286"/>
        <w:jc w:val="both"/>
        <w:rPr>
          <w:sz w:val="20"/>
        </w:rPr>
      </w:pPr>
      <w:r>
        <w:rPr>
          <w:sz w:val="20"/>
        </w:rPr>
        <w:t>bude</w:t>
      </w:r>
      <w:r>
        <w:rPr>
          <w:spacing w:val="19"/>
          <w:sz w:val="20"/>
        </w:rPr>
        <w:t> </w:t>
      </w:r>
      <w:r>
        <w:rPr>
          <w:sz w:val="20"/>
        </w:rPr>
        <w:t>veškeré</w:t>
      </w:r>
      <w:r>
        <w:rPr>
          <w:spacing w:val="19"/>
          <w:sz w:val="20"/>
        </w:rPr>
        <w:t> </w:t>
      </w:r>
      <w:r>
        <w:rPr>
          <w:sz w:val="20"/>
        </w:rPr>
        <w:t>výdaje</w:t>
      </w:r>
      <w:r>
        <w:rPr>
          <w:spacing w:val="21"/>
          <w:sz w:val="20"/>
        </w:rPr>
        <w:t> </w:t>
      </w:r>
      <w:r>
        <w:rPr>
          <w:sz w:val="20"/>
        </w:rPr>
        <w:t>akce</w:t>
      </w:r>
      <w:r>
        <w:rPr>
          <w:spacing w:val="21"/>
          <w:sz w:val="20"/>
        </w:rPr>
        <w:t> </w:t>
      </w:r>
      <w:r>
        <w:rPr>
          <w:sz w:val="20"/>
        </w:rPr>
        <w:t>vést</w:t>
      </w:r>
      <w:r>
        <w:rPr>
          <w:spacing w:val="19"/>
          <w:sz w:val="20"/>
        </w:rPr>
        <w:t> </w:t>
      </w:r>
      <w:r>
        <w:rPr>
          <w:sz w:val="20"/>
        </w:rPr>
        <w:t>v účetnictví</w:t>
      </w:r>
      <w:r>
        <w:rPr>
          <w:spacing w:val="20"/>
          <w:sz w:val="20"/>
        </w:rPr>
        <w:t> </w:t>
      </w:r>
      <w:r>
        <w:rPr>
          <w:sz w:val="20"/>
        </w:rPr>
        <w:t>(zákon</w:t>
      </w:r>
      <w:r>
        <w:rPr>
          <w:spacing w:val="20"/>
          <w:sz w:val="20"/>
        </w:rPr>
        <w:t> </w:t>
      </w:r>
      <w:r>
        <w:rPr>
          <w:sz w:val="20"/>
        </w:rPr>
        <w:t>č.</w:t>
      </w:r>
      <w:r>
        <w:rPr>
          <w:spacing w:val="23"/>
          <w:sz w:val="20"/>
        </w:rPr>
        <w:t> </w:t>
      </w:r>
      <w:r>
        <w:rPr>
          <w:sz w:val="20"/>
        </w:rPr>
        <w:t>563/1991</w:t>
      </w:r>
      <w:r>
        <w:rPr>
          <w:spacing w:val="20"/>
          <w:sz w:val="20"/>
        </w:rPr>
        <w:t> </w:t>
      </w:r>
      <w:r>
        <w:rPr>
          <w:sz w:val="20"/>
        </w:rPr>
        <w:t>Sb.,</w:t>
      </w:r>
      <w:r>
        <w:rPr>
          <w:spacing w:val="20"/>
          <w:sz w:val="20"/>
        </w:rPr>
        <w:t> </w:t>
      </w:r>
      <w:r>
        <w:rPr>
          <w:sz w:val="20"/>
        </w:rPr>
        <w:t>o účetnictví,</w:t>
      </w:r>
      <w:r>
        <w:rPr>
          <w:spacing w:val="22"/>
          <w:sz w:val="20"/>
        </w:rPr>
        <w:t> </w:t>
      </w:r>
      <w:r>
        <w:rPr>
          <w:sz w:val="20"/>
        </w:rPr>
        <w:t>v</w:t>
      </w:r>
      <w:r>
        <w:rPr>
          <w:spacing w:val="20"/>
          <w:sz w:val="20"/>
        </w:rPr>
        <w:t> </w:t>
      </w:r>
      <w:r>
        <w:rPr>
          <w:sz w:val="20"/>
        </w:rPr>
        <w:t>platném</w:t>
      </w:r>
      <w:r>
        <w:rPr>
          <w:spacing w:val="19"/>
          <w:sz w:val="20"/>
        </w:rPr>
        <w:t> </w:t>
      </w:r>
      <w:r>
        <w:rPr>
          <w:sz w:val="20"/>
        </w:rPr>
        <w:t>znění) či</w:t>
      </w:r>
      <w:r>
        <w:rPr>
          <w:spacing w:val="28"/>
          <w:sz w:val="20"/>
        </w:rPr>
        <w:t> </w:t>
      </w:r>
      <w:r>
        <w:rPr>
          <w:sz w:val="20"/>
        </w:rPr>
        <w:t>v</w:t>
      </w:r>
      <w:r>
        <w:rPr>
          <w:spacing w:val="29"/>
          <w:sz w:val="20"/>
        </w:rPr>
        <w:t> </w:t>
      </w:r>
      <w:r>
        <w:rPr>
          <w:sz w:val="20"/>
        </w:rPr>
        <w:t>daňové</w:t>
      </w:r>
      <w:r>
        <w:rPr>
          <w:spacing w:val="30"/>
          <w:sz w:val="20"/>
        </w:rPr>
        <w:t> </w:t>
      </w:r>
      <w:r>
        <w:rPr>
          <w:sz w:val="20"/>
        </w:rPr>
        <w:t>evidenci</w:t>
      </w:r>
      <w:r>
        <w:rPr>
          <w:spacing w:val="30"/>
          <w:sz w:val="20"/>
        </w:rPr>
        <w:t> </w:t>
      </w:r>
      <w:r>
        <w:rPr>
          <w:sz w:val="20"/>
        </w:rPr>
        <w:t>(zákon</w:t>
      </w:r>
      <w:r>
        <w:rPr>
          <w:spacing w:val="28"/>
          <w:sz w:val="20"/>
        </w:rPr>
        <w:t> </w:t>
      </w:r>
      <w:r>
        <w:rPr>
          <w:sz w:val="20"/>
        </w:rPr>
        <w:t>č.</w:t>
      </w:r>
      <w:r>
        <w:rPr>
          <w:spacing w:val="28"/>
          <w:sz w:val="20"/>
        </w:rPr>
        <w:t> </w:t>
      </w:r>
      <w:r>
        <w:rPr>
          <w:sz w:val="20"/>
        </w:rPr>
        <w:t>586/1992</w:t>
      </w:r>
      <w:r>
        <w:rPr>
          <w:spacing w:val="29"/>
          <w:sz w:val="20"/>
        </w:rPr>
        <w:t> </w:t>
      </w:r>
      <w:r>
        <w:rPr>
          <w:sz w:val="20"/>
        </w:rPr>
        <w:t>Sb.,</w:t>
      </w:r>
      <w:r>
        <w:rPr>
          <w:spacing w:val="28"/>
          <w:sz w:val="20"/>
        </w:rPr>
        <w:t> </w:t>
      </w:r>
      <w:r>
        <w:rPr>
          <w:sz w:val="20"/>
        </w:rPr>
        <w:t>o</w:t>
      </w:r>
      <w:r>
        <w:rPr>
          <w:spacing w:val="29"/>
          <w:sz w:val="20"/>
        </w:rPr>
        <w:t> </w:t>
      </w:r>
      <w:r>
        <w:rPr>
          <w:sz w:val="20"/>
        </w:rPr>
        <w:t>daních</w:t>
      </w:r>
      <w:r>
        <w:rPr>
          <w:spacing w:val="28"/>
          <w:sz w:val="20"/>
        </w:rPr>
        <w:t> </w:t>
      </w:r>
      <w:r>
        <w:rPr>
          <w:sz w:val="20"/>
        </w:rPr>
        <w:t>z příjmů,</w:t>
      </w:r>
      <w:r>
        <w:rPr>
          <w:spacing w:val="30"/>
          <w:sz w:val="20"/>
        </w:rPr>
        <w:t> </w:t>
      </w:r>
      <w:r>
        <w:rPr>
          <w:sz w:val="20"/>
        </w:rPr>
        <w:t>v platném</w:t>
      </w:r>
      <w:r>
        <w:rPr>
          <w:spacing w:val="27"/>
          <w:sz w:val="20"/>
        </w:rPr>
        <w:t> </w:t>
      </w:r>
      <w:r>
        <w:rPr>
          <w:sz w:val="20"/>
        </w:rPr>
        <w:t>znění)</w:t>
      </w:r>
      <w:r>
        <w:rPr>
          <w:spacing w:val="30"/>
          <w:sz w:val="20"/>
        </w:rPr>
        <w:t> </w:t>
      </w:r>
      <w:r>
        <w:rPr>
          <w:sz w:val="20"/>
        </w:rPr>
        <w:t>podle</w:t>
      </w:r>
      <w:r>
        <w:rPr>
          <w:spacing w:val="29"/>
          <w:sz w:val="20"/>
        </w:rPr>
        <w:t> </w:t>
      </w:r>
      <w:r>
        <w:rPr>
          <w:sz w:val="20"/>
        </w:rPr>
        <w:t>pokynů v čl. 12 písm. b) Výzvy,</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zamezí</w:t>
      </w:r>
      <w:r>
        <w:rPr>
          <w:spacing w:val="-6"/>
          <w:sz w:val="20"/>
        </w:rPr>
        <w:t> </w:t>
      </w:r>
      <w:r>
        <w:rPr>
          <w:sz w:val="20"/>
        </w:rPr>
        <w:t>tzv.</w:t>
      </w:r>
      <w:r>
        <w:rPr>
          <w:spacing w:val="-4"/>
          <w:sz w:val="20"/>
        </w:rPr>
        <w:t> </w:t>
      </w:r>
      <w:r>
        <w:rPr>
          <w:sz w:val="20"/>
        </w:rPr>
        <w:t>dvojímu</w:t>
      </w:r>
      <w:r>
        <w:rPr>
          <w:spacing w:val="-5"/>
          <w:sz w:val="20"/>
        </w:rPr>
        <w:t> </w:t>
      </w:r>
      <w:r>
        <w:rPr>
          <w:sz w:val="20"/>
        </w:rPr>
        <w:t>financování,</w:t>
      </w:r>
      <w:r>
        <w:rPr>
          <w:spacing w:val="-5"/>
          <w:sz w:val="20"/>
        </w:rPr>
        <w:t> </w:t>
      </w:r>
      <w:r>
        <w:rPr>
          <w:sz w:val="20"/>
        </w:rPr>
        <w:t>tj.</w:t>
      </w:r>
      <w:r>
        <w:rPr>
          <w:spacing w:val="-6"/>
          <w:sz w:val="20"/>
        </w:rPr>
        <w:t> </w:t>
      </w:r>
      <w:r>
        <w:rPr>
          <w:sz w:val="20"/>
        </w:rPr>
        <w:t>bude</w:t>
      </w:r>
      <w:r>
        <w:rPr>
          <w:spacing w:val="-5"/>
          <w:sz w:val="20"/>
        </w:rPr>
        <w:t> </w:t>
      </w:r>
      <w:r>
        <w:rPr>
          <w:sz w:val="20"/>
        </w:rPr>
        <w:t>zejména</w:t>
      </w:r>
      <w:r>
        <w:rPr>
          <w:spacing w:val="-5"/>
          <w:sz w:val="20"/>
        </w:rPr>
        <w:t> </w:t>
      </w:r>
      <w:r>
        <w:rPr>
          <w:sz w:val="20"/>
        </w:rPr>
        <w:t>postupovat</w:t>
      </w:r>
      <w:r>
        <w:rPr>
          <w:spacing w:val="-3"/>
          <w:sz w:val="20"/>
        </w:rPr>
        <w:t> </w:t>
      </w:r>
      <w:r>
        <w:rPr>
          <w:sz w:val="20"/>
        </w:rPr>
        <w:t>podle</w:t>
      </w:r>
      <w:r>
        <w:rPr>
          <w:spacing w:val="-6"/>
          <w:sz w:val="20"/>
        </w:rPr>
        <w:t> </w:t>
      </w:r>
      <w:r>
        <w:rPr>
          <w:sz w:val="20"/>
        </w:rPr>
        <w:t>pokynů</w:t>
      </w:r>
      <w:r>
        <w:rPr>
          <w:spacing w:val="-4"/>
          <w:sz w:val="20"/>
        </w:rPr>
        <w:t> </w:t>
      </w:r>
      <w:r>
        <w:rPr>
          <w:sz w:val="20"/>
        </w:rPr>
        <w:t>v</w:t>
      </w:r>
      <w:r>
        <w:rPr>
          <w:spacing w:val="-4"/>
          <w:sz w:val="20"/>
        </w:rPr>
        <w:t> </w:t>
      </w:r>
      <w:r>
        <w:rPr>
          <w:sz w:val="20"/>
        </w:rPr>
        <w:t>čl.</w:t>
      </w:r>
      <w:r>
        <w:rPr>
          <w:spacing w:val="-5"/>
          <w:sz w:val="20"/>
        </w:rPr>
        <w:t> </w:t>
      </w:r>
      <w:r>
        <w:rPr>
          <w:sz w:val="20"/>
        </w:rPr>
        <w:t>12</w:t>
      </w:r>
      <w:r>
        <w:rPr>
          <w:spacing w:val="-4"/>
          <w:sz w:val="20"/>
        </w:rPr>
        <w:t> </w:t>
      </w:r>
      <w:r>
        <w:rPr>
          <w:sz w:val="20"/>
        </w:rPr>
        <w:t>písm.</w:t>
      </w:r>
      <w:r>
        <w:rPr>
          <w:spacing w:val="-4"/>
          <w:sz w:val="20"/>
        </w:rPr>
        <w:t> </w:t>
      </w:r>
      <w:r>
        <w:rPr>
          <w:sz w:val="20"/>
        </w:rPr>
        <w:t>k)</w:t>
      </w:r>
      <w:r>
        <w:rPr>
          <w:spacing w:val="-5"/>
          <w:sz w:val="20"/>
        </w:rPr>
        <w:t> </w:t>
      </w:r>
      <w:r>
        <w:rPr>
          <w:spacing w:val="-2"/>
          <w:sz w:val="20"/>
        </w:rPr>
        <w:t>Výzvy,</w:t>
      </w:r>
    </w:p>
    <w:p>
      <w:pPr>
        <w:pStyle w:val="ListParagraph"/>
        <w:numPr>
          <w:ilvl w:val="2"/>
          <w:numId w:val="4"/>
        </w:numPr>
        <w:tabs>
          <w:tab w:pos="1064" w:val="left" w:leader="none"/>
        </w:tabs>
        <w:spacing w:line="240" w:lineRule="auto" w:before="119" w:after="0"/>
        <w:ind w:left="1063" w:right="114" w:hanging="286"/>
        <w:jc w:val="both"/>
        <w:rPr>
          <w:sz w:val="20"/>
        </w:rPr>
      </w:pPr>
      <w:r>
        <w:rPr>
          <w:sz w:val="20"/>
        </w:rPr>
        <w:t>umožní provádět kontrolu provedení opatření na místě realizace včetně kontroly souvisejících dokumentů</w:t>
      </w:r>
      <w:r>
        <w:rPr>
          <w:spacing w:val="-7"/>
          <w:sz w:val="20"/>
        </w:rPr>
        <w:t> </w:t>
      </w:r>
      <w:r>
        <w:rPr>
          <w:sz w:val="20"/>
        </w:rPr>
        <w:t>osobám</w:t>
      </w:r>
      <w:r>
        <w:rPr>
          <w:spacing w:val="-8"/>
          <w:sz w:val="20"/>
        </w:rPr>
        <w:t> </w:t>
      </w:r>
      <w:r>
        <w:rPr>
          <w:sz w:val="20"/>
        </w:rPr>
        <w:t>pověřeným</w:t>
      </w:r>
      <w:r>
        <w:rPr>
          <w:spacing w:val="-8"/>
          <w:sz w:val="20"/>
        </w:rPr>
        <w:t> </w:t>
      </w:r>
      <w:r>
        <w:rPr>
          <w:sz w:val="20"/>
        </w:rPr>
        <w:t>Fondem</w:t>
      </w:r>
      <w:r>
        <w:rPr>
          <w:spacing w:val="-8"/>
          <w:sz w:val="20"/>
        </w:rPr>
        <w:t> </w:t>
      </w:r>
      <w:r>
        <w:rPr>
          <w:sz w:val="20"/>
        </w:rPr>
        <w:t>případně</w:t>
      </w:r>
      <w:r>
        <w:rPr>
          <w:spacing w:val="-7"/>
          <w:sz w:val="20"/>
        </w:rPr>
        <w:t> </w:t>
      </w:r>
      <w:r>
        <w:rPr>
          <w:sz w:val="20"/>
        </w:rPr>
        <w:t>jiným</w:t>
      </w:r>
      <w:r>
        <w:rPr>
          <w:spacing w:val="-8"/>
          <w:sz w:val="20"/>
        </w:rPr>
        <w:t> </w:t>
      </w:r>
      <w:r>
        <w:rPr>
          <w:sz w:val="20"/>
        </w:rPr>
        <w:t>oprávněným</w:t>
      </w:r>
      <w:r>
        <w:rPr>
          <w:spacing w:val="-8"/>
          <w:sz w:val="20"/>
        </w:rPr>
        <w:t> </w:t>
      </w:r>
      <w:r>
        <w:rPr>
          <w:sz w:val="20"/>
        </w:rPr>
        <w:t>kontrolním</w:t>
      </w:r>
      <w:r>
        <w:rPr>
          <w:spacing w:val="-6"/>
          <w:sz w:val="20"/>
        </w:rPr>
        <w:t> </w:t>
      </w:r>
      <w:r>
        <w:rPr>
          <w:sz w:val="20"/>
        </w:rPr>
        <w:t>orgánům,</w:t>
      </w:r>
      <w:r>
        <w:rPr>
          <w:spacing w:val="-5"/>
          <w:sz w:val="20"/>
        </w:rPr>
        <w:t> </w:t>
      </w:r>
      <w:r>
        <w:rPr>
          <w:sz w:val="20"/>
        </w:rPr>
        <w:t>a</w:t>
      </w:r>
      <w:r>
        <w:rPr>
          <w:spacing w:val="-6"/>
          <w:sz w:val="20"/>
        </w:rPr>
        <w:t> </w:t>
      </w:r>
      <w:r>
        <w:rPr>
          <w:sz w:val="20"/>
        </w:rPr>
        <w:t>to</w:t>
      </w:r>
      <w:r>
        <w:rPr>
          <w:spacing w:val="-6"/>
          <w:sz w:val="20"/>
        </w:rPr>
        <w:t> </w:t>
      </w:r>
      <w:r>
        <w:rPr>
          <w:sz w:val="20"/>
        </w:rPr>
        <w:t>po dobu udržitelnosti projektu,</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bude</w:t>
      </w:r>
      <w:r>
        <w:rPr>
          <w:spacing w:val="-5"/>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4"/>
          <w:sz w:val="20"/>
        </w:rPr>
        <w:t> </w:t>
      </w:r>
      <w:r>
        <w:rPr>
          <w:sz w:val="20"/>
        </w:rPr>
        <w:t>čl.</w:t>
      </w:r>
      <w:r>
        <w:rPr>
          <w:spacing w:val="-4"/>
          <w:sz w:val="20"/>
        </w:rPr>
        <w:t> </w:t>
      </w:r>
      <w:r>
        <w:rPr>
          <w:sz w:val="20"/>
        </w:rPr>
        <w:t>18</w:t>
      </w:r>
      <w:r>
        <w:rPr>
          <w:spacing w:val="-3"/>
          <w:sz w:val="20"/>
        </w:rPr>
        <w:t> </w:t>
      </w:r>
      <w:r>
        <w:rPr>
          <w:spacing w:val="-2"/>
          <w:sz w:val="20"/>
        </w:rPr>
        <w:t>Výzvy,</w:t>
      </w:r>
    </w:p>
    <w:p>
      <w:pPr>
        <w:pStyle w:val="ListParagraph"/>
        <w:numPr>
          <w:ilvl w:val="1"/>
          <w:numId w:val="4"/>
        </w:numPr>
        <w:tabs>
          <w:tab w:pos="949" w:val="left" w:leader="none"/>
        </w:tabs>
        <w:spacing w:line="240" w:lineRule="auto" w:before="120" w:after="0"/>
        <w:ind w:left="948" w:right="109" w:hanging="284"/>
        <w:jc w:val="both"/>
        <w:rPr>
          <w:sz w:val="20"/>
        </w:rPr>
      </w:pPr>
      <w:r>
        <w:rPr>
          <w:sz w:val="20"/>
        </w:rPr>
        <w:t>se</w:t>
      </w:r>
      <w:r>
        <w:rPr>
          <w:spacing w:val="32"/>
          <w:sz w:val="20"/>
        </w:rPr>
        <w:t> </w:t>
      </w:r>
      <w:r>
        <w:rPr>
          <w:sz w:val="20"/>
        </w:rPr>
        <w:t>zavazuje</w:t>
      </w:r>
      <w:r>
        <w:rPr>
          <w:spacing w:val="32"/>
          <w:sz w:val="20"/>
        </w:rPr>
        <w:t> </w:t>
      </w:r>
      <w:r>
        <w:rPr>
          <w:sz w:val="20"/>
        </w:rPr>
        <w:t>nejpozději</w:t>
      </w:r>
      <w:r>
        <w:rPr>
          <w:spacing w:val="33"/>
          <w:sz w:val="20"/>
        </w:rPr>
        <w:t> </w:t>
      </w:r>
      <w:r>
        <w:rPr>
          <w:sz w:val="20"/>
        </w:rPr>
        <w:t>do</w:t>
      </w:r>
      <w:r>
        <w:rPr>
          <w:spacing w:val="34"/>
          <w:sz w:val="20"/>
        </w:rPr>
        <w:t> </w:t>
      </w:r>
      <w:r>
        <w:rPr>
          <w:sz w:val="20"/>
        </w:rPr>
        <w:t>konce</w:t>
      </w:r>
      <w:r>
        <w:rPr>
          <w:spacing w:val="35"/>
          <w:sz w:val="20"/>
        </w:rPr>
        <w:t> </w:t>
      </w:r>
      <w:r>
        <w:rPr>
          <w:sz w:val="20"/>
        </w:rPr>
        <w:t>2/2024</w:t>
      </w:r>
      <w:r>
        <w:rPr>
          <w:spacing w:val="35"/>
          <w:sz w:val="20"/>
        </w:rPr>
        <w:t> </w:t>
      </w:r>
      <w:r>
        <w:rPr>
          <w:sz w:val="20"/>
        </w:rPr>
        <w:t>předložit</w:t>
      </w:r>
      <w:r>
        <w:rPr>
          <w:spacing w:val="33"/>
          <w:sz w:val="20"/>
        </w:rPr>
        <w:t> </w:t>
      </w:r>
      <w:r>
        <w:rPr>
          <w:sz w:val="20"/>
        </w:rPr>
        <w:t>prostřednictvím</w:t>
      </w:r>
      <w:r>
        <w:rPr>
          <w:spacing w:val="32"/>
          <w:sz w:val="20"/>
        </w:rPr>
        <w:t> </w:t>
      </w:r>
      <w:r>
        <w:rPr>
          <w:sz w:val="20"/>
        </w:rPr>
        <w:t>AIS</w:t>
      </w:r>
      <w:r>
        <w:rPr>
          <w:spacing w:val="33"/>
          <w:sz w:val="20"/>
        </w:rPr>
        <w:t> </w:t>
      </w:r>
      <w:r>
        <w:rPr>
          <w:sz w:val="20"/>
        </w:rPr>
        <w:t>SFŽP</w:t>
      </w:r>
      <w:r>
        <w:rPr>
          <w:spacing w:val="36"/>
          <w:sz w:val="20"/>
        </w:rPr>
        <w:t> </w:t>
      </w:r>
      <w:r>
        <w:rPr>
          <w:sz w:val="20"/>
        </w:rPr>
        <w:t>ČR</w:t>
      </w:r>
      <w:r>
        <w:rPr>
          <w:spacing w:val="37"/>
          <w:sz w:val="20"/>
        </w:rPr>
        <w:t> </w:t>
      </w:r>
      <w:r>
        <w:rPr>
          <w:sz w:val="20"/>
        </w:rPr>
        <w:t>Fondu</w:t>
      </w:r>
      <w:r>
        <w:rPr>
          <w:spacing w:val="34"/>
          <w:sz w:val="20"/>
        </w:rPr>
        <w:t> </w:t>
      </w:r>
      <w:r>
        <w:rPr>
          <w:sz w:val="20"/>
        </w:rPr>
        <w:t>podklady k Závěrečnému vyhodnocení akce (dále jen „ZVA“) podle čl. 15 bodu 15.4 Výzvy.</w:t>
      </w:r>
    </w:p>
    <w:p>
      <w:pPr>
        <w:pStyle w:val="BodyText"/>
        <w:spacing w:before="121"/>
        <w:ind w:left="948" w:right="111"/>
        <w:jc w:val="both"/>
      </w:pPr>
      <w:r>
        <w:rPr/>
        <w:t>K ZVA může Fond vydat závazné pokyny (či požádat o informace), které mohou jeho obsah blíže specifikovat</w:t>
      </w:r>
      <w:r>
        <w:rPr>
          <w:spacing w:val="-11"/>
        </w:rPr>
        <w:t> </w:t>
      </w:r>
      <w:r>
        <w:rPr/>
        <w:t>či</w:t>
      </w:r>
      <w:r>
        <w:rPr>
          <w:spacing w:val="-11"/>
        </w:rPr>
        <w:t> </w:t>
      </w:r>
      <w:r>
        <w:rPr/>
        <w:t>rozšířit.</w:t>
      </w:r>
      <w:r>
        <w:rPr>
          <w:spacing w:val="-11"/>
        </w:rPr>
        <w:t> </w:t>
      </w:r>
      <w:r>
        <w:rPr/>
        <w:t>Příjemce</w:t>
      </w:r>
      <w:r>
        <w:rPr>
          <w:spacing w:val="-11"/>
        </w:rPr>
        <w:t> </w:t>
      </w:r>
      <w:r>
        <w:rPr/>
        <w:t>podpory</w:t>
      </w:r>
      <w:r>
        <w:rPr>
          <w:spacing w:val="-10"/>
        </w:rPr>
        <w:t> </w:t>
      </w:r>
      <w:r>
        <w:rPr/>
        <w:t>je</w:t>
      </w:r>
      <w:r>
        <w:rPr>
          <w:spacing w:val="-12"/>
        </w:rPr>
        <w:t> </w:t>
      </w:r>
      <w:r>
        <w:rPr/>
        <w:t>povinen</w:t>
      </w:r>
      <w:r>
        <w:rPr>
          <w:spacing w:val="-10"/>
        </w:rPr>
        <w:t> </w:t>
      </w:r>
      <w:r>
        <w:rPr/>
        <w:t>tyto</w:t>
      </w:r>
      <w:r>
        <w:rPr>
          <w:spacing w:val="-10"/>
        </w:rPr>
        <w:t> </w:t>
      </w:r>
      <w:r>
        <w:rPr/>
        <w:t>pokyny</w:t>
      </w:r>
      <w:r>
        <w:rPr>
          <w:spacing w:val="-11"/>
        </w:rPr>
        <w:t> </w:t>
      </w:r>
      <w:r>
        <w:rPr/>
        <w:t>(žádost</w:t>
      </w:r>
      <w:r>
        <w:rPr>
          <w:spacing w:val="-10"/>
        </w:rPr>
        <w:t> </w:t>
      </w:r>
      <w:r>
        <w:rPr/>
        <w:t>o informace)</w:t>
      </w:r>
      <w:r>
        <w:rPr>
          <w:spacing w:val="-10"/>
        </w:rPr>
        <w:t> </w:t>
      </w:r>
      <w:r>
        <w:rPr/>
        <w:t>bez</w:t>
      </w:r>
      <w:r>
        <w:rPr>
          <w:spacing w:val="-9"/>
        </w:rPr>
        <w:t> </w:t>
      </w:r>
      <w:r>
        <w:rPr/>
        <w:t>zbytečného odkladu</w:t>
      </w:r>
      <w:r>
        <w:rPr>
          <w:spacing w:val="-7"/>
        </w:rPr>
        <w:t> </w:t>
      </w:r>
      <w:r>
        <w:rPr/>
        <w:t>(případně</w:t>
      </w:r>
      <w:r>
        <w:rPr>
          <w:spacing w:val="-11"/>
        </w:rPr>
        <w:t> </w:t>
      </w:r>
      <w:r>
        <w:rPr/>
        <w:t>ve</w:t>
      </w:r>
      <w:r>
        <w:rPr>
          <w:spacing w:val="-11"/>
        </w:rPr>
        <w:t> </w:t>
      </w:r>
      <w:r>
        <w:rPr/>
        <w:t>lhůtě</w:t>
      </w:r>
      <w:r>
        <w:rPr>
          <w:spacing w:val="-7"/>
        </w:rPr>
        <w:t> </w:t>
      </w:r>
      <w:r>
        <w:rPr/>
        <w:t>stanovené</w:t>
      </w:r>
      <w:r>
        <w:rPr>
          <w:spacing w:val="-9"/>
        </w:rPr>
        <w:t> </w:t>
      </w:r>
      <w:r>
        <w:rPr/>
        <w:t>Fondem)</w:t>
      </w:r>
      <w:r>
        <w:rPr>
          <w:spacing w:val="-10"/>
        </w:rPr>
        <w:t> </w:t>
      </w:r>
      <w:r>
        <w:rPr/>
        <w:t>splnit.</w:t>
      </w:r>
      <w:r>
        <w:rPr>
          <w:spacing w:val="-8"/>
        </w:rPr>
        <w:t> </w:t>
      </w:r>
      <w:r>
        <w:rPr/>
        <w:t>Fond</w:t>
      </w:r>
      <w:r>
        <w:rPr>
          <w:spacing w:val="-10"/>
        </w:rPr>
        <w:t> </w:t>
      </w:r>
      <w:r>
        <w:rPr/>
        <w:t>není</w:t>
      </w:r>
      <w:r>
        <w:rPr>
          <w:spacing w:val="-8"/>
        </w:rPr>
        <w:t> </w:t>
      </w:r>
      <w:r>
        <w:rPr/>
        <w:t>povinen</w:t>
      </w:r>
      <w:r>
        <w:rPr>
          <w:spacing w:val="-10"/>
        </w:rPr>
        <w:t> </w:t>
      </w:r>
      <w:r>
        <w:rPr/>
        <w:t>vydat</w:t>
      </w:r>
      <w:r>
        <w:rPr>
          <w:spacing w:val="-11"/>
        </w:rPr>
        <w:t> </w:t>
      </w:r>
      <w:r>
        <w:rPr/>
        <w:t>protokol</w:t>
      </w:r>
      <w:r>
        <w:rPr>
          <w:spacing w:val="-11"/>
        </w:rPr>
        <w:t> </w:t>
      </w:r>
      <w:r>
        <w:rPr/>
        <w:t>o</w:t>
      </w:r>
      <w:r>
        <w:rPr>
          <w:spacing w:val="-7"/>
        </w:rPr>
        <w:t> </w:t>
      </w:r>
      <w:r>
        <w:rPr/>
        <w:t>ZVA</w:t>
      </w:r>
      <w:r>
        <w:rPr>
          <w:spacing w:val="-9"/>
        </w:rPr>
        <w:t> </w:t>
      </w:r>
      <w:r>
        <w:rPr/>
        <w:t>dříve, než obdrží veškeré požadované podklady a</w:t>
      </w:r>
      <w:r>
        <w:rPr>
          <w:spacing w:val="-4"/>
        </w:rPr>
        <w:t> </w:t>
      </w:r>
      <w:r>
        <w:rPr/>
        <w:t>informace, na základě kterých bude moci jednoznačně rozhodnout o plnění podmínek této Smlouvy a rovněž v případě, že příjemce podpory je v prodlení</w:t>
      </w:r>
      <w:r>
        <w:rPr>
          <w:spacing w:val="40"/>
        </w:rPr>
        <w:t> </w:t>
      </w:r>
      <w:r>
        <w:rPr/>
        <w:t>s plněním finančních závazků vůči Fondu. Protokol o ZVA bude obsahovat vypořádání čerpaných prostředků a vyhodnocení plnění smluvních podmínek.</w:t>
      </w:r>
    </w:p>
    <w:p>
      <w:pPr>
        <w:pStyle w:val="ListParagraph"/>
        <w:numPr>
          <w:ilvl w:val="0"/>
          <w:numId w:val="4"/>
        </w:numPr>
        <w:tabs>
          <w:tab w:pos="666" w:val="left" w:leader="none"/>
        </w:tabs>
        <w:spacing w:line="240" w:lineRule="auto" w:before="121"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18" w:after="0"/>
        <w:ind w:left="948" w:right="113"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spacing w:after="0" w:line="240" w:lineRule="auto"/>
        <w:jc w:val="both"/>
        <w:rPr>
          <w:sz w:val="20"/>
        </w:rPr>
        <w:sectPr>
          <w:pgSz w:w="12240" w:h="15840"/>
          <w:pgMar w:header="0" w:footer="1384" w:top="1060" w:bottom="1640" w:left="1320" w:right="1020"/>
        </w:sectPr>
      </w:pPr>
    </w:p>
    <w:p>
      <w:pPr>
        <w:pStyle w:val="ListParagraph"/>
        <w:numPr>
          <w:ilvl w:val="1"/>
          <w:numId w:val="4"/>
        </w:numPr>
        <w:tabs>
          <w:tab w:pos="949" w:val="left" w:leader="none"/>
        </w:tabs>
        <w:spacing w:line="240" w:lineRule="auto" w:before="73"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21" w:after="0"/>
        <w:ind w:left="948" w:right="117" w:hanging="284"/>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pPr>
        <w:pStyle w:val="ListParagraph"/>
        <w:numPr>
          <w:ilvl w:val="1"/>
          <w:numId w:val="4"/>
        </w:numPr>
        <w:tabs>
          <w:tab w:pos="949" w:val="left" w:leader="none"/>
        </w:tabs>
        <w:spacing w:line="240" w:lineRule="auto" w:before="121" w:after="0"/>
        <w:ind w:left="948" w:right="113" w:hanging="284"/>
        <w:jc w:val="both"/>
        <w:rPr>
          <w:sz w:val="20"/>
        </w:rPr>
      </w:pPr>
      <w:r>
        <w:rPr>
          <w:sz w:val="20"/>
        </w:rPr>
        <w:t>předkládat</w:t>
      </w:r>
      <w:r>
        <w:rPr>
          <w:spacing w:val="-7"/>
          <w:sz w:val="20"/>
        </w:rPr>
        <w:t> </w:t>
      </w:r>
      <w:r>
        <w:rPr>
          <w:sz w:val="20"/>
        </w:rPr>
        <w:t>Fondu</w:t>
      </w:r>
      <w:r>
        <w:rPr>
          <w:spacing w:val="-8"/>
          <w:sz w:val="20"/>
        </w:rPr>
        <w:t> </w:t>
      </w:r>
      <w:r>
        <w:rPr>
          <w:sz w:val="20"/>
        </w:rPr>
        <w:t>prostřednictvím</w:t>
      </w:r>
      <w:r>
        <w:rPr>
          <w:spacing w:val="-10"/>
          <w:sz w:val="20"/>
        </w:rPr>
        <w:t> </w:t>
      </w:r>
      <w:r>
        <w:rPr>
          <w:sz w:val="20"/>
        </w:rPr>
        <w:t>AIS</w:t>
      </w:r>
      <w:r>
        <w:rPr>
          <w:spacing w:val="-7"/>
          <w:sz w:val="20"/>
        </w:rPr>
        <w:t> </w:t>
      </w:r>
      <w:r>
        <w:rPr>
          <w:sz w:val="20"/>
        </w:rPr>
        <w:t>SFŽP</w:t>
      </w:r>
      <w:r>
        <w:rPr>
          <w:spacing w:val="-4"/>
          <w:sz w:val="20"/>
        </w:rPr>
        <w:t> </w:t>
      </w:r>
      <w:r>
        <w:rPr>
          <w:sz w:val="20"/>
        </w:rPr>
        <w:t>ČR</w:t>
      </w:r>
      <w:r>
        <w:rPr>
          <w:spacing w:val="-8"/>
          <w:sz w:val="20"/>
        </w:rPr>
        <w:t> </w:t>
      </w:r>
      <w:r>
        <w:rPr>
          <w:sz w:val="20"/>
        </w:rPr>
        <w:t>roční</w:t>
      </w:r>
      <w:r>
        <w:rPr>
          <w:spacing w:val="-7"/>
          <w:sz w:val="20"/>
        </w:rPr>
        <w:t> </w:t>
      </w:r>
      <w:r>
        <w:rPr>
          <w:sz w:val="20"/>
        </w:rPr>
        <w:t>finanční</w:t>
      </w:r>
      <w:r>
        <w:rPr>
          <w:spacing w:val="-9"/>
          <w:sz w:val="20"/>
        </w:rPr>
        <w:t> </w:t>
      </w:r>
      <w:r>
        <w:rPr>
          <w:sz w:val="20"/>
        </w:rPr>
        <w:t>vypořádání</w:t>
      </w:r>
      <w:r>
        <w:rPr>
          <w:spacing w:val="-10"/>
          <w:sz w:val="20"/>
        </w:rPr>
        <w:t> </w:t>
      </w:r>
      <w:r>
        <w:rPr>
          <w:sz w:val="20"/>
        </w:rPr>
        <w:t>vztahů</w:t>
      </w:r>
      <w:r>
        <w:rPr>
          <w:spacing w:val="-9"/>
          <w:sz w:val="20"/>
        </w:rPr>
        <w:t> </w:t>
      </w:r>
      <w:r>
        <w:rPr>
          <w:sz w:val="20"/>
        </w:rPr>
        <w:t>vzniklých</w:t>
      </w:r>
      <w:r>
        <w:rPr>
          <w:spacing w:val="-9"/>
          <w:sz w:val="20"/>
        </w:rPr>
        <w:t> </w:t>
      </w:r>
      <w:r>
        <w:rPr>
          <w:sz w:val="20"/>
        </w:rPr>
        <w:t>na</w:t>
      </w:r>
      <w:r>
        <w:rPr>
          <w:spacing w:val="-7"/>
          <w:sz w:val="20"/>
        </w:rPr>
        <w:t> </w:t>
      </w:r>
      <w:r>
        <w:rPr>
          <w:sz w:val="20"/>
        </w:rPr>
        <w:t>základě této Smlouvy, a to vždy nejpozději do 31. ledna následujícího kalendářního roku; k obsahu ročního finančního vypořádání může Fond vydat příjemci podpory závazné pokyny,</w:t>
      </w:r>
    </w:p>
    <w:p>
      <w:pPr>
        <w:pStyle w:val="ListParagraph"/>
        <w:numPr>
          <w:ilvl w:val="1"/>
          <w:numId w:val="4"/>
        </w:numPr>
        <w:tabs>
          <w:tab w:pos="949" w:val="left" w:leader="none"/>
        </w:tabs>
        <w:spacing w:line="240" w:lineRule="auto" w:before="119" w:after="0"/>
        <w:ind w:left="948" w:right="110" w:hanging="284"/>
        <w:jc w:val="both"/>
        <w:rPr>
          <w:sz w:val="20"/>
        </w:rPr>
      </w:pPr>
      <w:r>
        <w:rPr>
          <w:sz w:val="20"/>
        </w:rPr>
        <w:t>umožnit</w:t>
      </w:r>
      <w:r>
        <w:rPr>
          <w:spacing w:val="-14"/>
          <w:sz w:val="20"/>
        </w:rPr>
        <w:t> </w:t>
      </w:r>
      <w:r>
        <w:rPr>
          <w:sz w:val="20"/>
        </w:rPr>
        <w:t>osobám</w:t>
      </w:r>
      <w:r>
        <w:rPr>
          <w:spacing w:val="-14"/>
          <w:sz w:val="20"/>
        </w:rPr>
        <w:t> </w:t>
      </w:r>
      <w:r>
        <w:rPr>
          <w:sz w:val="20"/>
        </w:rPr>
        <w:t>pověřeným</w:t>
      </w:r>
      <w:r>
        <w:rPr>
          <w:spacing w:val="-14"/>
          <w:sz w:val="20"/>
        </w:rPr>
        <w:t> </w:t>
      </w:r>
      <w:r>
        <w:rPr>
          <w:sz w:val="20"/>
        </w:rPr>
        <w:t>Fondem</w:t>
      </w:r>
      <w:r>
        <w:rPr>
          <w:spacing w:val="-13"/>
          <w:sz w:val="20"/>
        </w:rPr>
        <w:t> </w:t>
      </w:r>
      <w:r>
        <w:rPr>
          <w:sz w:val="20"/>
        </w:rPr>
        <w:t>provádět</w:t>
      </w:r>
      <w:r>
        <w:rPr>
          <w:spacing w:val="-14"/>
          <w:sz w:val="20"/>
        </w:rPr>
        <w:t> </w:t>
      </w:r>
      <w:r>
        <w:rPr>
          <w:sz w:val="20"/>
        </w:rPr>
        <w:t>věcnou,</w:t>
      </w:r>
      <w:r>
        <w:rPr>
          <w:spacing w:val="-14"/>
          <w:sz w:val="20"/>
        </w:rPr>
        <w:t> </w:t>
      </w:r>
      <w:r>
        <w:rPr>
          <w:sz w:val="20"/>
        </w:rPr>
        <w:t>finanční</w:t>
      </w:r>
      <w:r>
        <w:rPr>
          <w:spacing w:val="-13"/>
          <w:sz w:val="20"/>
        </w:rPr>
        <w:t> </w:t>
      </w:r>
      <w:r>
        <w:rPr>
          <w:sz w:val="20"/>
        </w:rPr>
        <w:t>a</w:t>
      </w:r>
      <w:r>
        <w:rPr>
          <w:spacing w:val="-14"/>
          <w:sz w:val="20"/>
        </w:rPr>
        <w:t> </w:t>
      </w:r>
      <w:r>
        <w:rPr>
          <w:sz w:val="20"/>
        </w:rPr>
        <w:t>účetní</w:t>
      </w:r>
      <w:r>
        <w:rPr>
          <w:spacing w:val="-14"/>
          <w:sz w:val="20"/>
        </w:rPr>
        <w:t> </w:t>
      </w:r>
      <w:r>
        <w:rPr>
          <w:sz w:val="20"/>
        </w:rPr>
        <w:t>kontrolu</w:t>
      </w:r>
      <w:r>
        <w:rPr>
          <w:spacing w:val="-13"/>
          <w:sz w:val="20"/>
        </w:rPr>
        <w:t> </w:t>
      </w:r>
      <w:r>
        <w:rPr>
          <w:sz w:val="20"/>
        </w:rPr>
        <w:t>v</w:t>
      </w:r>
      <w:r>
        <w:rPr>
          <w:spacing w:val="-11"/>
          <w:sz w:val="20"/>
        </w:rPr>
        <w:t> </w:t>
      </w:r>
      <w:r>
        <w:rPr>
          <w:sz w:val="20"/>
        </w:rPr>
        <w:t>průběhu</w:t>
      </w:r>
      <w:r>
        <w:rPr>
          <w:spacing w:val="-14"/>
          <w:sz w:val="20"/>
        </w:rPr>
        <w:t> </w:t>
      </w:r>
      <w:r>
        <w:rPr>
          <w:sz w:val="20"/>
        </w:rPr>
        <w:t>realizace akce</w:t>
      </w:r>
      <w:r>
        <w:rPr>
          <w:spacing w:val="-9"/>
          <w:sz w:val="20"/>
        </w:rPr>
        <w:t> </w:t>
      </w:r>
      <w:r>
        <w:rPr>
          <w:sz w:val="20"/>
        </w:rPr>
        <w:t>i</w:t>
      </w:r>
      <w:r>
        <w:rPr>
          <w:spacing w:val="-8"/>
          <w:sz w:val="20"/>
        </w:rPr>
        <w:t> </w:t>
      </w:r>
      <w:r>
        <w:rPr>
          <w:sz w:val="20"/>
        </w:rPr>
        <w:t>po</w:t>
      </w:r>
      <w:r>
        <w:rPr>
          <w:spacing w:val="-8"/>
          <w:sz w:val="20"/>
        </w:rPr>
        <w:t> </w:t>
      </w:r>
      <w:r>
        <w:rPr>
          <w:sz w:val="20"/>
        </w:rPr>
        <w:t>jejím</w:t>
      </w:r>
      <w:r>
        <w:rPr>
          <w:spacing w:val="-10"/>
          <w:sz w:val="20"/>
        </w:rPr>
        <w:t> </w:t>
      </w:r>
      <w:r>
        <w:rPr>
          <w:sz w:val="20"/>
        </w:rPr>
        <w:t>dokončení,</w:t>
      </w:r>
      <w:r>
        <w:rPr>
          <w:spacing w:val="-8"/>
          <w:sz w:val="20"/>
        </w:rPr>
        <w:t> </w:t>
      </w:r>
      <w:r>
        <w:rPr>
          <w:sz w:val="20"/>
        </w:rPr>
        <w:t>a</w:t>
      </w:r>
      <w:r>
        <w:rPr>
          <w:spacing w:val="-7"/>
          <w:sz w:val="20"/>
        </w:rPr>
        <w:t> </w:t>
      </w:r>
      <w:r>
        <w:rPr>
          <w:sz w:val="20"/>
        </w:rPr>
        <w:t>to</w:t>
      </w:r>
      <w:r>
        <w:rPr>
          <w:spacing w:val="-8"/>
          <w:sz w:val="20"/>
        </w:rPr>
        <w:t> </w:t>
      </w:r>
      <w:r>
        <w:rPr>
          <w:sz w:val="20"/>
        </w:rPr>
        <w:t>v</w:t>
      </w:r>
      <w:r>
        <w:rPr>
          <w:spacing w:val="-10"/>
          <w:sz w:val="20"/>
        </w:rPr>
        <w:t> </w:t>
      </w:r>
      <w:r>
        <w:rPr>
          <w:sz w:val="20"/>
        </w:rPr>
        <w:t>takovém</w:t>
      </w:r>
      <w:r>
        <w:rPr>
          <w:spacing w:val="-9"/>
          <w:sz w:val="20"/>
        </w:rPr>
        <w:t> </w:t>
      </w:r>
      <w:r>
        <w:rPr>
          <w:sz w:val="20"/>
        </w:rPr>
        <w:t>rozsahu</w:t>
      </w:r>
      <w:r>
        <w:rPr>
          <w:spacing w:val="-8"/>
          <w:sz w:val="20"/>
        </w:rPr>
        <w:t> </w:t>
      </w:r>
      <w:r>
        <w:rPr>
          <w:sz w:val="20"/>
        </w:rPr>
        <w:t>(i</w:t>
      </w:r>
      <w:r>
        <w:rPr>
          <w:spacing w:val="-9"/>
          <w:sz w:val="20"/>
        </w:rPr>
        <w:t> </w:t>
      </w:r>
      <w:r>
        <w:rPr>
          <w:sz w:val="20"/>
        </w:rPr>
        <w:t>pokud</w:t>
      </w:r>
      <w:r>
        <w:rPr>
          <w:spacing w:val="-8"/>
          <w:sz w:val="20"/>
        </w:rPr>
        <w:t> </w:t>
      </w:r>
      <w:r>
        <w:rPr>
          <w:sz w:val="20"/>
        </w:rPr>
        <w:t>jde</w:t>
      </w:r>
      <w:r>
        <w:rPr>
          <w:spacing w:val="-9"/>
          <w:sz w:val="20"/>
        </w:rPr>
        <w:t> </w:t>
      </w:r>
      <w:r>
        <w:rPr>
          <w:sz w:val="20"/>
        </w:rPr>
        <w:t>o</w:t>
      </w:r>
      <w:r>
        <w:rPr>
          <w:spacing w:val="-8"/>
          <w:sz w:val="20"/>
        </w:rPr>
        <w:t> </w:t>
      </w:r>
      <w:r>
        <w:rPr>
          <w:sz w:val="20"/>
        </w:rPr>
        <w:t>poskytnutí</w:t>
      </w:r>
      <w:r>
        <w:rPr>
          <w:spacing w:val="-8"/>
          <w:sz w:val="20"/>
        </w:rPr>
        <w:t> </w:t>
      </w:r>
      <w:r>
        <w:rPr>
          <w:sz w:val="20"/>
        </w:rPr>
        <w:t>příslušných</w:t>
      </w:r>
      <w:r>
        <w:rPr>
          <w:spacing w:val="-9"/>
          <w:sz w:val="20"/>
        </w:rPr>
        <w:t> </w:t>
      </w:r>
      <w:r>
        <w:rPr>
          <w:sz w:val="20"/>
        </w:rPr>
        <w:t>dokladů),</w:t>
      </w:r>
      <w:r>
        <w:rPr>
          <w:spacing w:val="-8"/>
          <w:sz w:val="20"/>
        </w:rPr>
        <w:t> </w:t>
      </w:r>
      <w:r>
        <w:rPr>
          <w:sz w:val="20"/>
        </w:rPr>
        <w:t>aby mohly být objasněny všechny okolnosti, týkající se této Smlouvy,</w:t>
      </w:r>
    </w:p>
    <w:p>
      <w:pPr>
        <w:pStyle w:val="ListParagraph"/>
        <w:numPr>
          <w:ilvl w:val="1"/>
          <w:numId w:val="4"/>
        </w:numPr>
        <w:tabs>
          <w:tab w:pos="949" w:val="left" w:leader="none"/>
        </w:tabs>
        <w:spacing w:line="240" w:lineRule="auto" w:before="121" w:after="0"/>
        <w:ind w:left="94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949" w:val="left" w:leader="none"/>
        </w:tabs>
        <w:spacing w:line="240" w:lineRule="auto" w:before="119" w:after="0"/>
        <w:ind w:left="94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949" w:val="left" w:leader="none"/>
        </w:tabs>
        <w:spacing w:line="240" w:lineRule="auto" w:before="120" w:after="0"/>
        <w:ind w:left="948" w:right="111" w:hanging="284"/>
        <w:jc w:val="both"/>
        <w:rPr>
          <w:sz w:val="20"/>
        </w:rPr>
      </w:pPr>
      <w:r>
        <w:rPr>
          <w:sz w:val="20"/>
        </w:rPr>
        <w:t>dodržovat</w:t>
      </w:r>
      <w:r>
        <w:rPr>
          <w:spacing w:val="-9"/>
          <w:sz w:val="20"/>
        </w:rPr>
        <w:t> </w:t>
      </w:r>
      <w:r>
        <w:rPr>
          <w:sz w:val="20"/>
        </w:rPr>
        <w:t>pravidla</w:t>
      </w:r>
      <w:r>
        <w:rPr>
          <w:spacing w:val="-9"/>
          <w:sz w:val="20"/>
        </w:rPr>
        <w:t> </w:t>
      </w:r>
      <w:r>
        <w:rPr>
          <w:sz w:val="20"/>
        </w:rPr>
        <w:t>pro</w:t>
      </w:r>
      <w:r>
        <w:rPr>
          <w:spacing w:val="-8"/>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stanovená</w:t>
      </w:r>
      <w:r>
        <w:rPr>
          <w:spacing w:val="-9"/>
          <w:sz w:val="20"/>
        </w:rPr>
        <w:t> </w:t>
      </w:r>
      <w:r>
        <w:rPr>
          <w:sz w:val="20"/>
        </w:rPr>
        <w:t>v čl.</w:t>
      </w:r>
      <w:r>
        <w:rPr>
          <w:spacing w:val="-9"/>
          <w:sz w:val="20"/>
        </w:rPr>
        <w:t> </w:t>
      </w:r>
      <w:r>
        <w:rPr>
          <w:sz w:val="20"/>
        </w:rPr>
        <w:t>12</w:t>
      </w:r>
      <w:r>
        <w:rPr>
          <w:spacing w:val="-8"/>
          <w:sz w:val="20"/>
        </w:rPr>
        <w:t> </w:t>
      </w:r>
      <w:r>
        <w:rPr>
          <w:sz w:val="20"/>
        </w:rPr>
        <w:t>písm.</w:t>
      </w:r>
      <w:r>
        <w:rPr>
          <w:spacing w:val="-9"/>
          <w:sz w:val="20"/>
        </w:rPr>
        <w:t> </w:t>
      </w:r>
      <w:r>
        <w:rPr>
          <w:sz w:val="20"/>
        </w:rPr>
        <w:t>a)</w:t>
      </w:r>
      <w:r>
        <w:rPr>
          <w:spacing w:val="-9"/>
          <w:sz w:val="20"/>
        </w:rPr>
        <w:t> </w:t>
      </w:r>
      <w:r>
        <w:rPr>
          <w:sz w:val="20"/>
        </w:rPr>
        <w:t>Výzvy,</w:t>
      </w:r>
      <w:r>
        <w:rPr>
          <w:spacing w:val="-9"/>
          <w:sz w:val="20"/>
        </w:rPr>
        <w:t> </w:t>
      </w:r>
      <w:r>
        <w:rPr>
          <w:sz w:val="20"/>
        </w:rPr>
        <w:t>a</w:t>
      </w:r>
      <w:r>
        <w:rPr>
          <w:spacing w:val="-9"/>
          <w:sz w:val="20"/>
        </w:rPr>
        <w:t> </w:t>
      </w:r>
      <w:r>
        <w:rPr>
          <w:sz w:val="20"/>
        </w:rPr>
        <w:t>to</w:t>
      </w:r>
      <w:r>
        <w:rPr>
          <w:spacing w:val="-8"/>
          <w:sz w:val="20"/>
        </w:rPr>
        <w:t> </w:t>
      </w:r>
      <w:r>
        <w:rPr>
          <w:sz w:val="20"/>
        </w:rPr>
        <w:t>i</w:t>
      </w:r>
      <w:r>
        <w:rPr>
          <w:spacing w:val="-9"/>
          <w:sz w:val="20"/>
        </w:rPr>
        <w:t> </w:t>
      </w:r>
      <w:r>
        <w:rPr>
          <w:sz w:val="20"/>
        </w:rPr>
        <w:t>v</w:t>
      </w:r>
      <w:r>
        <w:rPr>
          <w:spacing w:val="-5"/>
          <w:sz w:val="20"/>
        </w:rPr>
        <w:t> </w:t>
      </w:r>
      <w:r>
        <w:rPr>
          <w:sz w:val="20"/>
        </w:rPr>
        <w:t>průběhu realizace akce. V této souvislosti příjemce podpory prohlašuje, že uvedená pravidla byla dodržena.</w:t>
      </w:r>
    </w:p>
    <w:p>
      <w:pPr>
        <w:pStyle w:val="BodyText"/>
        <w:ind w:left="0"/>
        <w:rPr>
          <w:sz w:val="36"/>
        </w:rPr>
      </w:pPr>
    </w:p>
    <w:p>
      <w:pPr>
        <w:pStyle w:val="Heading1"/>
        <w:ind w:left="3414"/>
      </w:pPr>
      <w:r>
        <w:rPr>
          <w:spacing w:val="-5"/>
        </w:rPr>
        <w:t>V.</w:t>
      </w:r>
    </w:p>
    <w:p>
      <w:pPr>
        <w:pStyle w:val="Heading2"/>
        <w:ind w:left="1325" w:right="1060"/>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ind w:left="0"/>
        <w:rPr>
          <w:b/>
          <w:sz w:val="18"/>
        </w:rPr>
      </w:pPr>
    </w:p>
    <w:p>
      <w:pPr>
        <w:pStyle w:val="ListParagraph"/>
        <w:numPr>
          <w:ilvl w:val="0"/>
          <w:numId w:val="5"/>
        </w:numPr>
        <w:tabs>
          <w:tab w:pos="666" w:val="left" w:leader="none"/>
        </w:tabs>
        <w:spacing w:line="240" w:lineRule="auto" w:before="0" w:after="0"/>
        <w:ind w:left="66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666" w:val="left" w:leader="none"/>
        </w:tabs>
        <w:spacing w:line="240" w:lineRule="auto" w:before="121" w:after="0"/>
        <w:ind w:left="665" w:right="112" w:hanging="284"/>
        <w:jc w:val="both"/>
        <w:rPr>
          <w:sz w:val="20"/>
        </w:rPr>
      </w:pPr>
      <w:r>
        <w:rPr>
          <w:sz w:val="20"/>
        </w:rPr>
        <w:t>Porušení</w:t>
      </w:r>
      <w:r>
        <w:rPr>
          <w:spacing w:val="-13"/>
          <w:sz w:val="20"/>
        </w:rPr>
        <w:t> </w:t>
      </w:r>
      <w:r>
        <w:rPr>
          <w:sz w:val="20"/>
        </w:rPr>
        <w:t>povinností</w:t>
      </w:r>
      <w:r>
        <w:rPr>
          <w:spacing w:val="-13"/>
          <w:sz w:val="20"/>
        </w:rPr>
        <w:t> </w:t>
      </w:r>
      <w:r>
        <w:rPr>
          <w:sz w:val="20"/>
        </w:rPr>
        <w:t>podle</w:t>
      </w:r>
      <w:r>
        <w:rPr>
          <w:spacing w:val="-14"/>
          <w:sz w:val="20"/>
        </w:rPr>
        <w:t> </w:t>
      </w:r>
      <w:r>
        <w:rPr>
          <w:sz w:val="20"/>
        </w:rPr>
        <w:t>článku</w:t>
      </w:r>
      <w:r>
        <w:rPr>
          <w:spacing w:val="-13"/>
          <w:sz w:val="20"/>
        </w:rPr>
        <w:t> </w:t>
      </w:r>
      <w:r>
        <w:rPr>
          <w:sz w:val="20"/>
        </w:rPr>
        <w:t>II</w:t>
      </w:r>
      <w:r>
        <w:rPr>
          <w:spacing w:val="-13"/>
          <w:sz w:val="20"/>
        </w:rPr>
        <w:t> </w:t>
      </w:r>
      <w:r>
        <w:rPr>
          <w:sz w:val="20"/>
        </w:rPr>
        <w:t>bodů</w:t>
      </w:r>
      <w:r>
        <w:rPr>
          <w:spacing w:val="-12"/>
          <w:sz w:val="20"/>
        </w:rPr>
        <w:t> </w:t>
      </w:r>
      <w:r>
        <w:rPr>
          <w:sz w:val="20"/>
        </w:rPr>
        <w:t>5</w:t>
      </w:r>
      <w:r>
        <w:rPr>
          <w:spacing w:val="-12"/>
          <w:sz w:val="20"/>
        </w:rPr>
        <w:t> </w:t>
      </w:r>
      <w:r>
        <w:rPr>
          <w:sz w:val="20"/>
        </w:rPr>
        <w:t>nebo</w:t>
      </w:r>
      <w:r>
        <w:rPr>
          <w:spacing w:val="-11"/>
          <w:sz w:val="20"/>
        </w:rPr>
        <w:t> </w:t>
      </w:r>
      <w:r>
        <w:rPr>
          <w:sz w:val="20"/>
        </w:rPr>
        <w:t>6,</w:t>
      </w:r>
      <w:r>
        <w:rPr>
          <w:spacing w:val="-13"/>
          <w:sz w:val="20"/>
        </w:rPr>
        <w:t> </w:t>
      </w:r>
      <w:r>
        <w:rPr>
          <w:sz w:val="20"/>
        </w:rPr>
        <w:t>podle</w:t>
      </w:r>
      <w:r>
        <w:rPr>
          <w:spacing w:val="-14"/>
          <w:sz w:val="20"/>
        </w:rPr>
        <w:t> </w:t>
      </w:r>
      <w:r>
        <w:rPr>
          <w:sz w:val="20"/>
        </w:rPr>
        <w:t>článku</w:t>
      </w:r>
      <w:r>
        <w:rPr>
          <w:spacing w:val="-13"/>
          <w:sz w:val="20"/>
        </w:rPr>
        <w:t> </w:t>
      </w:r>
      <w:r>
        <w:rPr>
          <w:sz w:val="20"/>
        </w:rPr>
        <w:t>IV</w:t>
      </w:r>
      <w:r>
        <w:rPr>
          <w:spacing w:val="-2"/>
          <w:sz w:val="20"/>
        </w:rPr>
        <w:t> </w:t>
      </w:r>
      <w:r>
        <w:rPr>
          <w:sz w:val="20"/>
        </w:rPr>
        <w:t>bodu</w:t>
      </w:r>
      <w:r>
        <w:rPr>
          <w:spacing w:val="-4"/>
          <w:sz w:val="20"/>
        </w:rPr>
        <w:t> </w:t>
      </w:r>
      <w:r>
        <w:rPr>
          <w:sz w:val="20"/>
        </w:rPr>
        <w:t>1</w:t>
      </w:r>
      <w:r>
        <w:rPr>
          <w:spacing w:val="-12"/>
          <w:sz w:val="20"/>
        </w:rPr>
        <w:t> </w:t>
      </w:r>
      <w:r>
        <w:rPr>
          <w:sz w:val="20"/>
        </w:rPr>
        <w:t>písm.</w:t>
      </w:r>
      <w:r>
        <w:rPr>
          <w:spacing w:val="-4"/>
          <w:sz w:val="20"/>
        </w:rPr>
        <w:t> </w:t>
      </w:r>
      <w:r>
        <w:rPr>
          <w:sz w:val="20"/>
        </w:rPr>
        <w:t>b)</w:t>
      </w:r>
      <w:r>
        <w:rPr>
          <w:spacing w:val="-12"/>
          <w:sz w:val="20"/>
        </w:rPr>
        <w:t> </w:t>
      </w:r>
      <w:r>
        <w:rPr>
          <w:sz w:val="20"/>
        </w:rPr>
        <w:t>za</w:t>
      </w:r>
      <w:r>
        <w:rPr>
          <w:spacing w:val="-13"/>
          <w:sz w:val="20"/>
        </w:rPr>
        <w:t> </w:t>
      </w:r>
      <w:r>
        <w:rPr>
          <w:sz w:val="20"/>
        </w:rPr>
        <w:t>první</w:t>
      </w:r>
      <w:r>
        <w:rPr>
          <w:spacing w:val="-13"/>
          <w:sz w:val="20"/>
        </w:rPr>
        <w:t> </w:t>
      </w:r>
      <w:r>
        <w:rPr>
          <w:sz w:val="20"/>
        </w:rPr>
        <w:t>nebo</w:t>
      </w:r>
      <w:r>
        <w:rPr>
          <w:spacing w:val="-11"/>
          <w:sz w:val="20"/>
        </w:rPr>
        <w:t> </w:t>
      </w:r>
      <w:r>
        <w:rPr>
          <w:sz w:val="20"/>
        </w:rPr>
        <w:t>druhou odrážkou nebo podle článku IV bodu 2 písm. a) nebo c), bude postiženo odvodem ve výši odpovídající neoprávněně použitým prostředkům.</w:t>
      </w:r>
    </w:p>
    <w:p>
      <w:pPr>
        <w:pStyle w:val="ListParagraph"/>
        <w:numPr>
          <w:ilvl w:val="0"/>
          <w:numId w:val="5"/>
        </w:numPr>
        <w:tabs>
          <w:tab w:pos="666" w:val="left" w:leader="none"/>
        </w:tabs>
        <w:spacing w:line="240" w:lineRule="auto" w:before="119" w:after="0"/>
        <w:ind w:left="665" w:right="111" w:hanging="284"/>
        <w:jc w:val="both"/>
        <w:rPr>
          <w:sz w:val="20"/>
        </w:rPr>
      </w:pPr>
      <w:r>
        <w:rPr>
          <w:sz w:val="20"/>
        </w:rPr>
        <w:t>Dojde-li</w:t>
      </w:r>
      <w:r>
        <w:rPr>
          <w:spacing w:val="-8"/>
          <w:sz w:val="20"/>
        </w:rPr>
        <w:t> </w:t>
      </w:r>
      <w:r>
        <w:rPr>
          <w:sz w:val="20"/>
        </w:rPr>
        <w:t>k</w:t>
      </w:r>
      <w:r>
        <w:rPr>
          <w:spacing w:val="-4"/>
          <w:sz w:val="20"/>
        </w:rPr>
        <w:t> </w:t>
      </w:r>
      <w:r>
        <w:rPr>
          <w:sz w:val="20"/>
        </w:rPr>
        <w:t>porušení</w:t>
      </w:r>
      <w:r>
        <w:rPr>
          <w:spacing w:val="-8"/>
          <w:sz w:val="20"/>
        </w:rPr>
        <w:t> </w:t>
      </w:r>
      <w:r>
        <w:rPr>
          <w:sz w:val="20"/>
        </w:rPr>
        <w:t>povinností</w:t>
      </w:r>
      <w:r>
        <w:rPr>
          <w:spacing w:val="-8"/>
          <w:sz w:val="20"/>
        </w:rPr>
        <w:t> </w:t>
      </w:r>
      <w:r>
        <w:rPr>
          <w:sz w:val="20"/>
        </w:rPr>
        <w:t>uvedených</w:t>
      </w:r>
      <w:r>
        <w:rPr>
          <w:spacing w:val="-8"/>
          <w:sz w:val="20"/>
        </w:rPr>
        <w:t> </w:t>
      </w:r>
      <w:r>
        <w:rPr>
          <w:sz w:val="20"/>
        </w:rPr>
        <w:t>v 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a)</w:t>
      </w:r>
      <w:r>
        <w:rPr>
          <w:spacing w:val="-9"/>
          <w:sz w:val="20"/>
        </w:rPr>
        <w:t> </w:t>
      </w:r>
      <w:r>
        <w:rPr>
          <w:sz w:val="20"/>
        </w:rPr>
        <w:t>za</w:t>
      </w:r>
      <w:r>
        <w:rPr>
          <w:spacing w:val="-8"/>
          <w:sz w:val="20"/>
        </w:rPr>
        <w:t> </w:t>
      </w:r>
      <w:r>
        <w:rPr>
          <w:sz w:val="20"/>
        </w:rPr>
        <w:t>první</w:t>
      </w:r>
      <w:r>
        <w:rPr>
          <w:spacing w:val="-8"/>
          <w:sz w:val="20"/>
        </w:rPr>
        <w:t> </w:t>
      </w:r>
      <w:r>
        <w:rPr>
          <w:sz w:val="20"/>
        </w:rPr>
        <w:t>nebo</w:t>
      </w:r>
      <w:r>
        <w:rPr>
          <w:spacing w:val="-7"/>
          <w:sz w:val="20"/>
        </w:rPr>
        <w:t> </w:t>
      </w:r>
      <w:r>
        <w:rPr>
          <w:sz w:val="20"/>
        </w:rPr>
        <w:t>třetí</w:t>
      </w:r>
      <w:r>
        <w:rPr>
          <w:spacing w:val="-5"/>
          <w:sz w:val="20"/>
        </w:rPr>
        <w:t> </w:t>
      </w:r>
      <w:r>
        <w:rPr>
          <w:sz w:val="20"/>
        </w:rPr>
        <w:t>odrážkou,</w:t>
      </w:r>
      <w:r>
        <w:rPr>
          <w:spacing w:val="-8"/>
          <w:sz w:val="20"/>
        </w:rPr>
        <w:t> </w:t>
      </w:r>
      <w:r>
        <w:rPr>
          <w:sz w:val="20"/>
        </w:rPr>
        <w:t>bude toto porušení postiženo odvodem ve výši 100 % z</w:t>
      </w:r>
      <w:r>
        <w:rPr>
          <w:spacing w:val="-1"/>
          <w:sz w:val="20"/>
        </w:rPr>
        <w:t> </w:t>
      </w:r>
      <w:r>
        <w:rPr>
          <w:sz w:val="20"/>
        </w:rPr>
        <w:t>poskytnuté podpory. Byl-li naplněn účel akce podle článku IV bodu 1 písm. a) za druhou odrážkou nebo podle článku IV bodu 1 písm. b) za třetí odrážkou na</w:t>
      </w:r>
      <w:r>
        <w:rPr>
          <w:spacing w:val="36"/>
          <w:sz w:val="20"/>
        </w:rPr>
        <w:t> </w:t>
      </w:r>
      <w:r>
        <w:rPr>
          <w:sz w:val="20"/>
        </w:rPr>
        <w:t>méně</w:t>
      </w:r>
      <w:r>
        <w:rPr>
          <w:spacing w:val="33"/>
          <w:sz w:val="20"/>
        </w:rPr>
        <w:t> </w:t>
      </w:r>
      <w:r>
        <w:rPr>
          <w:sz w:val="20"/>
        </w:rPr>
        <w:t>než</w:t>
      </w:r>
      <w:r>
        <w:rPr>
          <w:spacing w:val="35"/>
          <w:sz w:val="20"/>
        </w:rPr>
        <w:t> </w:t>
      </w:r>
      <w:r>
        <w:rPr>
          <w:sz w:val="20"/>
        </w:rPr>
        <w:t>50</w:t>
      </w:r>
      <w:r>
        <w:rPr>
          <w:spacing w:val="34"/>
          <w:sz w:val="20"/>
        </w:rPr>
        <w:t> </w:t>
      </w:r>
      <w:r>
        <w:rPr>
          <w:sz w:val="20"/>
        </w:rPr>
        <w:t>%</w:t>
      </w:r>
      <w:r>
        <w:rPr>
          <w:spacing w:val="34"/>
          <w:sz w:val="20"/>
        </w:rPr>
        <w:t> </w:t>
      </w:r>
      <w:r>
        <w:rPr>
          <w:sz w:val="20"/>
        </w:rPr>
        <w:t>stanovených</w:t>
      </w:r>
      <w:r>
        <w:rPr>
          <w:spacing w:val="34"/>
          <w:sz w:val="20"/>
        </w:rPr>
        <w:t> </w:t>
      </w:r>
      <w:r>
        <w:rPr>
          <w:sz w:val="20"/>
        </w:rPr>
        <w:t>indikátorů,</w:t>
      </w:r>
      <w:r>
        <w:rPr>
          <w:spacing w:val="34"/>
          <w:sz w:val="20"/>
        </w:rPr>
        <w:t> </w:t>
      </w:r>
      <w:r>
        <w:rPr>
          <w:sz w:val="20"/>
        </w:rPr>
        <w:t>bude</w:t>
      </w:r>
      <w:r>
        <w:rPr>
          <w:spacing w:val="33"/>
          <w:sz w:val="20"/>
        </w:rPr>
        <w:t> </w:t>
      </w:r>
      <w:r>
        <w:rPr>
          <w:sz w:val="20"/>
        </w:rPr>
        <w:t>toto</w:t>
      </w:r>
      <w:r>
        <w:rPr>
          <w:spacing w:val="35"/>
          <w:sz w:val="20"/>
        </w:rPr>
        <w:t> </w:t>
      </w:r>
      <w:r>
        <w:rPr>
          <w:sz w:val="20"/>
        </w:rPr>
        <w:t>porušení</w:t>
      </w:r>
      <w:r>
        <w:rPr>
          <w:spacing w:val="34"/>
          <w:sz w:val="20"/>
        </w:rPr>
        <w:t> </w:t>
      </w:r>
      <w:r>
        <w:rPr>
          <w:sz w:val="20"/>
        </w:rPr>
        <w:t>postiženo</w:t>
      </w:r>
      <w:r>
        <w:rPr>
          <w:spacing w:val="37"/>
          <w:sz w:val="20"/>
        </w:rPr>
        <w:t> </w:t>
      </w:r>
      <w:r>
        <w:rPr>
          <w:sz w:val="20"/>
        </w:rPr>
        <w:t>odvodem</w:t>
      </w:r>
      <w:r>
        <w:rPr>
          <w:spacing w:val="33"/>
          <w:sz w:val="20"/>
        </w:rPr>
        <w:t> </w:t>
      </w:r>
      <w:r>
        <w:rPr>
          <w:sz w:val="20"/>
        </w:rPr>
        <w:t>ve</w:t>
      </w:r>
      <w:r>
        <w:rPr>
          <w:spacing w:val="33"/>
          <w:sz w:val="20"/>
        </w:rPr>
        <w:t> </w:t>
      </w:r>
      <w:r>
        <w:rPr>
          <w:sz w:val="20"/>
        </w:rPr>
        <w:t>výši</w:t>
      </w:r>
      <w:r>
        <w:rPr>
          <w:spacing w:val="33"/>
          <w:sz w:val="20"/>
        </w:rPr>
        <w:t> </w:t>
      </w:r>
      <w:r>
        <w:rPr>
          <w:sz w:val="20"/>
        </w:rPr>
        <w:t>100</w:t>
      </w:r>
      <w:r>
        <w:rPr>
          <w:spacing w:val="37"/>
          <w:sz w:val="20"/>
        </w:rPr>
        <w:t> </w:t>
      </w:r>
      <w:r>
        <w:rPr>
          <w:sz w:val="20"/>
        </w:rPr>
        <w:t>% z</w:t>
      </w:r>
      <w:r>
        <w:rPr>
          <w:spacing w:val="-2"/>
          <w:sz w:val="20"/>
        </w:rPr>
        <w:t> </w:t>
      </w:r>
      <w:r>
        <w:rPr>
          <w:sz w:val="20"/>
        </w:rPr>
        <w:t>poskytnuté podpory. V případě plnění účelu akce v</w:t>
      </w:r>
      <w:r>
        <w:rPr>
          <w:spacing w:val="-1"/>
          <w:sz w:val="20"/>
        </w:rPr>
        <w:t> </w:t>
      </w:r>
      <w:r>
        <w:rPr>
          <w:sz w:val="20"/>
        </w:rPr>
        <w:t>rozmezí 50-89,99 % stanovených indikátorů, bude toto</w:t>
      </w:r>
      <w:r>
        <w:rPr>
          <w:spacing w:val="-10"/>
          <w:sz w:val="20"/>
        </w:rPr>
        <w:t> </w:t>
      </w:r>
      <w:r>
        <w:rPr>
          <w:sz w:val="20"/>
        </w:rPr>
        <w:t>porušení</w:t>
      </w:r>
      <w:r>
        <w:rPr>
          <w:spacing w:val="-11"/>
          <w:sz w:val="20"/>
        </w:rPr>
        <w:t> </w:t>
      </w:r>
      <w:r>
        <w:rPr>
          <w:sz w:val="20"/>
        </w:rPr>
        <w:t>postiženo</w:t>
      </w:r>
      <w:r>
        <w:rPr>
          <w:spacing w:val="-10"/>
          <w:sz w:val="20"/>
        </w:rPr>
        <w:t> </w:t>
      </w:r>
      <w:r>
        <w:rPr>
          <w:sz w:val="20"/>
        </w:rPr>
        <w:t>odvodem</w:t>
      </w:r>
      <w:r>
        <w:rPr>
          <w:spacing w:val="-13"/>
          <w:sz w:val="20"/>
        </w:rPr>
        <w:t> </w:t>
      </w:r>
      <w:r>
        <w:rPr>
          <w:sz w:val="20"/>
        </w:rPr>
        <w:t>v</w:t>
      </w:r>
      <w:r>
        <w:rPr>
          <w:spacing w:val="-3"/>
          <w:sz w:val="20"/>
        </w:rPr>
        <w:t> </w:t>
      </w:r>
      <w:r>
        <w:rPr>
          <w:sz w:val="20"/>
        </w:rPr>
        <w:t>rozmezí</w:t>
      </w:r>
      <w:r>
        <w:rPr>
          <w:spacing w:val="-12"/>
          <w:sz w:val="20"/>
        </w:rPr>
        <w:t> </w:t>
      </w:r>
      <w:r>
        <w:rPr>
          <w:sz w:val="20"/>
        </w:rPr>
        <w:t>10-50</w:t>
      </w:r>
      <w:r>
        <w:rPr>
          <w:spacing w:val="-11"/>
          <w:sz w:val="20"/>
        </w:rPr>
        <w:t> </w:t>
      </w:r>
      <w:r>
        <w:rPr>
          <w:sz w:val="20"/>
        </w:rPr>
        <w:t>%</w:t>
      </w:r>
      <w:r>
        <w:rPr>
          <w:spacing w:val="-11"/>
          <w:sz w:val="20"/>
        </w:rPr>
        <w:t> </w:t>
      </w:r>
      <w:r>
        <w:rPr>
          <w:sz w:val="20"/>
        </w:rPr>
        <w:t>z</w:t>
      </w:r>
      <w:r>
        <w:rPr>
          <w:spacing w:val="-2"/>
          <w:sz w:val="20"/>
        </w:rPr>
        <w:t> </w:t>
      </w:r>
      <w:r>
        <w:rPr>
          <w:sz w:val="20"/>
        </w:rPr>
        <w:t>poskytnuté</w:t>
      </w:r>
      <w:r>
        <w:rPr>
          <w:spacing w:val="-13"/>
          <w:sz w:val="20"/>
        </w:rPr>
        <w:t> </w:t>
      </w:r>
      <w:r>
        <w:rPr>
          <w:sz w:val="20"/>
        </w:rPr>
        <w:t>podpory</w:t>
      </w:r>
      <w:r>
        <w:rPr>
          <w:spacing w:val="-11"/>
          <w:sz w:val="20"/>
        </w:rPr>
        <w:t> </w:t>
      </w:r>
      <w:r>
        <w:rPr>
          <w:sz w:val="20"/>
        </w:rPr>
        <w:t>v</w:t>
      </w:r>
      <w:r>
        <w:rPr>
          <w:spacing w:val="-3"/>
          <w:sz w:val="20"/>
        </w:rPr>
        <w:t> </w:t>
      </w:r>
      <w:r>
        <w:rPr>
          <w:sz w:val="20"/>
        </w:rPr>
        <w:t>závislosti</w:t>
      </w:r>
      <w:r>
        <w:rPr>
          <w:spacing w:val="-12"/>
          <w:sz w:val="20"/>
        </w:rPr>
        <w:t> </w:t>
      </w:r>
      <w:r>
        <w:rPr>
          <w:sz w:val="20"/>
        </w:rPr>
        <w:t>na</w:t>
      </w:r>
      <w:r>
        <w:rPr>
          <w:spacing w:val="-9"/>
          <w:sz w:val="20"/>
        </w:rPr>
        <w:t> </w:t>
      </w:r>
      <w:r>
        <w:rPr>
          <w:sz w:val="20"/>
        </w:rPr>
        <w:t>míře</w:t>
      </w:r>
      <w:r>
        <w:rPr>
          <w:spacing w:val="-12"/>
          <w:sz w:val="20"/>
        </w:rPr>
        <w:t> </w:t>
      </w:r>
      <w:r>
        <w:rPr>
          <w:sz w:val="20"/>
        </w:rPr>
        <w:t>porušení stanovených</w:t>
      </w:r>
      <w:r>
        <w:rPr>
          <w:spacing w:val="-14"/>
          <w:sz w:val="20"/>
        </w:rPr>
        <w:t> </w:t>
      </w:r>
      <w:r>
        <w:rPr>
          <w:sz w:val="20"/>
        </w:rPr>
        <w:t>indikátorů</w:t>
      </w:r>
      <w:r>
        <w:rPr>
          <w:spacing w:val="-14"/>
          <w:sz w:val="20"/>
        </w:rPr>
        <w:t> </w:t>
      </w:r>
      <w:r>
        <w:rPr>
          <w:sz w:val="20"/>
        </w:rPr>
        <w:t>účelu</w:t>
      </w:r>
      <w:r>
        <w:rPr>
          <w:spacing w:val="-14"/>
          <w:sz w:val="20"/>
        </w:rPr>
        <w:t> </w:t>
      </w:r>
      <w:r>
        <w:rPr>
          <w:sz w:val="20"/>
        </w:rPr>
        <w:t>akce.</w:t>
      </w:r>
      <w:r>
        <w:rPr>
          <w:spacing w:val="-13"/>
          <w:sz w:val="20"/>
        </w:rPr>
        <w:t> </w:t>
      </w:r>
      <w:r>
        <w:rPr>
          <w:sz w:val="20"/>
        </w:rPr>
        <w:t>Plnění</w:t>
      </w:r>
      <w:r>
        <w:rPr>
          <w:spacing w:val="-14"/>
          <w:sz w:val="20"/>
        </w:rPr>
        <w:t> </w:t>
      </w:r>
      <w:r>
        <w:rPr>
          <w:sz w:val="20"/>
        </w:rPr>
        <w:t>účelu</w:t>
      </w:r>
      <w:r>
        <w:rPr>
          <w:spacing w:val="-14"/>
          <w:sz w:val="20"/>
        </w:rPr>
        <w:t> </w:t>
      </w:r>
      <w:r>
        <w:rPr>
          <w:sz w:val="20"/>
        </w:rPr>
        <w:t>akce</w:t>
      </w:r>
      <w:r>
        <w:rPr>
          <w:spacing w:val="-13"/>
          <w:sz w:val="20"/>
        </w:rPr>
        <w:t> </w:t>
      </w:r>
      <w:r>
        <w:rPr>
          <w:sz w:val="20"/>
        </w:rPr>
        <w:t>v</w:t>
      </w:r>
      <w:r>
        <w:rPr>
          <w:spacing w:val="-14"/>
          <w:sz w:val="20"/>
        </w:rPr>
        <w:t> </w:t>
      </w:r>
      <w:r>
        <w:rPr>
          <w:sz w:val="20"/>
        </w:rPr>
        <w:t>rozmezí</w:t>
      </w:r>
      <w:r>
        <w:rPr>
          <w:spacing w:val="-14"/>
          <w:sz w:val="20"/>
        </w:rPr>
        <w:t> </w:t>
      </w:r>
      <w:r>
        <w:rPr>
          <w:sz w:val="20"/>
        </w:rPr>
        <w:t>90-100</w:t>
      </w:r>
      <w:r>
        <w:rPr>
          <w:spacing w:val="-13"/>
          <w:sz w:val="20"/>
        </w:rPr>
        <w:t> </w:t>
      </w:r>
      <w:r>
        <w:rPr>
          <w:sz w:val="20"/>
        </w:rPr>
        <w:t>%</w:t>
      </w:r>
      <w:r>
        <w:rPr>
          <w:spacing w:val="-14"/>
          <w:sz w:val="20"/>
        </w:rPr>
        <w:t> </w:t>
      </w:r>
      <w:r>
        <w:rPr>
          <w:sz w:val="20"/>
        </w:rPr>
        <w:t>stanovených</w:t>
      </w:r>
      <w:r>
        <w:rPr>
          <w:spacing w:val="-14"/>
          <w:sz w:val="20"/>
        </w:rPr>
        <w:t> </w:t>
      </w:r>
      <w:r>
        <w:rPr>
          <w:sz w:val="20"/>
        </w:rPr>
        <w:t>indikátorů</w:t>
      </w:r>
      <w:r>
        <w:rPr>
          <w:spacing w:val="-14"/>
          <w:sz w:val="20"/>
        </w:rPr>
        <w:t> </w:t>
      </w:r>
      <w:r>
        <w:rPr>
          <w:sz w:val="20"/>
        </w:rPr>
        <w:t>nebude postiženo odvodem.</w:t>
      </w:r>
    </w:p>
    <w:p>
      <w:pPr>
        <w:spacing w:after="0" w:line="240" w:lineRule="auto"/>
        <w:jc w:val="both"/>
        <w:rPr>
          <w:sz w:val="20"/>
        </w:rPr>
        <w:sectPr>
          <w:pgSz w:w="12240" w:h="15840"/>
          <w:pgMar w:header="0" w:footer="1384" w:top="1060" w:bottom="1660" w:left="1320" w:right="1020"/>
        </w:sectPr>
      </w:pPr>
    </w:p>
    <w:p>
      <w:pPr>
        <w:pStyle w:val="ListParagraph"/>
        <w:numPr>
          <w:ilvl w:val="0"/>
          <w:numId w:val="5"/>
        </w:numPr>
        <w:tabs>
          <w:tab w:pos="666" w:val="left" w:leader="none"/>
        </w:tabs>
        <w:spacing w:line="240" w:lineRule="auto" w:before="73" w:after="0"/>
        <w:ind w:left="665" w:right="111" w:hanging="284"/>
        <w:jc w:val="both"/>
        <w:rPr>
          <w:sz w:val="20"/>
        </w:rPr>
      </w:pPr>
      <w:r>
        <w:rPr>
          <w:sz w:val="20"/>
        </w:rPr>
        <w:t>Porušení</w:t>
      </w:r>
      <w:r>
        <w:rPr>
          <w:spacing w:val="-6"/>
          <w:sz w:val="20"/>
        </w:rPr>
        <w:t> </w:t>
      </w:r>
      <w:r>
        <w:rPr>
          <w:sz w:val="20"/>
        </w:rPr>
        <w:t>termínu</w:t>
      </w:r>
      <w:r>
        <w:rPr>
          <w:spacing w:val="-3"/>
          <w:sz w:val="20"/>
        </w:rPr>
        <w:t> </w:t>
      </w:r>
      <w:r>
        <w:rPr>
          <w:sz w:val="20"/>
        </w:rPr>
        <w:t>dokončení</w:t>
      </w:r>
      <w:r>
        <w:rPr>
          <w:spacing w:val="-3"/>
          <w:sz w:val="20"/>
        </w:rPr>
        <w:t> </w:t>
      </w:r>
      <w:r>
        <w:rPr>
          <w:sz w:val="20"/>
        </w:rPr>
        <w:t>akce</w:t>
      </w:r>
      <w:r>
        <w:rPr>
          <w:spacing w:val="-4"/>
          <w:sz w:val="20"/>
        </w:rPr>
        <w:t> </w:t>
      </w:r>
      <w:r>
        <w:rPr>
          <w:sz w:val="20"/>
        </w:rPr>
        <w:t>podle</w:t>
      </w:r>
      <w:r>
        <w:rPr>
          <w:spacing w:val="-4"/>
          <w:sz w:val="20"/>
        </w:rPr>
        <w:t> </w:t>
      </w:r>
      <w:r>
        <w:rPr>
          <w:sz w:val="20"/>
        </w:rPr>
        <w:t>článku</w:t>
      </w:r>
      <w:r>
        <w:rPr>
          <w:spacing w:val="-3"/>
          <w:sz w:val="20"/>
        </w:rPr>
        <w:t> </w:t>
      </w:r>
      <w:r>
        <w:rPr>
          <w:sz w:val="20"/>
        </w:rPr>
        <w:t>IV</w:t>
      </w:r>
      <w:r>
        <w:rPr>
          <w:spacing w:val="-5"/>
          <w:sz w:val="20"/>
        </w:rPr>
        <w:t> </w:t>
      </w:r>
      <w:r>
        <w:rPr>
          <w:sz w:val="20"/>
        </w:rPr>
        <w:t>bodu</w:t>
      </w:r>
      <w:r>
        <w:rPr>
          <w:spacing w:val="-3"/>
          <w:sz w:val="20"/>
        </w:rPr>
        <w:t> </w:t>
      </w:r>
      <w:r>
        <w:rPr>
          <w:sz w:val="20"/>
        </w:rPr>
        <w:t>1</w:t>
      </w:r>
      <w:r>
        <w:rPr>
          <w:spacing w:val="-5"/>
          <w:sz w:val="20"/>
        </w:rPr>
        <w:t> </w:t>
      </w:r>
      <w:r>
        <w:rPr>
          <w:sz w:val="20"/>
        </w:rPr>
        <w:t>písm.</w:t>
      </w:r>
      <w:r>
        <w:rPr>
          <w:spacing w:val="-3"/>
          <w:sz w:val="20"/>
        </w:rPr>
        <w:t> </w:t>
      </w:r>
      <w:r>
        <w:rPr>
          <w:sz w:val="20"/>
        </w:rPr>
        <w:t>a)</w:t>
      </w:r>
      <w:r>
        <w:rPr>
          <w:spacing w:val="-6"/>
          <w:sz w:val="20"/>
        </w:rPr>
        <w:t> </w:t>
      </w:r>
      <w:r>
        <w:rPr>
          <w:sz w:val="20"/>
        </w:rPr>
        <w:t>odrážky</w:t>
      </w:r>
      <w:r>
        <w:rPr>
          <w:spacing w:val="-6"/>
          <w:sz w:val="20"/>
        </w:rPr>
        <w:t> </w:t>
      </w:r>
      <w:r>
        <w:rPr>
          <w:sz w:val="20"/>
        </w:rPr>
        <w:t>druhé</w:t>
      </w:r>
      <w:r>
        <w:rPr>
          <w:spacing w:val="-6"/>
          <w:sz w:val="20"/>
        </w:rPr>
        <w:t> </w:t>
      </w:r>
      <w:r>
        <w:rPr>
          <w:sz w:val="20"/>
        </w:rPr>
        <w:t>nebo</w:t>
      </w:r>
      <w:r>
        <w:rPr>
          <w:spacing w:val="-4"/>
          <w:sz w:val="20"/>
        </w:rPr>
        <w:t> </w:t>
      </w:r>
      <w:r>
        <w:rPr>
          <w:sz w:val="20"/>
        </w:rPr>
        <w:t>povinností</w:t>
      </w:r>
      <w:r>
        <w:rPr>
          <w:spacing w:val="-6"/>
          <w:sz w:val="20"/>
        </w:rPr>
        <w:t> </w:t>
      </w:r>
      <w:r>
        <w:rPr>
          <w:sz w:val="20"/>
        </w:rPr>
        <w:t>podle článku</w:t>
      </w:r>
      <w:r>
        <w:rPr>
          <w:spacing w:val="-14"/>
          <w:sz w:val="20"/>
        </w:rPr>
        <w:t> </w:t>
      </w:r>
      <w:r>
        <w:rPr>
          <w:sz w:val="20"/>
        </w:rPr>
        <w:t>IV</w:t>
      </w:r>
      <w:r>
        <w:rPr>
          <w:spacing w:val="-14"/>
          <w:sz w:val="20"/>
        </w:rPr>
        <w:t> </w:t>
      </w:r>
      <w:r>
        <w:rPr>
          <w:sz w:val="20"/>
        </w:rPr>
        <w:t>bodu</w:t>
      </w:r>
      <w:r>
        <w:rPr>
          <w:spacing w:val="-14"/>
          <w:sz w:val="20"/>
        </w:rPr>
        <w:t> </w:t>
      </w:r>
      <w:r>
        <w:rPr>
          <w:sz w:val="20"/>
        </w:rPr>
        <w:t>1</w:t>
      </w:r>
      <w:r>
        <w:rPr>
          <w:spacing w:val="-13"/>
          <w:sz w:val="20"/>
        </w:rPr>
        <w:t> </w:t>
      </w:r>
      <w:r>
        <w:rPr>
          <w:sz w:val="20"/>
        </w:rPr>
        <w:t>písm.</w:t>
      </w:r>
      <w:r>
        <w:rPr>
          <w:spacing w:val="-14"/>
          <w:sz w:val="20"/>
        </w:rPr>
        <w:t> </w:t>
      </w:r>
      <w:r>
        <w:rPr>
          <w:sz w:val="20"/>
        </w:rPr>
        <w:t>c)</w:t>
      </w:r>
      <w:r>
        <w:rPr>
          <w:spacing w:val="-14"/>
          <w:sz w:val="20"/>
        </w:rPr>
        <w:t> </w:t>
      </w:r>
      <w:r>
        <w:rPr>
          <w:sz w:val="20"/>
        </w:rPr>
        <w:t>bude</w:t>
      </w:r>
      <w:r>
        <w:rPr>
          <w:spacing w:val="-13"/>
          <w:sz w:val="20"/>
        </w:rPr>
        <w:t> </w:t>
      </w:r>
      <w:r>
        <w:rPr>
          <w:sz w:val="20"/>
        </w:rPr>
        <w:t>postiženo</w:t>
      </w:r>
      <w:r>
        <w:rPr>
          <w:spacing w:val="-14"/>
          <w:sz w:val="20"/>
        </w:rPr>
        <w:t> </w:t>
      </w:r>
      <w:r>
        <w:rPr>
          <w:sz w:val="20"/>
        </w:rPr>
        <w:t>odvodem</w:t>
      </w:r>
      <w:r>
        <w:rPr>
          <w:spacing w:val="-14"/>
          <w:sz w:val="20"/>
        </w:rPr>
        <w:t> </w:t>
      </w:r>
      <w:r>
        <w:rPr>
          <w:sz w:val="20"/>
        </w:rPr>
        <w:t>ve</w:t>
      </w:r>
      <w:r>
        <w:rPr>
          <w:spacing w:val="-13"/>
          <w:sz w:val="20"/>
        </w:rPr>
        <w:t> </w:t>
      </w:r>
      <w:r>
        <w:rPr>
          <w:sz w:val="20"/>
        </w:rPr>
        <w:t>výši</w:t>
      </w:r>
      <w:r>
        <w:rPr>
          <w:spacing w:val="-14"/>
          <w:sz w:val="20"/>
        </w:rPr>
        <w:t> </w:t>
      </w:r>
      <w:r>
        <w:rPr>
          <w:sz w:val="20"/>
        </w:rPr>
        <w:t>0,5</w:t>
      </w:r>
      <w:r>
        <w:rPr>
          <w:spacing w:val="-14"/>
          <w:sz w:val="20"/>
        </w:rPr>
        <w:t> </w:t>
      </w:r>
      <w:r>
        <w:rPr>
          <w:sz w:val="20"/>
        </w:rPr>
        <w:t>%</w:t>
      </w:r>
      <w:r>
        <w:rPr>
          <w:spacing w:val="-14"/>
          <w:sz w:val="20"/>
        </w:rPr>
        <w:t> </w:t>
      </w:r>
      <w:r>
        <w:rPr>
          <w:sz w:val="20"/>
        </w:rPr>
        <w:t>z</w:t>
      </w:r>
      <w:r>
        <w:rPr>
          <w:spacing w:val="-13"/>
          <w:sz w:val="20"/>
        </w:rPr>
        <w:t> </w:t>
      </w:r>
      <w:r>
        <w:rPr>
          <w:sz w:val="20"/>
        </w:rPr>
        <w:t>poskytnuté</w:t>
      </w:r>
      <w:r>
        <w:rPr>
          <w:spacing w:val="-14"/>
          <w:sz w:val="20"/>
        </w:rPr>
        <w:t> </w:t>
      </w:r>
      <w:r>
        <w:rPr>
          <w:sz w:val="20"/>
        </w:rPr>
        <w:t>podpory</w:t>
      </w:r>
      <w:r>
        <w:rPr>
          <w:spacing w:val="-14"/>
          <w:sz w:val="20"/>
        </w:rPr>
        <w:t> </w:t>
      </w:r>
      <w:r>
        <w:rPr>
          <w:sz w:val="20"/>
        </w:rPr>
        <w:t>za</w:t>
      </w:r>
      <w:r>
        <w:rPr>
          <w:spacing w:val="-13"/>
          <w:sz w:val="20"/>
        </w:rPr>
        <w:t> </w:t>
      </w:r>
      <w:r>
        <w:rPr>
          <w:sz w:val="20"/>
        </w:rPr>
        <w:t>každý</w:t>
      </w:r>
      <w:r>
        <w:rPr>
          <w:spacing w:val="-14"/>
          <w:sz w:val="20"/>
        </w:rPr>
        <w:t> </w:t>
      </w:r>
      <w:r>
        <w:rPr>
          <w:sz w:val="20"/>
        </w:rPr>
        <w:t>započatý měsíc</w:t>
      </w:r>
      <w:r>
        <w:rPr>
          <w:spacing w:val="-5"/>
          <w:sz w:val="20"/>
        </w:rPr>
        <w:t> </w:t>
      </w:r>
      <w:r>
        <w:rPr>
          <w:sz w:val="20"/>
        </w:rPr>
        <w:t>prodlení.</w:t>
      </w:r>
      <w:r>
        <w:rPr>
          <w:spacing w:val="-2"/>
          <w:sz w:val="20"/>
        </w:rPr>
        <w:t> </w:t>
      </w:r>
      <w:r>
        <w:rPr>
          <w:sz w:val="20"/>
        </w:rPr>
        <w:t>Porušení</w:t>
      </w:r>
      <w:r>
        <w:rPr>
          <w:spacing w:val="-5"/>
          <w:sz w:val="20"/>
        </w:rPr>
        <w:t> </w:t>
      </w:r>
      <w:r>
        <w:rPr>
          <w:sz w:val="20"/>
        </w:rPr>
        <w:t>těchto</w:t>
      </w:r>
      <w:r>
        <w:rPr>
          <w:spacing w:val="-4"/>
          <w:sz w:val="20"/>
        </w:rPr>
        <w:t> </w:t>
      </w:r>
      <w:r>
        <w:rPr>
          <w:sz w:val="20"/>
        </w:rPr>
        <w:t>povinností</w:t>
      </w:r>
      <w:r>
        <w:rPr>
          <w:spacing w:val="-5"/>
          <w:sz w:val="20"/>
        </w:rPr>
        <w:t> </w:t>
      </w:r>
      <w:r>
        <w:rPr>
          <w:sz w:val="20"/>
        </w:rPr>
        <w:t>nepřesahující</w:t>
      </w:r>
      <w:r>
        <w:rPr>
          <w:spacing w:val="-5"/>
          <w:sz w:val="20"/>
        </w:rPr>
        <w:t> </w:t>
      </w:r>
      <w:r>
        <w:rPr>
          <w:sz w:val="20"/>
        </w:rPr>
        <w:t>lhůtu</w:t>
      </w:r>
      <w:r>
        <w:rPr>
          <w:spacing w:val="-4"/>
          <w:sz w:val="20"/>
        </w:rPr>
        <w:t> </w:t>
      </w:r>
      <w:r>
        <w:rPr>
          <w:sz w:val="20"/>
        </w:rPr>
        <w:t>10</w:t>
      </w:r>
      <w:r>
        <w:rPr>
          <w:spacing w:val="-4"/>
          <w:sz w:val="20"/>
        </w:rPr>
        <w:t> </w:t>
      </w:r>
      <w:r>
        <w:rPr>
          <w:sz w:val="20"/>
        </w:rPr>
        <w:t>kalendářních</w:t>
      </w:r>
      <w:r>
        <w:rPr>
          <w:spacing w:val="-4"/>
          <w:sz w:val="20"/>
        </w:rPr>
        <w:t> </w:t>
      </w:r>
      <w:r>
        <w:rPr>
          <w:sz w:val="20"/>
        </w:rPr>
        <w:t>dnů</w:t>
      </w:r>
      <w:r>
        <w:rPr>
          <w:spacing w:val="-4"/>
          <w:sz w:val="20"/>
        </w:rPr>
        <w:t> </w:t>
      </w:r>
      <w:r>
        <w:rPr>
          <w:sz w:val="20"/>
        </w:rPr>
        <w:t>nebude</w:t>
      </w:r>
      <w:r>
        <w:rPr>
          <w:spacing w:val="-5"/>
          <w:sz w:val="20"/>
        </w:rPr>
        <w:t> </w:t>
      </w:r>
      <w:r>
        <w:rPr>
          <w:sz w:val="20"/>
        </w:rPr>
        <w:t>postiženo</w:t>
      </w:r>
      <w:r>
        <w:rPr>
          <w:spacing w:val="-3"/>
          <w:sz w:val="20"/>
        </w:rPr>
        <w:t> </w:t>
      </w:r>
      <w:r>
        <w:rPr>
          <w:sz w:val="20"/>
        </w:rPr>
        <w:t>a nebude tak považováno za porušení podmínek poskytnutí podpory.</w:t>
      </w:r>
    </w:p>
    <w:p>
      <w:pPr>
        <w:pStyle w:val="ListParagraph"/>
        <w:numPr>
          <w:ilvl w:val="0"/>
          <w:numId w:val="5"/>
        </w:numPr>
        <w:tabs>
          <w:tab w:pos="666" w:val="left" w:leader="none"/>
        </w:tabs>
        <w:spacing w:line="240" w:lineRule="auto" w:before="122" w:after="0"/>
        <w:ind w:left="665" w:right="109" w:hanging="284"/>
        <w:jc w:val="both"/>
        <w:rPr>
          <w:sz w:val="20"/>
        </w:rPr>
      </w:pPr>
      <w:r>
        <w:rPr>
          <w:sz w:val="20"/>
        </w:rPr>
        <w:t>V případě, že</w:t>
      </w:r>
      <w:r>
        <w:rPr>
          <w:spacing w:val="-1"/>
          <w:sz w:val="20"/>
        </w:rPr>
        <w:t> </w:t>
      </w:r>
      <w:r>
        <w:rPr>
          <w:sz w:val="20"/>
        </w:rPr>
        <w:t>dojde</w:t>
      </w:r>
      <w:r>
        <w:rPr>
          <w:spacing w:val="-1"/>
          <w:sz w:val="20"/>
        </w:rPr>
        <w:t> </w:t>
      </w:r>
      <w:r>
        <w:rPr>
          <w:sz w:val="20"/>
        </w:rPr>
        <w:t>k</w:t>
      </w:r>
      <w:r>
        <w:rPr>
          <w:spacing w:val="-1"/>
          <w:sz w:val="20"/>
        </w:rPr>
        <w:t> </w:t>
      </w:r>
      <w:r>
        <w:rPr>
          <w:sz w:val="20"/>
        </w:rPr>
        <w:t>porušení povinností uvedených v článku IV bodu 2 písm. i), bude</w:t>
      </w:r>
      <w:r>
        <w:rPr>
          <w:spacing w:val="-1"/>
          <w:sz w:val="20"/>
        </w:rPr>
        <w:t> </w:t>
      </w:r>
      <w:r>
        <w:rPr>
          <w:sz w:val="20"/>
        </w:rPr>
        <w:t>stanoven odvod podle přílohy č. 1 této Smlouvy.</w:t>
      </w:r>
    </w:p>
    <w:p>
      <w:pPr>
        <w:pStyle w:val="ListParagraph"/>
        <w:numPr>
          <w:ilvl w:val="0"/>
          <w:numId w:val="5"/>
        </w:numPr>
        <w:tabs>
          <w:tab w:pos="666" w:val="left" w:leader="none"/>
        </w:tabs>
        <w:spacing w:line="240" w:lineRule="auto" w:before="118" w:after="0"/>
        <w:ind w:left="665" w:right="108" w:hanging="284"/>
        <w:jc w:val="both"/>
        <w:rPr>
          <w:sz w:val="20"/>
        </w:rPr>
      </w:pPr>
      <w:r>
        <w:rPr>
          <w:sz w:val="20"/>
        </w:rPr>
        <w:t>Porušení ostatních povinností podle této Smlouvy bude postiženo odvodem ve výši 1 % z poskytnuté </w:t>
      </w:r>
      <w:r>
        <w:rPr>
          <w:spacing w:val="-2"/>
          <w:sz w:val="20"/>
        </w:rPr>
        <w:t>podpory.</w:t>
      </w:r>
    </w:p>
    <w:p>
      <w:pPr>
        <w:pStyle w:val="BodyText"/>
        <w:spacing w:before="2"/>
        <w:ind w:left="0"/>
        <w:rPr>
          <w:sz w:val="36"/>
        </w:rPr>
      </w:pPr>
    </w:p>
    <w:p>
      <w:pPr>
        <w:pStyle w:val="Heading1"/>
        <w:ind w:left="3417"/>
      </w:pPr>
      <w:r>
        <w:rPr>
          <w:spacing w:val="-5"/>
        </w:rPr>
        <w:t>VI.</w:t>
      </w:r>
    </w:p>
    <w:p>
      <w:pPr>
        <w:pStyle w:val="Heading2"/>
        <w:ind w:left="3416" w:right="3148"/>
      </w:pPr>
      <w:r>
        <w:rPr/>
        <w:t>Prohlášení</w:t>
      </w:r>
      <w:r>
        <w:rPr>
          <w:spacing w:val="-7"/>
        </w:rPr>
        <w:t> </w:t>
      </w:r>
      <w:r>
        <w:rPr/>
        <w:t>o</w:t>
      </w:r>
      <w:r>
        <w:rPr>
          <w:spacing w:val="-7"/>
        </w:rPr>
        <w:t> </w:t>
      </w:r>
      <w:r>
        <w:rPr>
          <w:spacing w:val="-2"/>
        </w:rPr>
        <w:t>bezdlužnosti</w:t>
      </w:r>
    </w:p>
    <w:p>
      <w:pPr>
        <w:pStyle w:val="BodyText"/>
        <w:spacing w:before="3"/>
        <w:ind w:left="0"/>
        <w:rPr>
          <w:b/>
        </w:rPr>
      </w:pPr>
    </w:p>
    <w:p>
      <w:pPr>
        <w:pStyle w:val="ListParagraph"/>
        <w:numPr>
          <w:ilvl w:val="0"/>
          <w:numId w:val="6"/>
        </w:numPr>
        <w:tabs>
          <w:tab w:pos="666" w:val="left" w:leader="none"/>
        </w:tabs>
        <w:spacing w:line="237" w:lineRule="auto" w:before="0" w:after="0"/>
        <w:ind w:left="665" w:right="118" w:hanging="284"/>
        <w:jc w:val="both"/>
        <w:rPr>
          <w:sz w:val="20"/>
        </w:rPr>
      </w:pPr>
      <w:r>
        <w:rPr>
          <w:sz w:val="20"/>
        </w:rPr>
        <w:t>Příjemce podpory podpisem této Smlouvy prohlašuje, že plní podmínky pro poskytnutí dotace, stanovené v čl. 13 bodu 13.1 písm. f) Výzvy.</w:t>
      </w:r>
    </w:p>
    <w:p>
      <w:pPr>
        <w:pStyle w:val="ListParagraph"/>
        <w:numPr>
          <w:ilvl w:val="0"/>
          <w:numId w:val="6"/>
        </w:numPr>
        <w:tabs>
          <w:tab w:pos="666" w:val="left" w:leader="none"/>
        </w:tabs>
        <w:spacing w:line="240" w:lineRule="auto" w:before="122" w:after="0"/>
        <w:ind w:left="665" w:right="112" w:hanging="284"/>
        <w:jc w:val="both"/>
        <w:rPr>
          <w:sz w:val="20"/>
        </w:rPr>
      </w:pPr>
      <w:r>
        <w:rPr>
          <w:sz w:val="20"/>
        </w:rPr>
        <w:t>Příjemce</w:t>
      </w:r>
      <w:r>
        <w:rPr>
          <w:spacing w:val="-3"/>
          <w:sz w:val="20"/>
        </w:rPr>
        <w:t> </w:t>
      </w:r>
      <w:r>
        <w:rPr>
          <w:sz w:val="20"/>
        </w:rPr>
        <w:t>podpory</w:t>
      </w:r>
      <w:r>
        <w:rPr>
          <w:spacing w:val="-3"/>
          <w:sz w:val="20"/>
        </w:rPr>
        <w:t> </w:t>
      </w:r>
      <w:r>
        <w:rPr>
          <w:sz w:val="20"/>
        </w:rPr>
        <w:t>bere</w:t>
      </w:r>
      <w:r>
        <w:rPr>
          <w:spacing w:val="-2"/>
          <w:sz w:val="20"/>
        </w:rPr>
        <w:t> </w:t>
      </w:r>
      <w:r>
        <w:rPr>
          <w:sz w:val="20"/>
        </w:rPr>
        <w:t>přitom</w:t>
      </w:r>
      <w:r>
        <w:rPr>
          <w:spacing w:val="-4"/>
          <w:sz w:val="20"/>
        </w:rPr>
        <w:t> </w:t>
      </w:r>
      <w:r>
        <w:rPr>
          <w:sz w:val="20"/>
        </w:rPr>
        <w:t>na</w:t>
      </w:r>
      <w:r>
        <w:rPr>
          <w:spacing w:val="-3"/>
          <w:sz w:val="20"/>
        </w:rPr>
        <w:t> </w:t>
      </w:r>
      <w:r>
        <w:rPr>
          <w:sz w:val="20"/>
        </w:rPr>
        <w:t>vědomí,</w:t>
      </w:r>
      <w:r>
        <w:rPr>
          <w:spacing w:val="-3"/>
          <w:sz w:val="20"/>
        </w:rPr>
        <w:t> </w:t>
      </w:r>
      <w:r>
        <w:rPr>
          <w:sz w:val="20"/>
        </w:rPr>
        <w:t>že</w:t>
      </w:r>
      <w:r>
        <w:rPr>
          <w:spacing w:val="-3"/>
          <w:sz w:val="20"/>
        </w:rPr>
        <w:t> </w:t>
      </w:r>
      <w:r>
        <w:rPr>
          <w:sz w:val="20"/>
        </w:rPr>
        <w:t>pokud</w:t>
      </w:r>
      <w:r>
        <w:rPr>
          <w:spacing w:val="-3"/>
          <w:sz w:val="20"/>
        </w:rPr>
        <w:t> </w:t>
      </w:r>
      <w:r>
        <w:rPr>
          <w:sz w:val="20"/>
        </w:rPr>
        <w:t>prohlášení</w:t>
      </w:r>
      <w:r>
        <w:rPr>
          <w:spacing w:val="-3"/>
          <w:sz w:val="20"/>
        </w:rPr>
        <w:t> </w:t>
      </w:r>
      <w:r>
        <w:rPr>
          <w:sz w:val="20"/>
        </w:rPr>
        <w:t>podle</w:t>
      </w:r>
      <w:r>
        <w:rPr>
          <w:spacing w:val="-3"/>
          <w:sz w:val="20"/>
        </w:rPr>
        <w:t> </w:t>
      </w:r>
      <w:r>
        <w:rPr>
          <w:sz w:val="20"/>
        </w:rPr>
        <w:t>bodu</w:t>
      </w:r>
      <w:r>
        <w:rPr>
          <w:spacing w:val="-3"/>
          <w:sz w:val="20"/>
        </w:rPr>
        <w:t> </w:t>
      </w:r>
      <w:r>
        <w:rPr>
          <w:sz w:val="20"/>
        </w:rPr>
        <w:t>1</w:t>
      </w:r>
      <w:r>
        <w:rPr>
          <w:spacing w:val="-3"/>
          <w:sz w:val="20"/>
        </w:rPr>
        <w:t> </w:t>
      </w:r>
      <w:r>
        <w:rPr>
          <w:sz w:val="20"/>
        </w:rPr>
        <w:t>není</w:t>
      </w:r>
      <w:r>
        <w:rPr>
          <w:spacing w:val="-1"/>
          <w:sz w:val="20"/>
        </w:rPr>
        <w:t> </w:t>
      </w:r>
      <w:r>
        <w:rPr>
          <w:sz w:val="20"/>
        </w:rPr>
        <w:t>pravdivé,</w:t>
      </w:r>
      <w:r>
        <w:rPr>
          <w:spacing w:val="-3"/>
          <w:sz w:val="20"/>
        </w:rPr>
        <w:t> </w:t>
      </w:r>
      <w:r>
        <w:rPr>
          <w:sz w:val="20"/>
        </w:rPr>
        <w:t>bude</w:t>
      </w:r>
      <w:r>
        <w:rPr>
          <w:spacing w:val="-3"/>
          <w:sz w:val="20"/>
        </w:rPr>
        <w:t> </w:t>
      </w:r>
      <w:r>
        <w:rPr>
          <w:sz w:val="20"/>
        </w:rPr>
        <w:t>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odvody podle tohoto zákona.</w:t>
      </w:r>
    </w:p>
    <w:p>
      <w:pPr>
        <w:pStyle w:val="BodyText"/>
        <w:spacing w:before="1"/>
        <w:ind w:left="0"/>
        <w:rPr>
          <w:sz w:val="36"/>
        </w:rPr>
      </w:pPr>
    </w:p>
    <w:p>
      <w:pPr>
        <w:pStyle w:val="Heading1"/>
        <w:ind w:left="3419"/>
      </w:pPr>
      <w:r>
        <w:rPr>
          <w:spacing w:val="-4"/>
        </w:rPr>
        <w:t>VII.</w:t>
      </w:r>
    </w:p>
    <w:p>
      <w:pPr>
        <w:pStyle w:val="Heading2"/>
        <w:ind w:left="3414" w:right="3148"/>
      </w:pPr>
      <w:r>
        <w:rPr/>
        <w:t>Závěrečná</w:t>
      </w:r>
      <w:r>
        <w:rPr>
          <w:spacing w:val="-9"/>
        </w:rPr>
        <w:t> </w:t>
      </w:r>
      <w:r>
        <w:rPr>
          <w:spacing w:val="-2"/>
        </w:rPr>
        <w:t>ustanovení</w:t>
      </w:r>
    </w:p>
    <w:p>
      <w:pPr>
        <w:pStyle w:val="BodyText"/>
        <w:spacing w:before="1"/>
        <w:ind w:left="0"/>
        <w:rPr>
          <w:b/>
          <w:sz w:val="18"/>
        </w:rPr>
      </w:pPr>
    </w:p>
    <w:p>
      <w:pPr>
        <w:pStyle w:val="ListParagraph"/>
        <w:numPr>
          <w:ilvl w:val="0"/>
          <w:numId w:val="7"/>
        </w:numPr>
        <w:tabs>
          <w:tab w:pos="666" w:val="left" w:leader="none"/>
        </w:tabs>
        <w:spacing w:line="240" w:lineRule="auto" w:before="0" w:after="0"/>
        <w:ind w:left="665" w:right="119"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666" w:val="left" w:leader="none"/>
        </w:tabs>
        <w:spacing w:line="240" w:lineRule="auto" w:before="120" w:after="0"/>
        <w:ind w:left="665" w:right="117"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666" w:val="left" w:leader="none"/>
        </w:tabs>
        <w:spacing w:line="240" w:lineRule="auto" w:before="121" w:after="0"/>
        <w:ind w:left="66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666" w:val="left" w:leader="none"/>
        </w:tabs>
        <w:spacing w:line="240" w:lineRule="auto" w:before="121" w:after="0"/>
        <w:ind w:left="665" w:right="116"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7"/>
        </w:numPr>
        <w:tabs>
          <w:tab w:pos="666" w:val="left" w:leader="none"/>
        </w:tabs>
        <w:spacing w:line="240" w:lineRule="auto" w:before="119" w:after="0"/>
        <w:ind w:left="66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2"/>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0"/>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7"/>
        </w:numPr>
        <w:tabs>
          <w:tab w:pos="666" w:val="left" w:leader="none"/>
        </w:tabs>
        <w:spacing w:line="240" w:lineRule="auto" w:before="121" w:after="0"/>
        <w:ind w:left="66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7"/>
        </w:numPr>
        <w:tabs>
          <w:tab w:pos="666" w:val="left" w:leader="none"/>
        </w:tabs>
        <w:spacing w:line="240" w:lineRule="auto" w:before="120" w:after="0"/>
        <w:ind w:left="66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3"/>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spacing w:after="0" w:line="240" w:lineRule="auto"/>
        <w:jc w:val="both"/>
        <w:rPr>
          <w:sz w:val="20"/>
        </w:rPr>
        <w:sectPr>
          <w:pgSz w:w="12240" w:h="15840"/>
          <w:pgMar w:header="0" w:footer="1384" w:top="1060" w:bottom="1660" w:left="1320" w:right="1020"/>
        </w:sectPr>
      </w:pPr>
    </w:p>
    <w:p>
      <w:pPr>
        <w:pStyle w:val="ListParagraph"/>
        <w:numPr>
          <w:ilvl w:val="0"/>
          <w:numId w:val="7"/>
        </w:numPr>
        <w:tabs>
          <w:tab w:pos="666" w:val="left" w:leader="none"/>
        </w:tabs>
        <w:spacing w:line="240" w:lineRule="auto" w:before="73" w:after="0"/>
        <w:ind w:left="66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pStyle w:val="ListParagraph"/>
        <w:numPr>
          <w:ilvl w:val="0"/>
          <w:numId w:val="7"/>
        </w:numPr>
        <w:tabs>
          <w:tab w:pos="666" w:val="left" w:leader="none"/>
        </w:tabs>
        <w:spacing w:line="240" w:lineRule="auto" w:before="122" w:after="0"/>
        <w:ind w:left="665" w:right="112"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ind w:left="0"/>
        <w:rPr>
          <w:sz w:val="36"/>
        </w:rPr>
      </w:pPr>
    </w:p>
    <w:p>
      <w:pPr>
        <w:pStyle w:val="BodyText"/>
        <w:tabs>
          <w:tab w:pos="6831" w:val="left" w:leader="none"/>
        </w:tabs>
        <w:ind w:left="382"/>
      </w:pPr>
      <w:r>
        <w:rPr>
          <w:spacing w:val="-5"/>
        </w:rPr>
        <w:t>V:</w:t>
      </w:r>
      <w:r>
        <w:rPr/>
        <w:tab/>
        <w:t>V</w:t>
      </w:r>
      <w:r>
        <w:rPr>
          <w:spacing w:val="16"/>
        </w:rPr>
        <w:t> </w:t>
      </w:r>
      <w:r>
        <w:rPr/>
        <w:t>Praze</w:t>
      </w:r>
      <w:r>
        <w:rPr>
          <w:spacing w:val="-3"/>
        </w:rPr>
        <w:t> </w:t>
      </w:r>
      <w:r>
        <w:rPr>
          <w:spacing w:val="-4"/>
        </w:rPr>
        <w:t>dne:</w:t>
      </w:r>
    </w:p>
    <w:p>
      <w:pPr>
        <w:pStyle w:val="BodyText"/>
        <w:spacing w:before="1"/>
        <w:ind w:left="0"/>
        <w:rPr>
          <w:sz w:val="18"/>
        </w:rPr>
      </w:pPr>
    </w:p>
    <w:p>
      <w:pPr>
        <w:pStyle w:val="BodyText"/>
        <w:ind w:left="382"/>
      </w:pPr>
      <w:r>
        <w:rPr>
          <w:spacing w:val="-4"/>
        </w:rPr>
        <w:t>dne:</w:t>
      </w:r>
    </w:p>
    <w:p>
      <w:pPr>
        <w:pStyle w:val="BodyText"/>
        <w:ind w:left="0"/>
        <w:rPr>
          <w:sz w:val="26"/>
        </w:rPr>
      </w:pPr>
    </w:p>
    <w:p>
      <w:pPr>
        <w:pStyle w:val="BodyText"/>
        <w:spacing w:before="2"/>
        <w:ind w:left="0"/>
        <w:rPr>
          <w:sz w:val="28"/>
        </w:rPr>
      </w:pPr>
    </w:p>
    <w:p>
      <w:pPr>
        <w:tabs>
          <w:tab w:pos="6862" w:val="left" w:leader="none"/>
        </w:tabs>
        <w:spacing w:before="1"/>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ind w:left="38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rPr>
          <w:sz w:val="26"/>
        </w:rPr>
      </w:pPr>
    </w:p>
    <w:p>
      <w:pPr>
        <w:pStyle w:val="BodyText"/>
        <w:spacing w:before="2"/>
        <w:ind w:left="0"/>
        <w:rPr>
          <w:sz w:val="32"/>
        </w:rPr>
      </w:pPr>
    </w:p>
    <w:p>
      <w:pPr>
        <w:pStyle w:val="BodyText"/>
        <w:spacing w:line="261" w:lineRule="auto"/>
        <w:ind w:left="382"/>
      </w:pPr>
      <w:r>
        <w:rPr/>
        <w:t>Příloha</w:t>
      </w:r>
      <w:r>
        <w:rPr>
          <w:spacing w:val="79"/>
          <w:w w:val="150"/>
        </w:rPr>
        <w:t> </w:t>
      </w:r>
      <w:r>
        <w:rPr/>
        <w:t>č.</w:t>
      </w:r>
      <w:r>
        <w:rPr>
          <w:spacing w:val="79"/>
          <w:w w:val="150"/>
        </w:rPr>
        <w:t> </w:t>
      </w:r>
      <w:r>
        <w:rPr/>
        <w:t>1</w:t>
      </w:r>
      <w:r>
        <w:rPr>
          <w:spacing w:val="79"/>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1" w:lineRule="auto"/>
        <w:sectPr>
          <w:pgSz w:w="12240" w:h="15840"/>
          <w:pgMar w:header="0" w:footer="1384" w:top="1060" w:bottom="1660" w:left="1320" w:right="1020"/>
        </w:sectPr>
      </w:pPr>
    </w:p>
    <w:p>
      <w:pPr>
        <w:pStyle w:val="BodyText"/>
        <w:spacing w:before="139"/>
        <w:ind w:left="382"/>
      </w:pPr>
      <w:r>
        <w:rPr/>
        <w:t>Příloha</w:t>
      </w:r>
      <w:r>
        <w:rPr>
          <w:spacing w:val="-4"/>
        </w:rPr>
        <w:t> </w:t>
      </w:r>
      <w:r>
        <w:rPr/>
        <w:t>č.</w:t>
      </w:r>
      <w:r>
        <w:rPr>
          <w:spacing w:val="-7"/>
        </w:rPr>
        <w:t> </w:t>
      </w:r>
      <w:r>
        <w:rPr/>
        <w:t>1</w:t>
      </w:r>
      <w:r>
        <w:rPr>
          <w:spacing w:val="-4"/>
        </w:rPr>
        <w:t> </w:t>
      </w:r>
      <w:r>
        <w:rPr/>
        <w:t>-</w:t>
      </w:r>
      <w:r>
        <w:rPr>
          <w:spacing w:val="-7"/>
        </w:rPr>
        <w:t> </w:t>
      </w:r>
      <w:r>
        <w:rPr/>
        <w:t>Smlouva</w:t>
      </w:r>
      <w:r>
        <w:rPr>
          <w:spacing w:val="-6"/>
        </w:rPr>
        <w:t> </w:t>
      </w:r>
      <w:r>
        <w:rPr/>
        <w:t>o</w:t>
      </w:r>
      <w:r>
        <w:rPr>
          <w:spacing w:val="-6"/>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5"/>
        </w:rPr>
        <w:t> </w:t>
      </w:r>
      <w:r>
        <w:rPr/>
        <w:t>životního</w:t>
      </w:r>
      <w:r>
        <w:rPr>
          <w:spacing w:val="-6"/>
        </w:rPr>
        <w:t> </w:t>
      </w:r>
      <w:r>
        <w:rPr/>
        <w:t>prostředí</w:t>
      </w:r>
      <w:r>
        <w:rPr>
          <w:spacing w:val="-4"/>
        </w:rPr>
        <w:t> </w:t>
      </w:r>
      <w:r>
        <w:rPr/>
        <w:t>České</w:t>
      </w:r>
      <w:r>
        <w:rPr>
          <w:spacing w:val="-6"/>
        </w:rPr>
        <w:t> </w:t>
      </w:r>
      <w:r>
        <w:rPr>
          <w:spacing w:val="-2"/>
        </w:rPr>
        <w:t>republiky</w:t>
      </w:r>
    </w:p>
    <w:p>
      <w:pPr>
        <w:pStyle w:val="BodyText"/>
        <w:ind w:left="0"/>
        <w:rPr>
          <w:sz w:val="26"/>
        </w:rPr>
      </w:pPr>
    </w:p>
    <w:p>
      <w:pPr>
        <w:pStyle w:val="BodyText"/>
        <w:spacing w:before="1"/>
        <w:ind w:left="0"/>
        <w:rPr>
          <w:sz w:val="32"/>
        </w:rPr>
      </w:pPr>
    </w:p>
    <w:p>
      <w:pPr>
        <w:pStyle w:val="Heading2"/>
        <w:spacing w:line="264" w:lineRule="auto"/>
        <w:jc w:val="left"/>
      </w:pPr>
      <w:r>
        <w:rPr/>
        <w:t>Stanovení odvodů, které se použijí v případě porušení povinností při zadávání zakázek/ veřejných </w:t>
      </w:r>
      <w:r>
        <w:rPr>
          <w:spacing w:val="-2"/>
        </w:rPr>
        <w:t>zakázek</w:t>
      </w:r>
    </w:p>
    <w:p>
      <w:pPr>
        <w:pStyle w:val="BodyText"/>
        <w:spacing w:before="1"/>
        <w:ind w:left="0"/>
        <w:rPr>
          <w:b/>
          <w:sz w:val="27"/>
        </w:rPr>
      </w:pPr>
    </w:p>
    <w:p>
      <w:pPr>
        <w:pStyle w:val="ListParagraph"/>
        <w:numPr>
          <w:ilvl w:val="0"/>
          <w:numId w:val="8"/>
        </w:numPr>
        <w:tabs>
          <w:tab w:pos="666" w:val="left" w:leader="none"/>
        </w:tabs>
        <w:spacing w:line="240" w:lineRule="auto" w:before="1"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ind w:left="0"/>
        <w:rPr>
          <w:b/>
          <w:sz w:val="29"/>
        </w:rPr>
      </w:pPr>
    </w:p>
    <w:p>
      <w:pPr>
        <w:pStyle w:val="ListParagraph"/>
        <w:numPr>
          <w:ilvl w:val="0"/>
          <w:numId w:val="9"/>
        </w:numPr>
        <w:tabs>
          <w:tab w:pos="666" w:val="left" w:leader="none"/>
        </w:tabs>
        <w:spacing w:line="312" w:lineRule="auto" w:before="0" w:after="0"/>
        <w:ind w:left="665" w:right="111"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i)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9"/>
        </w:numPr>
        <w:tabs>
          <w:tab w:pos="666" w:val="left" w:leader="none"/>
        </w:tabs>
        <w:spacing w:line="312" w:lineRule="auto" w:before="0" w:after="0"/>
        <w:ind w:left="665" w:right="114" w:hanging="432"/>
        <w:jc w:val="both"/>
        <w:rPr>
          <w:sz w:val="20"/>
        </w:rPr>
      </w:pPr>
      <w:r>
        <w:rPr>
          <w:sz w:val="20"/>
        </w:rPr>
        <w:t>V případě, že identifikované porušení nemohlo mít ani potenciální finanční dopad, nestanoví se za něj žádný odvod.</w:t>
      </w:r>
    </w:p>
    <w:p>
      <w:pPr>
        <w:pStyle w:val="ListParagraph"/>
        <w:numPr>
          <w:ilvl w:val="0"/>
          <w:numId w:val="9"/>
        </w:numPr>
        <w:tabs>
          <w:tab w:pos="666" w:val="left" w:leader="none"/>
        </w:tabs>
        <w:spacing w:line="240" w:lineRule="auto" w:before="1"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9"/>
        </w:numPr>
        <w:tabs>
          <w:tab w:pos="666" w:val="left" w:leader="none"/>
        </w:tabs>
        <w:spacing w:line="312" w:lineRule="auto" w:before="79"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9"/>
        </w:numPr>
        <w:tabs>
          <w:tab w:pos="666" w:val="left" w:leader="none"/>
        </w:tabs>
        <w:spacing w:line="312" w:lineRule="auto" w:before="0" w:after="0"/>
        <w:ind w:left="665" w:right="117"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9"/>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3"/>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3"/>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9"/>
        </w:numPr>
        <w:tabs>
          <w:tab w:pos="666" w:val="left" w:leader="none"/>
        </w:tabs>
        <w:spacing w:line="312" w:lineRule="auto" w:before="1" w:after="0"/>
        <w:ind w:left="665" w:right="116" w:hanging="557"/>
        <w:jc w:val="both"/>
        <w:rPr>
          <w:sz w:val="20"/>
        </w:rPr>
      </w:pPr>
      <w:r>
        <w:rPr>
          <w:sz w:val="20"/>
        </w:rPr>
        <w:t>V</w:t>
      </w:r>
      <w:r>
        <w:rPr>
          <w:spacing w:val="-2"/>
          <w:sz w:val="20"/>
        </w:rPr>
        <w:t> </w:t>
      </w:r>
      <w:r>
        <w:rPr>
          <w:sz w:val="20"/>
        </w:rPr>
        <w:t>případě,</w:t>
      </w:r>
      <w:r>
        <w:rPr>
          <w:spacing w:val="14"/>
          <w:sz w:val="20"/>
        </w:rPr>
        <w:t> </w:t>
      </w:r>
      <w:r>
        <w:rPr>
          <w:sz w:val="20"/>
        </w:rPr>
        <w:t>že</w:t>
      </w:r>
      <w:r>
        <w:rPr>
          <w:spacing w:val="12"/>
          <w:sz w:val="20"/>
        </w:rPr>
        <w:t> </w:t>
      </w:r>
      <w:r>
        <w:rPr>
          <w:sz w:val="20"/>
        </w:rPr>
        <w:t>bude</w:t>
      </w:r>
      <w:r>
        <w:rPr>
          <w:spacing w:val="12"/>
          <w:sz w:val="20"/>
        </w:rPr>
        <w:t> </w:t>
      </w:r>
      <w:r>
        <w:rPr>
          <w:sz w:val="20"/>
        </w:rPr>
        <w:t>identifikováno</w:t>
      </w:r>
      <w:r>
        <w:rPr>
          <w:spacing w:val="14"/>
          <w:sz w:val="20"/>
        </w:rPr>
        <w:t> </w:t>
      </w:r>
      <w:r>
        <w:rPr>
          <w:sz w:val="20"/>
        </w:rPr>
        <w:t>porušení,</w:t>
      </w:r>
      <w:r>
        <w:rPr>
          <w:spacing w:val="13"/>
          <w:sz w:val="20"/>
        </w:rPr>
        <w:t> </w:t>
      </w:r>
      <w:r>
        <w:rPr>
          <w:sz w:val="20"/>
        </w:rPr>
        <w:t>které</w:t>
      </w:r>
      <w:r>
        <w:rPr>
          <w:spacing w:val="13"/>
          <w:sz w:val="20"/>
        </w:rPr>
        <w:t> </w:t>
      </w:r>
      <w:r>
        <w:rPr>
          <w:sz w:val="20"/>
        </w:rPr>
        <w:t>nelze</w:t>
      </w:r>
      <w:r>
        <w:rPr>
          <w:spacing w:val="12"/>
          <w:sz w:val="20"/>
        </w:rPr>
        <w:t> </w:t>
      </w:r>
      <w:r>
        <w:rPr>
          <w:sz w:val="20"/>
        </w:rPr>
        <w:t>podřadit</w:t>
      </w:r>
      <w:r>
        <w:rPr>
          <w:spacing w:val="13"/>
          <w:sz w:val="20"/>
        </w:rPr>
        <w:t> </w:t>
      </w:r>
      <w:r>
        <w:rPr>
          <w:sz w:val="20"/>
        </w:rPr>
        <w:t>pod</w:t>
      </w:r>
      <w:r>
        <w:rPr>
          <w:spacing w:val="14"/>
          <w:sz w:val="20"/>
        </w:rPr>
        <w:t> </w:t>
      </w:r>
      <w:r>
        <w:rPr>
          <w:sz w:val="20"/>
        </w:rPr>
        <w:t>konkrétní</w:t>
      </w:r>
      <w:r>
        <w:rPr>
          <w:spacing w:val="15"/>
          <w:sz w:val="20"/>
        </w:rPr>
        <w:t> </w:t>
      </w:r>
      <w:r>
        <w:rPr>
          <w:sz w:val="20"/>
        </w:rPr>
        <w:t>typ</w:t>
      </w:r>
      <w:r>
        <w:rPr>
          <w:spacing w:val="14"/>
          <w:sz w:val="20"/>
        </w:rPr>
        <w:t> </w:t>
      </w:r>
      <w:r>
        <w:rPr>
          <w:sz w:val="20"/>
        </w:rPr>
        <w:t>porušení</w:t>
      </w:r>
      <w:r>
        <w:rPr>
          <w:spacing w:val="13"/>
          <w:sz w:val="20"/>
        </w:rPr>
        <w:t> </w:t>
      </w:r>
      <w:r>
        <w:rPr>
          <w:sz w:val="20"/>
        </w:rPr>
        <w:t>uvedený v</w:t>
      </w:r>
      <w:r>
        <w:rPr>
          <w:spacing w:val="-14"/>
          <w:sz w:val="20"/>
        </w:rPr>
        <w:t> </w:t>
      </w:r>
      <w:r>
        <w:rPr>
          <w:sz w:val="20"/>
        </w:rPr>
        <w:t>kapitole</w:t>
      </w:r>
      <w:r>
        <w:rPr>
          <w:spacing w:val="-14"/>
          <w:sz w:val="20"/>
        </w:rPr>
        <w:t> </w:t>
      </w:r>
      <w:r>
        <w:rPr>
          <w:sz w:val="20"/>
        </w:rPr>
        <w:t>B.</w:t>
      </w:r>
      <w:r>
        <w:rPr>
          <w:spacing w:val="-14"/>
          <w:sz w:val="20"/>
        </w:rPr>
        <w:t> </w:t>
      </w:r>
      <w:r>
        <w:rPr>
          <w:sz w:val="20"/>
        </w:rPr>
        <w:t>–</w:t>
      </w:r>
      <w:r>
        <w:rPr>
          <w:spacing w:val="-13"/>
          <w:sz w:val="20"/>
        </w:rPr>
        <w:t> </w:t>
      </w:r>
      <w:r>
        <w:rPr>
          <w:sz w:val="20"/>
        </w:rPr>
        <w:t>Typy</w:t>
      </w:r>
      <w:r>
        <w:rPr>
          <w:spacing w:val="-14"/>
          <w:sz w:val="20"/>
        </w:rPr>
        <w:t> </w:t>
      </w:r>
      <w:r>
        <w:rPr>
          <w:sz w:val="20"/>
        </w:rPr>
        <w:t>porušení</w:t>
      </w:r>
      <w:r>
        <w:rPr>
          <w:spacing w:val="-14"/>
          <w:sz w:val="20"/>
        </w:rPr>
        <w:t> </w:t>
      </w:r>
      <w:r>
        <w:rPr>
          <w:sz w:val="20"/>
        </w:rPr>
        <w:t>a</w:t>
      </w:r>
      <w:r>
        <w:rPr>
          <w:spacing w:val="-13"/>
          <w:sz w:val="20"/>
        </w:rPr>
        <w:t> </w:t>
      </w:r>
      <w:r>
        <w:rPr>
          <w:sz w:val="20"/>
        </w:rPr>
        <w:t>sazby</w:t>
      </w:r>
      <w:r>
        <w:rPr>
          <w:spacing w:val="-14"/>
          <w:sz w:val="20"/>
        </w:rPr>
        <w:t> </w:t>
      </w:r>
      <w:r>
        <w:rPr>
          <w:sz w:val="20"/>
        </w:rPr>
        <w:t>odvodů,</w:t>
      </w:r>
      <w:r>
        <w:rPr>
          <w:spacing w:val="-14"/>
          <w:sz w:val="20"/>
        </w:rPr>
        <w:t> </w:t>
      </w:r>
      <w:r>
        <w:rPr>
          <w:sz w:val="20"/>
        </w:rPr>
        <w:t>bude</w:t>
      </w:r>
      <w:r>
        <w:rPr>
          <w:spacing w:val="-13"/>
          <w:sz w:val="20"/>
        </w:rPr>
        <w:t> </w:t>
      </w:r>
      <w:r>
        <w:rPr>
          <w:sz w:val="20"/>
        </w:rPr>
        <w:t>stanoven</w:t>
      </w:r>
      <w:r>
        <w:rPr>
          <w:spacing w:val="-14"/>
          <w:sz w:val="20"/>
        </w:rPr>
        <w:t> </w:t>
      </w:r>
      <w:r>
        <w:rPr>
          <w:sz w:val="20"/>
        </w:rPr>
        <w:t>odvod</w:t>
      </w:r>
      <w:r>
        <w:rPr>
          <w:spacing w:val="-14"/>
          <w:sz w:val="20"/>
        </w:rPr>
        <w:t> </w:t>
      </w:r>
      <w:r>
        <w:rPr>
          <w:sz w:val="20"/>
        </w:rPr>
        <w:t>analogicky</w:t>
      </w:r>
      <w:r>
        <w:rPr>
          <w:spacing w:val="-14"/>
          <w:sz w:val="20"/>
        </w:rPr>
        <w:t> </w:t>
      </w:r>
      <w:r>
        <w:rPr>
          <w:sz w:val="20"/>
        </w:rPr>
        <w:t>a</w:t>
      </w:r>
      <w:r>
        <w:rPr>
          <w:spacing w:val="-13"/>
          <w:sz w:val="20"/>
        </w:rPr>
        <w:t> </w:t>
      </w:r>
      <w:r>
        <w:rPr>
          <w:sz w:val="20"/>
        </w:rPr>
        <w:t>dle</w:t>
      </w:r>
      <w:r>
        <w:rPr>
          <w:spacing w:val="-14"/>
          <w:sz w:val="20"/>
        </w:rPr>
        <w:t> </w:t>
      </w:r>
      <w:r>
        <w:rPr>
          <w:sz w:val="20"/>
        </w:rPr>
        <w:t>zásady</w:t>
      </w:r>
      <w:r>
        <w:rPr>
          <w:spacing w:val="-14"/>
          <w:sz w:val="20"/>
        </w:rPr>
        <w:t> </w:t>
      </w:r>
      <w:r>
        <w:rPr>
          <w:sz w:val="20"/>
        </w:rPr>
        <w:t>přiměřenosti.</w:t>
      </w:r>
    </w:p>
    <w:p>
      <w:pPr>
        <w:spacing w:after="0" w:line="312" w:lineRule="auto"/>
        <w:jc w:val="both"/>
        <w:rPr>
          <w:sz w:val="20"/>
        </w:rPr>
        <w:sectPr>
          <w:pgSz w:w="12240" w:h="15840"/>
          <w:pgMar w:header="0" w:footer="1384" w:top="1820" w:bottom="1660" w:left="1320" w:right="1020"/>
        </w:sectPr>
      </w:pPr>
    </w:p>
    <w:p>
      <w:pPr>
        <w:pStyle w:val="Heading1"/>
        <w:numPr>
          <w:ilvl w:val="0"/>
          <w:numId w:val="8"/>
        </w:numPr>
        <w:tabs>
          <w:tab w:pos="666" w:val="left" w:leader="none"/>
        </w:tabs>
        <w:spacing w:line="240" w:lineRule="auto" w:before="73"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ind w:left="0"/>
        <w:rPr>
          <w:b/>
          <w:sz w:val="29"/>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1"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1"/>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line="237" w:lineRule="auto" w:before="4"/>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2"/>
              <w:ind w:right="97"/>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line="237" w:lineRule="auto" w:before="3"/>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2"/>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4"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0" w:footer="1384" w:top="1060" w:bottom="321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before="1"/>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ind w:right="97"/>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before="2"/>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2"/>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line="237" w:lineRule="auto" w:before="4"/>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60"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type w:val="continuous"/>
          <w:pgSz w:w="12240" w:h="15840"/>
          <w:pgMar w:header="0" w:footer="1384" w:top="1120" w:bottom="1917"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4" w:lineRule="exact"/>
              <w:rPr>
                <w:sz w:val="20"/>
              </w:rPr>
            </w:pPr>
            <w:r>
              <w:rPr>
                <w:sz w:val="20"/>
              </w:rPr>
              <w:t>uveřejnil</w:t>
            </w:r>
            <w:r>
              <w:rPr>
                <w:spacing w:val="-10"/>
                <w:sz w:val="20"/>
              </w:rPr>
              <w:t> </w:t>
            </w:r>
            <w:r>
              <w:rPr>
                <w:spacing w:val="-2"/>
                <w:sz w:val="20"/>
              </w:rPr>
              <w:t>způsobem</w:t>
            </w:r>
          </w:p>
          <w:p>
            <w:pPr>
              <w:pStyle w:val="TableParagraph"/>
              <w:ind w:right="373"/>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1"/>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1"/>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line="237" w:lineRule="auto" w:before="3"/>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2"/>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37" w:lineRule="auto" w:before="4"/>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2"/>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6"/>
                <w:sz w:val="20"/>
              </w:rPr>
              <w:t> </w:t>
            </w:r>
            <w:r>
              <w:rPr>
                <w:spacing w:val="-2"/>
                <w:sz w:val="20"/>
              </w:rPr>
              <w:t>řízení</w:t>
            </w:r>
          </w:p>
        </w:tc>
      </w:tr>
    </w:tbl>
    <w:p>
      <w:pPr>
        <w:pStyle w:val="BodyText"/>
        <w:ind w:left="0"/>
        <w:rPr>
          <w:b/>
        </w:rPr>
      </w:pPr>
    </w:p>
    <w:p>
      <w:pPr>
        <w:pStyle w:val="BodyText"/>
        <w:spacing w:before="8"/>
        <w:ind w:left="0"/>
        <w:rPr>
          <w:b/>
          <w:sz w:val="19"/>
        </w:rPr>
      </w:pPr>
      <w:r>
        <w:rPr/>
        <w:pict>
          <v:rect style="position:absolute;margin-left:85.103996pt;margin-top:14.259239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ind w:left="0"/>
        <w:rPr>
          <w:b/>
        </w:rPr>
      </w:pPr>
    </w:p>
    <w:p>
      <w:pPr>
        <w:pStyle w:val="BodyText"/>
        <w:spacing w:before="3"/>
        <w:ind w:left="0"/>
        <w:rPr>
          <w:b/>
          <w:sz w:val="14"/>
        </w:rPr>
      </w:pPr>
    </w:p>
    <w:p>
      <w:pPr>
        <w:pStyle w:val="ListParagraph"/>
        <w:numPr>
          <w:ilvl w:val="0"/>
          <w:numId w:val="10"/>
        </w:numPr>
        <w:tabs>
          <w:tab w:pos="507" w:val="left" w:leader="none"/>
        </w:tabs>
        <w:spacing w:line="240" w:lineRule="auto" w:before="100" w:after="0"/>
        <w:ind w:left="50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type w:val="continuous"/>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line="237" w:lineRule="auto" w:before="4"/>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line="237" w:lineRule="auto" w:before="3"/>
              <w:ind w:right="152"/>
              <w:rPr>
                <w:sz w:val="20"/>
              </w:rPr>
            </w:pPr>
            <w:r>
              <w:rPr>
                <w:sz w:val="20"/>
              </w:rPr>
              <w:t>výběrového/zadávacího</w:t>
            </w:r>
            <w:r>
              <w:rPr>
                <w:spacing w:val="-14"/>
                <w:sz w:val="20"/>
              </w:rPr>
              <w:t> </w:t>
            </w:r>
            <w:r>
              <w:rPr>
                <w:sz w:val="20"/>
              </w:rPr>
              <w:t>řízení požadavky na kvalifikaci,</w:t>
            </w:r>
          </w:p>
          <w:p>
            <w:pPr>
              <w:pStyle w:val="TableParagraph"/>
              <w:spacing w:before="2"/>
              <w:ind w:right="269"/>
              <w:rPr>
                <w:sz w:val="20"/>
              </w:rPr>
            </w:pPr>
            <w:r>
              <w:rPr>
                <w:sz w:val="20"/>
              </w:rPr>
              <w:t>hodnotící</w:t>
            </w:r>
            <w:r>
              <w:rPr>
                <w:spacing w:val="-14"/>
                <w:sz w:val="20"/>
              </w:rPr>
              <w:t> </w:t>
            </w:r>
            <w:r>
              <w:rPr>
                <w:sz w:val="20"/>
              </w:rPr>
              <w:t>kritéria</w:t>
            </w:r>
            <w:r>
              <w:rPr>
                <w:spacing w:val="-13"/>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ind w:right="1250"/>
              <w:rPr>
                <w:sz w:val="20"/>
              </w:rPr>
            </w:pPr>
            <w:r>
              <w:rPr>
                <w:sz w:val="20"/>
              </w:rPr>
              <w:t>dostatečně</w:t>
            </w:r>
            <w:r>
              <w:rPr>
                <w:spacing w:val="-14"/>
                <w:sz w:val="20"/>
              </w:rPr>
              <w:t> </w:t>
            </w:r>
            <w:r>
              <w:rPr>
                <w:sz w:val="20"/>
              </w:rPr>
              <w:t>určitě </w:t>
            </w: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5"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ve vztahu k místu 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6"/>
                <w:sz w:val="20"/>
              </w:rPr>
              <w:t> </w:t>
            </w:r>
            <w:r>
              <w:rPr>
                <w:spacing w:val="-2"/>
                <w:sz w:val="20"/>
              </w:rPr>
              <w:t>řízení</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340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1"/>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nevyjadřovaly</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1"/>
              <w:ind w:left="103"/>
              <w:jc w:val="both"/>
              <w:rPr>
                <w:sz w:val="20"/>
              </w:rPr>
            </w:pPr>
            <w:r>
              <w:rPr>
                <w:w w:val="95"/>
                <w:sz w:val="20"/>
              </w:rPr>
              <w:t>prostřednictvím</w:t>
            </w:r>
            <w:r>
              <w:rPr>
                <w:spacing w:val="53"/>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1"/>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1"/>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type w:val="continuous"/>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29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dodavatele</w:t>
            </w:r>
            <w:r>
              <w:rPr>
                <w:spacing w:val="-7"/>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line="264" w:lineRule="exact"/>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7" w:hRule="atLeast"/>
        </w:trPr>
        <w:tc>
          <w:tcPr>
            <w:tcW w:w="670" w:type="dxa"/>
            <w:tcBorders>
              <w:right w:val="single" w:sz="4" w:space="0" w:color="000000"/>
            </w:tcBorders>
          </w:tcPr>
          <w:p>
            <w:pPr>
              <w:pStyle w:val="TableParagraph"/>
              <w:spacing w:before="115"/>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5"/>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1"/>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5"/>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1"/>
                <w:sz w:val="20"/>
              </w:rPr>
              <w:t> </w:t>
            </w:r>
            <w:r>
              <w:rPr>
                <w:sz w:val="20"/>
              </w:rPr>
              <w:t>v</w:t>
            </w:r>
            <w:r>
              <w:rPr>
                <w:spacing w:val="-1"/>
                <w:sz w:val="20"/>
              </w:rPr>
              <w:t> </w:t>
            </w:r>
            <w:r>
              <w:rPr>
                <w:sz w:val="20"/>
              </w:rPr>
              <w:t>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ight="126"/>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3"/>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rPr>
          <w:sz w:val="20"/>
        </w:rPr>
        <w:sectPr>
          <w:type w:val="continuous"/>
          <w:pgSz w:w="12240" w:h="15840"/>
          <w:pgMar w:header="0" w:footer="1384" w:top="1120" w:bottom="225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1"/>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1"/>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2"/>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3683"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3"/>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line="237" w:lineRule="auto" w:before="3"/>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before="1"/>
              <w:jc w:val="both"/>
              <w:rPr>
                <w:sz w:val="20"/>
              </w:rPr>
            </w:pPr>
            <w:r>
              <w:rPr>
                <w:sz w:val="20"/>
              </w:rPr>
              <w:t>hodnocení</w:t>
            </w:r>
            <w:r>
              <w:rPr>
                <w:spacing w:val="-12"/>
                <w:sz w:val="20"/>
              </w:rPr>
              <w:t> </w:t>
            </w:r>
            <w:r>
              <w:rPr>
                <w:spacing w:val="-2"/>
                <w:sz w:val="20"/>
              </w:rPr>
              <w:t>nabídek</w:t>
            </w:r>
          </w:p>
          <w:p>
            <w:pPr>
              <w:pStyle w:val="TableParagraph"/>
              <w:spacing w:line="237" w:lineRule="auto" w:before="2"/>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2"/>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2823" w:hRule="atLeast"/>
        </w:trPr>
        <w:tc>
          <w:tcPr>
            <w:tcW w:w="670" w:type="dxa"/>
            <w:tcBorders>
              <w:bottom w:val="single" w:sz="4" w:space="0" w:color="000000"/>
              <w:right w:val="single" w:sz="4" w:space="0" w:color="000000"/>
            </w:tcBorders>
          </w:tcPr>
          <w:p>
            <w:pPr>
              <w:pStyle w:val="TableParagraph"/>
              <w:spacing w:before="115"/>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5"/>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2"/>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bl>
    <w:p>
      <w:pPr>
        <w:spacing w:after="0"/>
        <w:rPr>
          <w:sz w:val="20"/>
        </w:rPr>
        <w:sectPr>
          <w:type w:val="continuous"/>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2"/>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before="2"/>
              <w:rPr>
                <w:sz w:val="20"/>
              </w:rPr>
            </w:pPr>
            <w:r>
              <w:rPr>
                <w:sz w:val="20"/>
              </w:rPr>
              <w:t>požádal</w:t>
            </w:r>
            <w:r>
              <w:rPr>
                <w:spacing w:val="-8"/>
                <w:sz w:val="20"/>
              </w:rPr>
              <w:t> </w:t>
            </w:r>
            <w:r>
              <w:rPr>
                <w:spacing w:val="-2"/>
                <w:sz w:val="20"/>
              </w:rPr>
              <w:t>účastníka</w:t>
            </w:r>
          </w:p>
          <w:p>
            <w:pPr>
              <w:pStyle w:val="TableParagraph"/>
              <w:rPr>
                <w:sz w:val="20"/>
              </w:rPr>
            </w:pP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line="237" w:lineRule="auto" w:before="2"/>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line="237" w:lineRule="auto" w:before="117"/>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2"/>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4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3"/>
        <w:ind w:left="0"/>
        <w:rPr>
          <w:sz w:val="27"/>
        </w:rPr>
      </w:pPr>
      <w:r>
        <w:rPr/>
        <w:pict>
          <v:rect style="position:absolute;margin-left:85.103996pt;margin-top:19.310020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ind w:left="0"/>
      </w:pPr>
    </w:p>
    <w:p>
      <w:pPr>
        <w:pStyle w:val="BodyText"/>
        <w:spacing w:before="3"/>
        <w:ind w:left="0"/>
        <w:rPr>
          <w:sz w:val="14"/>
        </w:rPr>
      </w:pPr>
    </w:p>
    <w:p>
      <w:pPr>
        <w:pStyle w:val="ListParagraph"/>
        <w:numPr>
          <w:ilvl w:val="0"/>
          <w:numId w:val="10"/>
        </w:numPr>
        <w:tabs>
          <w:tab w:pos="507" w:val="left" w:leader="none"/>
        </w:tabs>
        <w:spacing w:line="240" w:lineRule="auto" w:before="100" w:after="0"/>
        <w:ind w:left="50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024"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2"/>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1"/>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ind w:left="103"/>
              <w:rPr>
                <w:sz w:val="20"/>
              </w:rPr>
            </w:pP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3"/>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3"/>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3"/>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w:t>
            </w:r>
          </w:p>
        </w:tc>
        <w:tc>
          <w:tcPr>
            <w:tcW w:w="2903" w:type="dxa"/>
            <w:tcBorders>
              <w:left w:val="single" w:sz="4" w:space="0" w:color="000000"/>
              <w:bottom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04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7"/>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p>
      <w:pPr>
        <w:spacing w:after="0" w:line="237" w:lineRule="auto"/>
        <w:rPr>
          <w:sz w:val="20"/>
        </w:rPr>
        <w:sectPr>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564" w:hRule="atLeast"/>
        </w:trPr>
        <w:tc>
          <w:tcPr>
            <w:tcW w:w="670" w:type="dxa"/>
            <w:tcBorders>
              <w:right w:val="single" w:sz="4" w:space="0" w:color="000000"/>
            </w:tcBorders>
          </w:tcPr>
          <w:p>
            <w:pPr>
              <w:pStyle w:val="TableParagraph"/>
              <w:ind w:left="0"/>
              <w:rPr>
                <w:rFonts w:ascii="Times New Roman"/>
                <w:sz w:val="20"/>
              </w:rPr>
            </w:pPr>
          </w:p>
        </w:tc>
        <w:tc>
          <w:tcPr>
            <w:tcW w:w="2903" w:type="dxa"/>
            <w:tcBorders>
              <w:left w:val="single" w:sz="4" w:space="0" w:color="000000"/>
              <w:right w:val="single" w:sz="4" w:space="0" w:color="000000"/>
            </w:tcBorders>
          </w:tcPr>
          <w:p>
            <w:pPr>
              <w:pStyle w:val="TableParagraph"/>
              <w:ind w:left="0"/>
              <w:rPr>
                <w:rFonts w:ascii="Times New Roman"/>
                <w:sz w:val="20"/>
              </w:rPr>
            </w:pPr>
          </w:p>
        </w:tc>
        <w:tc>
          <w:tcPr>
            <w:tcW w:w="2905" w:type="dxa"/>
            <w:tcBorders>
              <w:left w:val="single" w:sz="4" w:space="0" w:color="000000"/>
              <w:right w:val="single" w:sz="4" w:space="0" w:color="000000"/>
            </w:tcBorders>
          </w:tcPr>
          <w:p>
            <w:pPr>
              <w:pStyle w:val="TableParagraph"/>
              <w:spacing w:before="93"/>
              <w:ind w:right="131"/>
              <w:rPr>
                <w:sz w:val="20"/>
              </w:rPr>
            </w:pPr>
            <w:r>
              <w:rPr>
                <w:sz w:val="20"/>
              </w:rPr>
              <w:t>souladu jeho postupu podle článku </w:t>
            </w:r>
            <w:r>
              <w:rPr>
                <w:sz w:val="22"/>
              </w:rPr>
              <w:t>IV bodu </w:t>
            </w:r>
            <w:r>
              <w:rPr>
                <w:sz w:val="20"/>
              </w:rPr>
              <w:t>2 </w:t>
            </w:r>
            <w:r>
              <w:rPr>
                <w:sz w:val="22"/>
              </w:rPr>
              <w:t>písm. </w:t>
            </w:r>
            <w:r>
              <w:rPr>
                <w:sz w:val="20"/>
              </w:rPr>
              <w:t>i</w:t>
            </w:r>
            <w:r>
              <w:rPr>
                <w:sz w:val="22"/>
              </w:rPr>
              <w:t>), </w:t>
            </w: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ind w:left="0"/>
              <w:rPr>
                <w:rFonts w:ascii="Times New Roman"/>
                <w:sz w:val="20"/>
              </w:rPr>
            </w:pPr>
          </w:p>
        </w:tc>
      </w:tr>
    </w:tbl>
    <w:sectPr>
      <w:type w:val="continuous"/>
      <w:pgSz w:w="12240" w:h="15840"/>
      <w:pgMar w:header="0" w:footer="1384" w:top="112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9"/>
      </w:rPr>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6009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8">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7">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6">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90" w:hanging="281"/>
      </w:pPr>
      <w:rPr>
        <w:rFonts w:hint="default" w:ascii="Segoe UI" w:hAnsi="Segoe UI" w:eastAsia="Segoe UI" w:cs="Segoe UI"/>
        <w:b w:val="0"/>
        <w:bCs w:val="0"/>
        <w:i w:val="0"/>
        <w:iCs w:val="0"/>
        <w:w w:val="99"/>
        <w:sz w:val="20"/>
        <w:szCs w:val="20"/>
        <w:lang w:val="cs-CZ" w:eastAsia="en-US" w:bidi="ar-SA"/>
      </w:rPr>
    </w:lvl>
    <w:lvl w:ilvl="3">
      <w:start w:val="0"/>
      <w:numFmt w:val="bullet"/>
      <w:lvlText w:val="•"/>
      <w:lvlJc w:val="left"/>
      <w:pPr>
        <w:ind w:left="1100" w:hanging="281"/>
      </w:pPr>
      <w:rPr>
        <w:rFonts w:hint="default"/>
        <w:lang w:val="cs-CZ" w:eastAsia="en-US" w:bidi="ar-SA"/>
      </w:rPr>
    </w:lvl>
    <w:lvl w:ilvl="4">
      <w:start w:val="0"/>
      <w:numFmt w:val="bullet"/>
      <w:lvlText w:val="•"/>
      <w:lvlJc w:val="left"/>
      <w:pPr>
        <w:ind w:left="2357" w:hanging="281"/>
      </w:pPr>
      <w:rPr>
        <w:rFonts w:hint="default"/>
        <w:lang w:val="cs-CZ" w:eastAsia="en-US" w:bidi="ar-SA"/>
      </w:rPr>
    </w:lvl>
    <w:lvl w:ilvl="5">
      <w:start w:val="0"/>
      <w:numFmt w:val="bullet"/>
      <w:lvlText w:val="•"/>
      <w:lvlJc w:val="left"/>
      <w:pPr>
        <w:ind w:left="3614" w:hanging="281"/>
      </w:pPr>
      <w:rPr>
        <w:rFonts w:hint="default"/>
        <w:lang w:val="cs-CZ" w:eastAsia="en-US" w:bidi="ar-SA"/>
      </w:rPr>
    </w:lvl>
    <w:lvl w:ilvl="6">
      <w:start w:val="0"/>
      <w:numFmt w:val="bullet"/>
      <w:lvlText w:val="•"/>
      <w:lvlJc w:val="left"/>
      <w:pPr>
        <w:ind w:left="4871" w:hanging="281"/>
      </w:pPr>
      <w:rPr>
        <w:rFonts w:hint="default"/>
        <w:lang w:val="cs-CZ" w:eastAsia="en-US" w:bidi="ar-SA"/>
      </w:rPr>
    </w:lvl>
    <w:lvl w:ilvl="7">
      <w:start w:val="0"/>
      <w:numFmt w:val="bullet"/>
      <w:lvlText w:val="•"/>
      <w:lvlJc w:val="left"/>
      <w:pPr>
        <w:ind w:left="6128" w:hanging="281"/>
      </w:pPr>
      <w:rPr>
        <w:rFonts w:hint="default"/>
        <w:lang w:val="cs-CZ" w:eastAsia="en-US" w:bidi="ar-SA"/>
      </w:rPr>
    </w:lvl>
    <w:lvl w:ilvl="8">
      <w:start w:val="0"/>
      <w:numFmt w:val="bullet"/>
      <w:lvlText w:val="•"/>
      <w:lvlJc w:val="left"/>
      <w:pPr>
        <w:ind w:left="7385" w:hanging="281"/>
      </w:pPr>
      <w:rPr>
        <w:rFonts w:hint="default"/>
        <w:lang w:val="cs-CZ" w:eastAsia="en-US" w:bidi="ar-SA"/>
      </w:rPr>
    </w:lvl>
  </w:abstractNum>
  <w:abstractNum w:abstractNumId="2">
    <w:multiLevelType w:val="hybridMultilevel"/>
    <w:lvl w:ilvl="0">
      <w:start w:val="1"/>
      <w:numFmt w:val="decimal"/>
      <w:lvlText w:val="%1)"/>
      <w:lvlJc w:val="left"/>
      <w:pPr>
        <w:ind w:left="665" w:hanging="284"/>
        <w:jc w:val="righ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1">
    <w:multiLevelType w:val="hybridMultilevel"/>
    <w:lvl w:ilvl="0">
      <w:start w:val="1"/>
      <w:numFmt w:val="decimal"/>
      <w:lvlText w:val="%1)"/>
      <w:lvlJc w:val="left"/>
      <w:pPr>
        <w:ind w:left="809" w:hanging="428"/>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710" w:hanging="428"/>
      </w:pPr>
      <w:rPr>
        <w:rFonts w:hint="default"/>
        <w:lang w:val="cs-CZ" w:eastAsia="en-US" w:bidi="ar-SA"/>
      </w:rPr>
    </w:lvl>
    <w:lvl w:ilvl="2">
      <w:start w:val="0"/>
      <w:numFmt w:val="bullet"/>
      <w:lvlText w:val="•"/>
      <w:lvlJc w:val="left"/>
      <w:pPr>
        <w:ind w:left="2620" w:hanging="428"/>
      </w:pPr>
      <w:rPr>
        <w:rFonts w:hint="default"/>
        <w:lang w:val="cs-CZ" w:eastAsia="en-US" w:bidi="ar-SA"/>
      </w:rPr>
    </w:lvl>
    <w:lvl w:ilvl="3">
      <w:start w:val="0"/>
      <w:numFmt w:val="bullet"/>
      <w:lvlText w:val="•"/>
      <w:lvlJc w:val="left"/>
      <w:pPr>
        <w:ind w:left="3530" w:hanging="428"/>
      </w:pPr>
      <w:rPr>
        <w:rFonts w:hint="default"/>
        <w:lang w:val="cs-CZ" w:eastAsia="en-US" w:bidi="ar-SA"/>
      </w:rPr>
    </w:lvl>
    <w:lvl w:ilvl="4">
      <w:start w:val="0"/>
      <w:numFmt w:val="bullet"/>
      <w:lvlText w:val="•"/>
      <w:lvlJc w:val="left"/>
      <w:pPr>
        <w:ind w:left="4440" w:hanging="428"/>
      </w:pPr>
      <w:rPr>
        <w:rFonts w:hint="default"/>
        <w:lang w:val="cs-CZ" w:eastAsia="en-US" w:bidi="ar-SA"/>
      </w:rPr>
    </w:lvl>
    <w:lvl w:ilvl="5">
      <w:start w:val="0"/>
      <w:numFmt w:val="bullet"/>
      <w:lvlText w:val="•"/>
      <w:lvlJc w:val="left"/>
      <w:pPr>
        <w:ind w:left="5350" w:hanging="428"/>
      </w:pPr>
      <w:rPr>
        <w:rFonts w:hint="default"/>
        <w:lang w:val="cs-CZ" w:eastAsia="en-US" w:bidi="ar-SA"/>
      </w:rPr>
    </w:lvl>
    <w:lvl w:ilvl="6">
      <w:start w:val="0"/>
      <w:numFmt w:val="bullet"/>
      <w:lvlText w:val="•"/>
      <w:lvlJc w:val="left"/>
      <w:pPr>
        <w:ind w:left="6260" w:hanging="428"/>
      </w:pPr>
      <w:rPr>
        <w:rFonts w:hint="default"/>
        <w:lang w:val="cs-CZ" w:eastAsia="en-US" w:bidi="ar-SA"/>
      </w:rPr>
    </w:lvl>
    <w:lvl w:ilvl="7">
      <w:start w:val="0"/>
      <w:numFmt w:val="bullet"/>
      <w:lvlText w:val="•"/>
      <w:lvlJc w:val="left"/>
      <w:pPr>
        <w:ind w:left="7170" w:hanging="428"/>
      </w:pPr>
      <w:rPr>
        <w:rFonts w:hint="default"/>
        <w:lang w:val="cs-CZ" w:eastAsia="en-US" w:bidi="ar-SA"/>
      </w:rPr>
    </w:lvl>
    <w:lvl w:ilvl="8">
      <w:start w:val="0"/>
      <w:numFmt w:val="bullet"/>
      <w:lvlText w:val="•"/>
      <w:lvlJc w:val="left"/>
      <w:pPr>
        <w:ind w:left="8080" w:hanging="428"/>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665"/>
    </w:pPr>
    <w:rPr>
      <w:rFonts w:ascii="Segoe UI" w:hAnsi="Segoe UI" w:eastAsia="Segoe UI" w:cs="Segoe UI"/>
      <w:sz w:val="20"/>
      <w:szCs w:val="20"/>
      <w:lang w:val="cs-CZ" w:eastAsia="en-US" w:bidi="ar-SA"/>
    </w:rPr>
  </w:style>
  <w:style w:styleId="Heading1" w:type="paragraph">
    <w:name w:val="Heading 1"/>
    <w:basedOn w:val="Normal"/>
    <w:uiPriority w:val="1"/>
    <w:qFormat/>
    <w:pPr>
      <w:ind w:left="341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325" w:right="1061"/>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2023-12-15T07:14:03Z</dcterms:created>
  <dcterms:modified xsi:type="dcterms:W3CDTF">2023-12-15T07:14:03Z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Microsoft® Word 2016</vt:lpwstr>
  </property>
  <property fmtid="{D5CDD505-2E9C-101B-9397-08002B2CF9AE}" pid="4" name="LastSaved">
    <vt:filetime>2023-12-15T00:00:00Z</vt:filetime>
  </property>
</Properties>
</file>