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6ECD7B4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A46E02">
        <w:rPr>
          <w:rFonts w:ascii="Arial" w:hAnsi="Arial"/>
          <w:szCs w:val="22"/>
        </w:rPr>
        <w:t>1</w:t>
      </w:r>
    </w:p>
    <w:p w14:paraId="0CF21654" w14:textId="039D0135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AC5DFA">
        <w:rPr>
          <w:rFonts w:ascii="Arial" w:eastAsia="Calibri" w:hAnsi="Arial" w:cs="Arial"/>
          <w:color w:val="auto"/>
          <w:spacing w:val="0"/>
          <w:lang w:val="cs-CZ" w:eastAsia="en-US"/>
        </w:rPr>
        <w:t>999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6FF92A36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 xml:space="preserve">Ing. </w:t>
      </w:r>
      <w:r w:rsidR="00F5147A">
        <w:rPr>
          <w:rFonts w:ascii="Arial" w:hAnsi="Arial" w:cs="Arial"/>
          <w:iCs/>
        </w:rPr>
        <w:t>Petra Hrnčířová</w:t>
      </w:r>
      <w:r w:rsidR="002D470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7AA8F169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kralovehradecky.kraj@spucr.cz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A808837" w14:textId="77777777" w:rsidR="00EA1BC1" w:rsidRPr="00D121BB" w:rsidRDefault="00EA1BC1" w:rsidP="00EA1BC1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D121BB">
        <w:rPr>
          <w:rFonts w:ascii="Arial" w:hAnsi="Arial" w:cs="Arial"/>
          <w:b/>
          <w:szCs w:val="22"/>
        </w:rPr>
        <w:t>POZEMKOVÉ ÚPRAVY K+V s.r.o.</w:t>
      </w:r>
    </w:p>
    <w:p w14:paraId="3FF67362" w14:textId="4175DCDC" w:rsidR="00EA1BC1" w:rsidRDefault="00EA1BC1" w:rsidP="00EA1BC1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>se sídlem v Plzni, Plachého 40</w:t>
      </w:r>
      <w:r>
        <w:rPr>
          <w:rFonts w:ascii="Arial" w:hAnsi="Arial" w:cs="Arial"/>
          <w:snapToGrid w:val="0"/>
        </w:rPr>
        <w:t>, IČO: 29099323, zapsaná v obchodním rejstříku vedeném u Krajského soudu v</w:t>
      </w:r>
      <w:r w:rsidR="00974795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Plzni, oddíl C, vložka 24674</w:t>
      </w:r>
    </w:p>
    <w:p w14:paraId="6CB5426D" w14:textId="2DD2DD69" w:rsidR="00EA1BC1" w:rsidRDefault="00EA1BC1" w:rsidP="00EA1BC1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</w:t>
      </w:r>
      <w:r w:rsidR="00DB7DE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Barborou Salátovou</w:t>
      </w:r>
    </w:p>
    <w:p w14:paraId="00C248E9" w14:textId="6440967A" w:rsidR="00EA1BC1" w:rsidRDefault="00EA1BC1" w:rsidP="00EA1BC1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</w:t>
      </w:r>
      <w:r w:rsidR="006923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Barbora Salátová, Ing.</w:t>
      </w:r>
      <w:r w:rsidR="006923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Helena Krausová</w:t>
      </w:r>
    </w:p>
    <w:p w14:paraId="3873C91E" w14:textId="585D7181" w:rsidR="00EA1BC1" w:rsidRDefault="00EA1BC1" w:rsidP="00EA1BC1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proofErr w:type="spellStart"/>
      <w:r w:rsidR="00141E4A">
        <w:rPr>
          <w:rFonts w:ascii="Arial" w:hAnsi="Arial" w:cs="Arial"/>
        </w:rPr>
        <w:t>xxxxxxxxxxxxxxxxxx</w:t>
      </w:r>
      <w:proofErr w:type="spellEnd"/>
      <w:r w:rsidR="00F55BED">
        <w:rPr>
          <w:rFonts w:ascii="Arial" w:hAnsi="Arial" w:cs="Arial"/>
        </w:rPr>
        <w:t xml:space="preserve">, </w:t>
      </w:r>
      <w:proofErr w:type="spellStart"/>
      <w:r w:rsidR="00141E4A">
        <w:rPr>
          <w:rFonts w:ascii="Arial" w:hAnsi="Arial" w:cs="Arial"/>
        </w:rPr>
        <w:t>xxxxxxxxxxxxxxxxxx</w:t>
      </w:r>
      <w:proofErr w:type="spellEnd"/>
      <w:r w:rsidR="00F55BED">
        <w:rPr>
          <w:rFonts w:ascii="Arial" w:hAnsi="Arial" w:cs="Arial"/>
        </w:rPr>
        <w:t xml:space="preserve">, </w:t>
      </w:r>
      <w:proofErr w:type="spellStart"/>
      <w:r w:rsidR="00141E4A">
        <w:rPr>
          <w:rFonts w:ascii="Arial" w:hAnsi="Arial" w:cs="Arial"/>
        </w:rPr>
        <w:t>xxxxxxxxxxxxxxxxxx</w:t>
      </w:r>
      <w:proofErr w:type="spellEnd"/>
      <w:r w:rsidR="001F70CB">
        <w:rPr>
          <w:rFonts w:ascii="Arial" w:hAnsi="Arial" w:cs="Arial"/>
        </w:rPr>
        <w:t xml:space="preserve">, </w:t>
      </w:r>
      <w:proofErr w:type="spellStart"/>
      <w:r w:rsidR="00141E4A">
        <w:rPr>
          <w:rFonts w:ascii="Arial" w:hAnsi="Arial" w:cs="Arial"/>
        </w:rPr>
        <w:t>xxxxxxxxxxxxxxxxxx</w:t>
      </w:r>
      <w:proofErr w:type="spellEnd"/>
    </w:p>
    <w:p w14:paraId="4CF75FC3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4921954E" w14:textId="24B03DE9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 w:rsidR="00141E4A">
        <w:rPr>
          <w:rFonts w:ascii="Arial" w:hAnsi="Arial" w:cs="Arial"/>
        </w:rPr>
        <w:t>xxxxxxxxxxxxxxxxxx</w:t>
      </w:r>
      <w:proofErr w:type="spellEnd"/>
    </w:p>
    <w:p w14:paraId="2869A688" w14:textId="1E25B41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proofErr w:type="spellStart"/>
      <w:r w:rsidR="00141E4A">
        <w:rPr>
          <w:rFonts w:ascii="Arial" w:hAnsi="Arial" w:cs="Arial"/>
        </w:rPr>
        <w:t>xxxxxxxxxxxxxxxxxx</w:t>
      </w:r>
      <w:proofErr w:type="spellEnd"/>
    </w:p>
    <w:p w14:paraId="78267709" w14:textId="77777777" w:rsidR="00EA1BC1" w:rsidRDefault="00EA1BC1" w:rsidP="00EA1BC1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 qzhp5bf</w:t>
      </w:r>
    </w:p>
    <w:p w14:paraId="76B186FB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13944EFC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462B63E4" w14:textId="3BA6E081" w:rsidR="00077FAC" w:rsidRDefault="00EA1BC1" w:rsidP="00EA1BC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DIČ: CZ29099323</w:t>
      </w:r>
    </w:p>
    <w:p w14:paraId="24D5E73B" w14:textId="77777777" w:rsidR="00EB04E7" w:rsidRDefault="00EB04E7" w:rsidP="00350782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</w:p>
    <w:p w14:paraId="09A3FE5E" w14:textId="77777777" w:rsidR="00077FAC" w:rsidRPr="00F45AC5" w:rsidRDefault="00077FAC" w:rsidP="00D165F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lastRenderedPageBreak/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DFF141E" w14:textId="3C73ACE9" w:rsidR="00CB58A1" w:rsidRDefault="00CB58A1" w:rsidP="00CB58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Důvodem vyhotovení Dodatku č. </w:t>
      </w:r>
      <w:r w:rsidR="001F5AEE">
        <w:rPr>
          <w:rFonts w:ascii="Arial" w:hAnsi="Arial" w:cs="Arial"/>
          <w:b w:val="0"/>
          <w:bCs w:val="0"/>
          <w:caps w:val="0"/>
          <w:szCs w:val="22"/>
        </w:rPr>
        <w:t>1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0DB386A3" w14:textId="2D15436C" w:rsidR="00CB58A1" w:rsidRPr="00E10D00" w:rsidRDefault="00CB58A1" w:rsidP="00CB58A1">
      <w:pPr>
        <w:pStyle w:val="Level1"/>
        <w:keepNext w:val="0"/>
        <w:numPr>
          <w:ilvl w:val="0"/>
          <w:numId w:val="63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Navýšení 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>jednotkových položkových cen (Měrných jednotek) dle článku 3.6 Smlouvy na</w:t>
      </w:r>
      <w:r w:rsidR="00E85044">
        <w:rPr>
          <w:rFonts w:ascii="Arial" w:hAnsi="Arial" w:cs="Arial"/>
          <w:b w:val="0"/>
          <w:bCs w:val="0"/>
          <w:caps w:val="0"/>
          <w:szCs w:val="22"/>
        </w:rPr>
        <w:t> 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 xml:space="preserve">základě žádosti Zhotovitele ze dne </w:t>
      </w:r>
      <w:r w:rsidR="00E85044">
        <w:rPr>
          <w:rFonts w:ascii="Arial" w:hAnsi="Arial" w:cs="Arial"/>
          <w:b w:val="0"/>
          <w:bCs w:val="0"/>
          <w:caps w:val="0"/>
          <w:szCs w:val="22"/>
        </w:rPr>
        <w:t>5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>.</w:t>
      </w:r>
      <w:r w:rsidR="00E85044">
        <w:rPr>
          <w:rFonts w:ascii="Arial" w:hAnsi="Arial" w:cs="Arial"/>
          <w:b w:val="0"/>
          <w:bCs w:val="0"/>
          <w:caps w:val="0"/>
          <w:szCs w:val="22"/>
        </w:rPr>
        <w:t> 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>1</w:t>
      </w:r>
      <w:r w:rsidR="00FF4A18">
        <w:rPr>
          <w:rFonts w:ascii="Arial" w:hAnsi="Arial" w:cs="Arial"/>
          <w:b w:val="0"/>
          <w:bCs w:val="0"/>
          <w:caps w:val="0"/>
          <w:szCs w:val="22"/>
        </w:rPr>
        <w:t>2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>.</w:t>
      </w:r>
      <w:r w:rsidR="00E85044">
        <w:rPr>
          <w:rFonts w:ascii="Arial" w:hAnsi="Arial" w:cs="Arial"/>
          <w:b w:val="0"/>
          <w:bCs w:val="0"/>
          <w:caps w:val="0"/>
          <w:szCs w:val="22"/>
        </w:rPr>
        <w:t> 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 xml:space="preserve">2023. Průměrná </w:t>
      </w:r>
      <w:r>
        <w:rPr>
          <w:rFonts w:ascii="Arial" w:hAnsi="Arial" w:cs="Arial"/>
          <w:b w:val="0"/>
          <w:bCs w:val="0"/>
          <w:caps w:val="0"/>
          <w:szCs w:val="22"/>
        </w:rPr>
        <w:t>roční míra inflace za rok 2022 je stanovena Českým statistickým úřadem na 15,1 %, a proto může být, v souladu s čl. 3.6 Smlouvy, provedeno navýšení jednotkových položkových cen (Měrných jednotek) nejvýše o</w:t>
      </w:r>
      <w:r w:rsidR="005D19B3">
        <w:rPr>
          <w:rFonts w:ascii="Arial" w:hAnsi="Arial" w:cs="Arial"/>
          <w:b w:val="0"/>
          <w:bCs w:val="0"/>
          <w:caps w:val="0"/>
          <w:szCs w:val="22"/>
        </w:rPr>
        <w:t> </w:t>
      </w:r>
      <w:r>
        <w:rPr>
          <w:rFonts w:ascii="Arial" w:hAnsi="Arial" w:cs="Arial"/>
          <w:b w:val="0"/>
          <w:bCs w:val="0"/>
          <w:caps w:val="0"/>
          <w:szCs w:val="22"/>
        </w:rPr>
        <w:t>Zhotovitelem požadovaných 10 %. Navýšení jednotkových položkových cen (Měrných jednotek) se dle čl. 3.6 Smlouvy týká těch částí Díla, které dosud nebyly provedeny a s jejímž provedením Zhotovitel není v prodlení. Konkrétně se tedy jedná o navýšení jednotkových položkových cen (Měrných jednotek) všech dílčích částí.</w:t>
      </w:r>
    </w:p>
    <w:p w14:paraId="3B40D67C" w14:textId="77777777" w:rsidR="00CB58A1" w:rsidRPr="005F0E15" w:rsidRDefault="00CB58A1" w:rsidP="00CB58A1">
      <w:pPr>
        <w:pStyle w:val="Level1"/>
        <w:keepNext w:val="0"/>
        <w:numPr>
          <w:ilvl w:val="0"/>
          <w:numId w:val="63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97D0E">
        <w:rPr>
          <w:rFonts w:ascii="Arial" w:hAnsi="Arial" w:cs="Arial"/>
          <w:b w:val="0"/>
          <w:bCs w:val="0"/>
          <w:caps w:val="0"/>
          <w:szCs w:val="22"/>
        </w:rPr>
        <w:t xml:space="preserve">Oprava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textu Smlouvy vzniklé </w:t>
      </w:r>
      <w:r w:rsidRPr="00397D0E">
        <w:rPr>
          <w:rFonts w:ascii="Arial" w:hAnsi="Arial" w:cs="Arial"/>
          <w:b w:val="0"/>
          <w:bCs w:val="0"/>
          <w:caps w:val="0"/>
          <w:szCs w:val="22"/>
        </w:rPr>
        <w:t>chybn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ým číslováním. </w:t>
      </w:r>
    </w:p>
    <w:p w14:paraId="41712086" w14:textId="77777777" w:rsidR="00CB58A1" w:rsidRPr="00636B4E" w:rsidRDefault="00CB58A1" w:rsidP="00CB58A1">
      <w:pPr>
        <w:pStyle w:val="Odstavecseseznamem"/>
        <w:numPr>
          <w:ilvl w:val="0"/>
          <w:numId w:val="63"/>
        </w:numPr>
        <w:jc w:val="both"/>
        <w:rPr>
          <w:rFonts w:ascii="Arial" w:hAnsi="Arial" w:cs="Arial"/>
          <w:color w:val="000000" w:themeColor="text1"/>
        </w:rPr>
      </w:pPr>
      <w:r w:rsidRPr="00636B4E">
        <w:rPr>
          <w:rFonts w:ascii="Arial" w:hAnsi="Arial" w:cs="Arial"/>
          <w:color w:val="000000" w:themeColor="text1"/>
        </w:rPr>
        <w:t>Změna v předávání faktur.</w:t>
      </w:r>
    </w:p>
    <w:p w14:paraId="2BF9877A" w14:textId="77777777" w:rsidR="00CB58A1" w:rsidRPr="00636B4E" w:rsidRDefault="00CB58A1" w:rsidP="00CB58A1">
      <w:pPr>
        <w:pStyle w:val="Odstavecseseznamem"/>
        <w:rPr>
          <w:rFonts w:ascii="Arial" w:hAnsi="Arial" w:cs="Arial"/>
          <w:color w:val="000000" w:themeColor="text1"/>
        </w:rPr>
      </w:pPr>
    </w:p>
    <w:p w14:paraId="06A1BBBD" w14:textId="56CEA07C" w:rsidR="0068463B" w:rsidRPr="00E21742" w:rsidRDefault="00CB58A1" w:rsidP="005E59B7">
      <w:pPr>
        <w:pStyle w:val="Odstavecseseznamem"/>
        <w:numPr>
          <w:ilvl w:val="0"/>
          <w:numId w:val="63"/>
        </w:numPr>
        <w:jc w:val="both"/>
        <w:rPr>
          <w:rFonts w:ascii="Arial" w:hAnsi="Arial" w:cs="Arial"/>
          <w:color w:val="000000" w:themeColor="text1"/>
        </w:rPr>
      </w:pPr>
      <w:r w:rsidRPr="00636B4E">
        <w:rPr>
          <w:rFonts w:ascii="Arial" w:hAnsi="Arial" w:cs="Arial"/>
          <w:color w:val="000000" w:themeColor="text1"/>
        </w:rPr>
        <w:t>Změna způsobu předávání digitálních dat.</w:t>
      </w:r>
    </w:p>
    <w:p w14:paraId="0254B49E" w14:textId="77777777" w:rsidR="0068463B" w:rsidRPr="0068463B" w:rsidRDefault="0068463B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Navýšení ceny dle článku 3.6 Smlouvy</w:t>
      </w:r>
    </w:p>
    <w:p w14:paraId="0B7A1799" w14:textId="1C095BA4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Zhotovitel požádal </w:t>
      </w:r>
      <w:r w:rsidRPr="003C3D12">
        <w:rPr>
          <w:rFonts w:ascii="Arial" w:hAnsi="Arial" w:cs="Arial"/>
          <w:szCs w:val="22"/>
        </w:rPr>
        <w:t xml:space="preserve">dopisem ze dne </w:t>
      </w:r>
      <w:r w:rsidR="006121D6">
        <w:rPr>
          <w:rFonts w:ascii="Arial" w:hAnsi="Arial" w:cs="Arial"/>
          <w:szCs w:val="22"/>
        </w:rPr>
        <w:t>5</w:t>
      </w:r>
      <w:r w:rsidRPr="003C3D12">
        <w:rPr>
          <w:rFonts w:ascii="Arial" w:hAnsi="Arial" w:cs="Arial"/>
          <w:szCs w:val="22"/>
        </w:rPr>
        <w:t>.</w:t>
      </w:r>
      <w:r w:rsidR="005D19B3">
        <w:rPr>
          <w:rFonts w:ascii="Arial" w:hAnsi="Arial" w:cs="Arial"/>
          <w:szCs w:val="22"/>
        </w:rPr>
        <w:t> </w:t>
      </w:r>
      <w:r w:rsidRPr="003C3D12">
        <w:rPr>
          <w:rFonts w:ascii="Arial" w:hAnsi="Arial" w:cs="Arial"/>
          <w:szCs w:val="22"/>
        </w:rPr>
        <w:t>1</w:t>
      </w:r>
      <w:r w:rsidR="00DE6EF7">
        <w:rPr>
          <w:rFonts w:ascii="Arial" w:hAnsi="Arial" w:cs="Arial"/>
          <w:szCs w:val="22"/>
        </w:rPr>
        <w:t>2</w:t>
      </w:r>
      <w:r w:rsidRPr="003C3D12">
        <w:rPr>
          <w:rFonts w:ascii="Arial" w:hAnsi="Arial" w:cs="Arial"/>
          <w:szCs w:val="22"/>
        </w:rPr>
        <w:t>.</w:t>
      </w:r>
      <w:r w:rsidR="005D19B3">
        <w:rPr>
          <w:rFonts w:ascii="Arial" w:hAnsi="Arial" w:cs="Arial"/>
          <w:szCs w:val="22"/>
        </w:rPr>
        <w:t> </w:t>
      </w:r>
      <w:r w:rsidRPr="003C3D12">
        <w:rPr>
          <w:rFonts w:ascii="Arial" w:hAnsi="Arial" w:cs="Arial"/>
          <w:szCs w:val="22"/>
        </w:rPr>
        <w:t xml:space="preserve">2023 v souladu s čl. 3 odst. 3.6 Smlouvy o navýšení jednotkových položkových cen za použití ročního </w:t>
      </w:r>
      <w:r w:rsidRPr="004D12F9">
        <w:rPr>
          <w:rFonts w:ascii="Arial" w:hAnsi="Arial" w:cs="Arial"/>
          <w:szCs w:val="22"/>
        </w:rPr>
        <w:t xml:space="preserve">indexu průměrné meziroční míry inflace vyjádřené přírůstkem průměrného ročního indexu spotřebitelských cen uveřejňovaného Českým statistickým úřadem </w:t>
      </w:r>
      <w:r>
        <w:rPr>
          <w:rFonts w:ascii="Arial" w:hAnsi="Arial" w:cs="Arial"/>
          <w:szCs w:val="22"/>
        </w:rPr>
        <w:t xml:space="preserve">pro ty </w:t>
      </w:r>
      <w:r w:rsidRPr="004D12F9">
        <w:rPr>
          <w:rFonts w:ascii="Arial" w:hAnsi="Arial" w:cs="Arial"/>
          <w:szCs w:val="22"/>
        </w:rPr>
        <w:t>část</w:t>
      </w:r>
      <w:r>
        <w:rPr>
          <w:rFonts w:ascii="Arial" w:hAnsi="Arial" w:cs="Arial"/>
          <w:szCs w:val="22"/>
        </w:rPr>
        <w:t>i</w:t>
      </w:r>
      <w:r w:rsidRPr="004D12F9">
        <w:rPr>
          <w:rFonts w:ascii="Arial" w:hAnsi="Arial" w:cs="Arial"/>
          <w:szCs w:val="22"/>
        </w:rPr>
        <w:t xml:space="preserve"> Díla, které dosud nebyly provedeny a s jejímž provedením Zhotovitel není v</w:t>
      </w:r>
      <w:r w:rsidR="005D19B3">
        <w:rPr>
          <w:rFonts w:ascii="Arial" w:hAnsi="Arial" w:cs="Arial"/>
          <w:szCs w:val="22"/>
        </w:rPr>
        <w:t> </w:t>
      </w:r>
      <w:r w:rsidRPr="004D12F9">
        <w:rPr>
          <w:rFonts w:ascii="Arial" w:hAnsi="Arial" w:cs="Arial"/>
          <w:szCs w:val="22"/>
        </w:rPr>
        <w:t xml:space="preserve">prodlení. </w:t>
      </w:r>
    </w:p>
    <w:p w14:paraId="65E800ED" w14:textId="77777777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>Zhotovitel je oprávněn požádat o navýšení jednotkových položkových cen (Měrných jednotek)</w:t>
      </w:r>
      <w:r>
        <w:rPr>
          <w:rFonts w:ascii="Arial" w:hAnsi="Arial" w:cs="Arial"/>
          <w:szCs w:val="22"/>
        </w:rPr>
        <w:t>,</w:t>
      </w:r>
      <w:r w:rsidRPr="002C55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pokud</w:t>
      </w:r>
      <w:r w:rsidRPr="002C5590">
        <w:rPr>
          <w:rFonts w:ascii="Arial" w:hAnsi="Arial" w:cs="Arial"/>
          <w:szCs w:val="22"/>
        </w:rPr>
        <w:t xml:space="preserve"> Průměrná roční míra inflace přesáhne 3 % za předchozí rok.</w:t>
      </w:r>
      <w:r>
        <w:rPr>
          <w:rFonts w:ascii="Arial" w:hAnsi="Arial" w:cs="Arial"/>
          <w:szCs w:val="22"/>
        </w:rPr>
        <w:t xml:space="preserve"> </w:t>
      </w:r>
    </w:p>
    <w:p w14:paraId="107874B8" w14:textId="77777777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 xml:space="preserve">Navýšení jednotkových položkových cen provedené dle </w:t>
      </w:r>
      <w:r>
        <w:rPr>
          <w:rFonts w:ascii="Arial" w:hAnsi="Arial" w:cs="Arial"/>
          <w:szCs w:val="22"/>
        </w:rPr>
        <w:t>čl. 3.6 Smlouvy</w:t>
      </w:r>
      <w:r w:rsidRPr="002C5590">
        <w:rPr>
          <w:rFonts w:ascii="Arial" w:hAnsi="Arial" w:cs="Arial"/>
          <w:szCs w:val="22"/>
        </w:rPr>
        <w:t xml:space="preserve"> může v každém kalendářním roce činit až 10 %.</w:t>
      </w:r>
    </w:p>
    <w:p w14:paraId="78226A8B" w14:textId="77777777" w:rsidR="00CB58A1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Průměrná roční míra inflace v roce 2022 dosáhla 15,12 %.</w:t>
      </w:r>
    </w:p>
    <w:p w14:paraId="5B5E3D12" w14:textId="77777777" w:rsidR="00CB58A1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souladu se smluvním ujednáním dojde k navýšení </w:t>
      </w:r>
      <w:r w:rsidRPr="00FD17FA">
        <w:rPr>
          <w:rFonts w:ascii="Arial" w:hAnsi="Arial" w:cs="Arial"/>
          <w:szCs w:val="22"/>
        </w:rPr>
        <w:t>jednotkových položkových cen o 10 %.</w:t>
      </w:r>
    </w:p>
    <w:p w14:paraId="309BBBA4" w14:textId="5BE96DE2" w:rsidR="00544BC5" w:rsidRPr="00FD17FA" w:rsidRDefault="00544BC5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Konkrétně se jedná o navýšení jednotkových položkových cen (Měrných jednotek) všech dílčích částí.</w:t>
      </w:r>
    </w:p>
    <w:p w14:paraId="4959CF01" w14:textId="77777777" w:rsidR="00CB58A1" w:rsidRPr="001C3BCE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FD17FA">
        <w:rPr>
          <w:rFonts w:ascii="Arial" w:hAnsi="Arial" w:cs="Arial"/>
          <w:szCs w:val="22"/>
        </w:rPr>
        <w:t xml:space="preserve">Objednatel žádost schválil a s navýšením jednotkových </w:t>
      </w:r>
      <w:r w:rsidRPr="001C3BCE">
        <w:rPr>
          <w:rFonts w:ascii="Arial" w:hAnsi="Arial" w:cs="Arial"/>
          <w:szCs w:val="22"/>
        </w:rPr>
        <w:t>položkových cen u všech dílčích částí díla souhlasí.</w:t>
      </w:r>
    </w:p>
    <w:p w14:paraId="15672FAF" w14:textId="5C88CD48" w:rsidR="00CB58A1" w:rsidRPr="001C3BCE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 w:rsidRPr="001C3BCE">
        <w:rPr>
          <w:rFonts w:ascii="Arial" w:hAnsi="Arial" w:cs="Arial"/>
          <w:szCs w:val="22"/>
        </w:rPr>
        <w:t xml:space="preserve">Celková cena díla se tímto navyšuje o </w:t>
      </w:r>
      <w:r w:rsidR="00CB7C70" w:rsidRPr="001C3BCE">
        <w:rPr>
          <w:rFonts w:ascii="Arial" w:hAnsi="Arial" w:cs="Arial"/>
          <w:szCs w:val="22"/>
        </w:rPr>
        <w:t>346 260,00</w:t>
      </w:r>
      <w:r w:rsidRPr="001C3BCE">
        <w:rPr>
          <w:rFonts w:ascii="Arial" w:hAnsi="Arial" w:cs="Arial"/>
          <w:szCs w:val="22"/>
        </w:rPr>
        <w:t xml:space="preserve"> Kč bez DPH (</w:t>
      </w:r>
      <w:r w:rsidR="008057E1" w:rsidRPr="001C3BCE">
        <w:rPr>
          <w:rFonts w:ascii="Arial" w:hAnsi="Arial" w:cs="Arial"/>
          <w:szCs w:val="22"/>
        </w:rPr>
        <w:t>418 974,60</w:t>
      </w:r>
      <w:r w:rsidRPr="001C3BCE">
        <w:rPr>
          <w:rFonts w:ascii="Arial" w:hAnsi="Arial" w:cs="Arial"/>
          <w:szCs w:val="22"/>
        </w:rPr>
        <w:t xml:space="preserve"> Kč včetně DPH).</w:t>
      </w:r>
    </w:p>
    <w:p w14:paraId="329D09A4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6C7D1285" w14:textId="77777777" w:rsidR="00410FC6" w:rsidRDefault="00410FC6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332FB8D0" w14:textId="77777777" w:rsidR="00E21742" w:rsidRDefault="00E21742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7630C7C2" w14:textId="77777777" w:rsidR="006A3DCA" w:rsidRDefault="006A3DCA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4D87B3D7" w14:textId="748FF02B" w:rsidR="00CB58A1" w:rsidRDefault="00CB58A1" w:rsidP="00CB58A1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A0B2215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921191" w:rsidRPr="00921191" w14:paraId="0DB60111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DCF" w14:textId="77777777" w:rsidR="00CB58A1" w:rsidRPr="00921191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438B" w14:textId="2984E617" w:rsidR="00CB58A1" w:rsidRPr="00921191" w:rsidRDefault="004B0F9E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21191">
              <w:rPr>
                <w:rFonts w:ascii="Arial" w:hAnsi="Arial" w:cs="Arial"/>
                <w:snapToGrid w:val="0"/>
              </w:rPr>
              <w:t>2</w:t>
            </w:r>
            <w:r w:rsidR="00C61A50" w:rsidRPr="00921191">
              <w:rPr>
                <w:rFonts w:ascii="Arial" w:hAnsi="Arial" w:cs="Arial"/>
                <w:snapToGrid w:val="0"/>
              </w:rPr>
              <w:t> 076 800</w:t>
            </w:r>
            <w:r w:rsidR="00CB58A1" w:rsidRPr="00921191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921191" w:rsidRPr="00921191" w14:paraId="00CAAABA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D4A" w14:textId="77777777" w:rsidR="00CB58A1" w:rsidRPr="00921191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7A2" w14:textId="2E31ABE8" w:rsidR="00CB58A1" w:rsidRPr="00921191" w:rsidRDefault="00C61A50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21191">
              <w:rPr>
                <w:rFonts w:ascii="Arial" w:hAnsi="Arial" w:cs="Arial"/>
                <w:snapToGrid w:val="0"/>
              </w:rPr>
              <w:t>1 472 460</w:t>
            </w:r>
            <w:r w:rsidR="00CB58A1" w:rsidRPr="00921191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921191" w:rsidRPr="00921191" w14:paraId="4CFEB074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DF" w14:textId="77777777" w:rsidR="00CB58A1" w:rsidRPr="00921191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7F6" w14:textId="500546BA" w:rsidR="00CB58A1" w:rsidRPr="00921191" w:rsidRDefault="000D7747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21191">
              <w:rPr>
                <w:rFonts w:ascii="Arial" w:hAnsi="Arial" w:cs="Arial"/>
                <w:snapToGrid w:val="0"/>
              </w:rPr>
              <w:t>259 600</w:t>
            </w:r>
            <w:r w:rsidR="00CB58A1" w:rsidRPr="00921191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921191" w:rsidRPr="00921191" w14:paraId="57A007FF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2CC" w14:textId="77777777" w:rsidR="00CB58A1" w:rsidRPr="00921191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216" w14:textId="7E73EF92" w:rsidR="00CB58A1" w:rsidRPr="00921191" w:rsidRDefault="005143D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921191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0D7747" w:rsidRPr="00921191">
              <w:rPr>
                <w:rFonts w:ascii="Arial" w:hAnsi="Arial" w:cs="Arial"/>
                <w:b/>
                <w:bCs/>
                <w:snapToGrid w:val="0"/>
              </w:rPr>
              <w:t> 808 860</w:t>
            </w:r>
            <w:r w:rsidR="00CB58A1" w:rsidRPr="00921191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921191" w:rsidRPr="00921191" w14:paraId="4C38C8DD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1F5" w14:textId="77777777" w:rsidR="00CB58A1" w:rsidRPr="00921191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232" w14:textId="14155D6C" w:rsidR="00CB58A1" w:rsidRPr="00921191" w:rsidRDefault="00635175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21191">
              <w:rPr>
                <w:rFonts w:ascii="Arial" w:hAnsi="Arial" w:cs="Arial"/>
                <w:snapToGrid w:val="0"/>
              </w:rPr>
              <w:t>799 860,60</w:t>
            </w:r>
            <w:r w:rsidR="00CB58A1" w:rsidRPr="00921191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921191" w14:paraId="47CEE4E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0" w14:textId="77777777" w:rsidR="00CB58A1" w:rsidRPr="00921191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2119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5FF" w14:textId="40192A46" w:rsidR="00CB58A1" w:rsidRPr="00921191" w:rsidRDefault="00933D11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921191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3C6F22" w:rsidRPr="00921191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Pr="00921191">
              <w:rPr>
                <w:rFonts w:ascii="Arial" w:hAnsi="Arial" w:cs="Arial"/>
                <w:b/>
                <w:bCs/>
                <w:snapToGrid w:val="0"/>
              </w:rPr>
              <w:t>608</w:t>
            </w:r>
            <w:r w:rsidR="003C6F22" w:rsidRPr="00921191">
              <w:rPr>
                <w:rFonts w:ascii="Arial" w:hAnsi="Arial" w:cs="Arial"/>
                <w:b/>
                <w:bCs/>
                <w:snapToGrid w:val="0"/>
              </w:rPr>
              <w:t xml:space="preserve"> 720,60</w:t>
            </w:r>
            <w:r w:rsidR="00CB58A1" w:rsidRPr="00921191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672F857F" w14:textId="77777777" w:rsidR="00CB58A1" w:rsidRPr="00921191" w:rsidRDefault="00CB58A1" w:rsidP="00CB58A1">
      <w:pPr>
        <w:spacing w:before="120" w:after="0"/>
        <w:rPr>
          <w:rFonts w:ascii="Arial" w:eastAsia="Calibri" w:hAnsi="Arial" w:cs="Arial"/>
          <w:bCs/>
          <w:snapToGrid w:val="0"/>
        </w:rPr>
      </w:pPr>
    </w:p>
    <w:p w14:paraId="29D18387" w14:textId="77777777" w:rsidR="00425059" w:rsidRDefault="00425059" w:rsidP="00CB58A1">
      <w:pPr>
        <w:spacing w:before="120" w:after="0"/>
        <w:rPr>
          <w:rFonts w:ascii="Arial" w:eastAsia="Calibri" w:hAnsi="Arial" w:cs="Arial"/>
          <w:bCs/>
          <w:snapToGrid w:val="0"/>
        </w:rPr>
      </w:pPr>
    </w:p>
    <w:p w14:paraId="25213959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Oprava chybného číslování</w:t>
      </w:r>
    </w:p>
    <w:p w14:paraId="06A1C781" w14:textId="2E2FF756" w:rsidR="00CB58A1" w:rsidRDefault="00CB58A1" w:rsidP="000C3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Bylo zjištěno, že některé křížové odkazy související s čl. 3.6 Smlouvy nefungují. Z tohoto důvodu upozorňujeme, že správný text </w:t>
      </w:r>
      <w:r w:rsidRPr="00DC1C1A">
        <w:rPr>
          <w:rFonts w:ascii="Arial" w:hAnsi="Arial" w:cs="Arial"/>
          <w:b/>
          <w:bCs/>
        </w:rPr>
        <w:t>článků 3.3, 3.4</w:t>
      </w:r>
      <w:r w:rsidR="007F0A5D">
        <w:rPr>
          <w:rFonts w:ascii="Arial" w:hAnsi="Arial" w:cs="Arial"/>
          <w:b/>
          <w:bCs/>
        </w:rPr>
        <w:t xml:space="preserve"> s</w:t>
      </w:r>
      <w:r w:rsidRPr="00DC1C1A">
        <w:rPr>
          <w:rFonts w:ascii="Arial" w:hAnsi="Arial" w:cs="Arial"/>
          <w:b/>
          <w:bCs/>
        </w:rPr>
        <w:t xml:space="preserve"> 17.1 </w:t>
      </w:r>
      <w:r>
        <w:rPr>
          <w:rFonts w:ascii="Arial" w:hAnsi="Arial" w:cs="Arial"/>
        </w:rPr>
        <w:t>uvedený ve Smlouvě je následovný:</w:t>
      </w:r>
    </w:p>
    <w:p w14:paraId="076F4DDF" w14:textId="77777777" w:rsidR="00CB58A1" w:rsidRPr="00EB047A" w:rsidRDefault="00CB58A1" w:rsidP="00CB58A1">
      <w:pPr>
        <w:pStyle w:val="Level2"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  <w:i/>
          <w:iCs/>
          <w:szCs w:val="22"/>
        </w:rPr>
      </w:pPr>
      <w:proofErr w:type="gramStart"/>
      <w:r w:rsidRPr="00EB047A">
        <w:rPr>
          <w:rFonts w:ascii="Arial" w:hAnsi="Arial" w:cs="Arial"/>
          <w:i/>
          <w:iCs/>
          <w:szCs w:val="22"/>
        </w:rPr>
        <w:t>3.3  Cenu</w:t>
      </w:r>
      <w:proofErr w:type="gramEnd"/>
      <w:r w:rsidRPr="00EB047A">
        <w:rPr>
          <w:rFonts w:ascii="Arial" w:hAnsi="Arial" w:cs="Arial"/>
          <w:i/>
          <w:iCs/>
          <w:szCs w:val="22"/>
        </w:rPr>
        <w:t xml:space="preserve"> Díla lze změnit pouze v souladu s čl. 3.2, případně při naplnění podmínek dle čl. 17, v souladu s podmínkami stanovenými v příslušném dodatku ke Smlouvě a dále v případě, že v průběhu plnění této Smlouvy dojde ke změnám sazeb DPH a skutečnostem dle čl. </w:t>
      </w:r>
      <w:r w:rsidRPr="00EB047A">
        <w:rPr>
          <w:rFonts w:ascii="Arial" w:hAnsi="Arial" w:cs="Arial"/>
          <w:b/>
          <w:bCs/>
          <w:i/>
          <w:iCs/>
          <w:szCs w:val="22"/>
        </w:rPr>
        <w:t>3.6</w:t>
      </w:r>
      <w:r w:rsidRPr="00EB047A">
        <w:rPr>
          <w:rFonts w:ascii="Arial" w:hAnsi="Arial" w:cs="Arial"/>
          <w:i/>
          <w:iCs/>
          <w:szCs w:val="22"/>
        </w:rPr>
        <w:t>.</w:t>
      </w:r>
    </w:p>
    <w:p w14:paraId="540B2BB8" w14:textId="77777777" w:rsidR="00CB58A1" w:rsidRPr="00EB047A" w:rsidRDefault="00CB58A1" w:rsidP="00CB58A1">
      <w:pPr>
        <w:pStyle w:val="Level2"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  <w:i/>
          <w:iCs/>
          <w:szCs w:val="22"/>
        </w:rPr>
      </w:pPr>
      <w:proofErr w:type="gramStart"/>
      <w:r w:rsidRPr="00EB047A">
        <w:rPr>
          <w:rFonts w:ascii="Arial" w:hAnsi="Arial" w:cs="Arial"/>
          <w:i/>
          <w:iCs/>
          <w:szCs w:val="22"/>
        </w:rPr>
        <w:t>3.4  Cena</w:t>
      </w:r>
      <w:proofErr w:type="gramEnd"/>
      <w:r w:rsidRPr="00EB047A">
        <w:rPr>
          <w:rFonts w:ascii="Arial" w:hAnsi="Arial" w:cs="Arial"/>
          <w:i/>
          <w:iCs/>
          <w:szCs w:val="22"/>
        </w:rPr>
        <w:t xml:space="preserve"> Díla, s výjimkou upravenou v čl. 3.2 a čl. </w:t>
      </w:r>
      <w:r w:rsidRPr="00E8256C">
        <w:rPr>
          <w:rFonts w:ascii="Arial" w:hAnsi="Arial" w:cs="Arial"/>
          <w:b/>
          <w:bCs/>
          <w:i/>
          <w:iCs/>
          <w:szCs w:val="22"/>
        </w:rPr>
        <w:t>3.6</w:t>
      </w:r>
      <w:r w:rsidRPr="00EB047A">
        <w:rPr>
          <w:rFonts w:ascii="Arial" w:hAnsi="Arial" w:cs="Arial"/>
          <w:i/>
          <w:iCs/>
          <w:szCs w:val="22"/>
        </w:rPr>
        <w:t>, jakož i jednotlivé jednotkové položkové ceny (Měrné jednotky), jsou mezi Smluvními stranami výslovně sjednány jako nejvyšší možné a nepřekročitelné. Zhotovitel prohlašuje, že Cena Díla zahrnuje veškeré jeho náklady spojené s plněním Smlouvy, zejména odměnu za poskytnutí oprávnění ve smyslu ustanovení čl. 11 a tisk veškerých mapových podkladů.</w:t>
      </w:r>
    </w:p>
    <w:p w14:paraId="4B99052A" w14:textId="77777777" w:rsidR="00CB58A1" w:rsidRPr="00E8256C" w:rsidRDefault="00CB58A1" w:rsidP="00CB58A1">
      <w:pPr>
        <w:pStyle w:val="Level2"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17.1 </w:t>
      </w:r>
      <w:r w:rsidRPr="00E8256C">
        <w:rPr>
          <w:rFonts w:ascii="Arial" w:hAnsi="Arial" w:cs="Arial"/>
          <w:i/>
          <w:iCs/>
          <w:szCs w:val="22"/>
        </w:rPr>
        <w:t xml:space="preserve">Pokud v průběhu zhotovování Díla dojde k novým skutečnostem, které nepředpokládala a rozumně nemohla předvídat v době uzavření Smlouvy žádná ze Smluvních stran a které mohou mít vliv na Cenu Díla a termíny dokončení uvedené v 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řešeny výhradně postupem a v souladu s § 222 ZZVZ. Ustanovení tohoto čl. </w:t>
      </w:r>
      <w:r>
        <w:rPr>
          <w:rFonts w:ascii="Arial" w:hAnsi="Arial" w:cs="Arial"/>
          <w:i/>
          <w:iCs/>
          <w:szCs w:val="22"/>
        </w:rPr>
        <w:t>17</w:t>
      </w:r>
      <w:r w:rsidRPr="00E8256C">
        <w:rPr>
          <w:rFonts w:ascii="Arial" w:hAnsi="Arial" w:cs="Arial"/>
          <w:i/>
          <w:iCs/>
          <w:szCs w:val="22"/>
        </w:rPr>
        <w:t xml:space="preserve"> se nepoužije pro změnu jednotkových položkových cen (Měrných jednotek) prováděnou dle čl.</w:t>
      </w:r>
      <w:r>
        <w:rPr>
          <w:rFonts w:ascii="Arial" w:hAnsi="Arial" w:cs="Arial"/>
          <w:i/>
          <w:iCs/>
          <w:szCs w:val="22"/>
        </w:rPr>
        <w:t xml:space="preserve"> </w:t>
      </w:r>
      <w:r w:rsidRPr="00E8256C">
        <w:rPr>
          <w:rFonts w:ascii="Arial" w:hAnsi="Arial" w:cs="Arial"/>
          <w:b/>
          <w:bCs/>
          <w:i/>
          <w:iCs/>
          <w:szCs w:val="22"/>
        </w:rPr>
        <w:t>3.6</w:t>
      </w:r>
      <w:r w:rsidRPr="00E8256C">
        <w:rPr>
          <w:rFonts w:ascii="Arial" w:hAnsi="Arial" w:cs="Arial"/>
          <w:i/>
          <w:iCs/>
          <w:szCs w:val="22"/>
        </w:rPr>
        <w:t>.</w:t>
      </w:r>
    </w:p>
    <w:p w14:paraId="71DEF3D6" w14:textId="77777777" w:rsidR="00226040" w:rsidRPr="00FA6351" w:rsidRDefault="00226040" w:rsidP="001B2C5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i/>
          <w:iCs/>
          <w:szCs w:val="22"/>
        </w:rPr>
      </w:pPr>
    </w:p>
    <w:p w14:paraId="1798EC61" w14:textId="77777777" w:rsidR="00CB58A1" w:rsidRPr="00E27EBB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Způsob předávání faktur</w:t>
      </w:r>
    </w:p>
    <w:p w14:paraId="60B11077" w14:textId="77777777" w:rsidR="00CB58A1" w:rsidRPr="00E27EBB" w:rsidRDefault="00CB58A1" w:rsidP="00CB58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</w:pP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Další změna se týká předávání faktur podle čl. </w:t>
      </w:r>
      <w:r w:rsidRPr="00E27EBB">
        <w:rPr>
          <w:rFonts w:ascii="Arial" w:hAnsi="Arial" w:cs="Arial"/>
          <w:caps w:val="0"/>
          <w:color w:val="000000" w:themeColor="text1"/>
          <w:szCs w:val="22"/>
        </w:rPr>
        <w:t>4.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 xml:space="preserve">Platební a fakturační podmínky.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Nově podle čl. 4.3 mezi náležitosti Faktury </w:t>
      </w:r>
      <w:proofErr w:type="gramStart"/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nepatří</w:t>
      </w:r>
      <w:proofErr w:type="gramEnd"/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kopie Akceptačního protokolu.</w:t>
      </w:r>
    </w:p>
    <w:p w14:paraId="03D18D29" w14:textId="77777777" w:rsidR="00CB58A1" w:rsidRPr="00E27EBB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V čl. 4.3 se mění věta třetí takto:</w:t>
      </w:r>
    </w:p>
    <w:p w14:paraId="19210EE6" w14:textId="77777777" w:rsidR="00CB58A1" w:rsidRPr="00E27EBB" w:rsidRDefault="00CB58A1" w:rsidP="00CB58A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E27EBB">
        <w:rPr>
          <w:rFonts w:ascii="Arial" w:hAnsi="Arial" w:cs="Arial"/>
          <w:i/>
          <w:iCs/>
          <w:color w:val="000000" w:themeColor="text1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24455F74" w14:textId="77777777" w:rsidR="00CB58A1" w:rsidRDefault="00CB58A1" w:rsidP="00CB58A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6B87B40E" w14:textId="77777777" w:rsidR="006A3DCA" w:rsidRDefault="006A3DCA" w:rsidP="00CB58A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16613591" w14:textId="77777777" w:rsidR="006A3DCA" w:rsidRPr="00E27EBB" w:rsidRDefault="006A3DCA" w:rsidP="00CB58A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146BAD13" w14:textId="77777777" w:rsidR="00CB58A1" w:rsidRPr="00E27EBB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Způsob předávání digitálních dat</w:t>
      </w:r>
    </w:p>
    <w:p w14:paraId="01DB73C5" w14:textId="7D533069" w:rsidR="00CB58A1" w:rsidRPr="00142485" w:rsidRDefault="00CB58A1" w:rsidP="00CB58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</w:pP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Předmětem Dodatku č. </w:t>
      </w:r>
      <w:r w:rsidR="005B4296">
        <w:rPr>
          <w:rFonts w:ascii="Arial" w:hAnsi="Arial" w:cs="Arial"/>
          <w:b w:val="0"/>
          <w:bCs w:val="0"/>
          <w:color w:val="000000" w:themeColor="text1"/>
          <w:szCs w:val="22"/>
        </w:rPr>
        <w:t>1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ke Smlouvě je i změna způsobu předávání digitálních částí Díla. Na</w:t>
      </w:r>
      <w:r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 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Portálu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>Státního pozemkového úřadu (</w:t>
      </w:r>
      <w:r w:rsidRPr="00E27EBB">
        <w:rPr>
          <w:rFonts w:ascii="Arial" w:hAnsi="Arial" w:cs="Arial"/>
          <w:caps w:val="0"/>
          <w:color w:val="000000" w:themeColor="text1"/>
          <w:szCs w:val="22"/>
          <w:shd w:val="clear" w:color="auto" w:fill="FFFFFF"/>
        </w:rPr>
        <w:t>„SPÚ“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) bylo spuštěno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V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Předávání dat mezi oběma Smluvními stranami bude od data podpisu tohoto Dodatku č. </w:t>
      </w:r>
      <w:r w:rsidR="005B4296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1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prováděno výhradně cestou Výměnného úložiště SPÚ, které je iniciováno a zpřístupněno ze strany SPÚ. V důsledku této změny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se mění čl. </w:t>
      </w:r>
      <w:r w:rsidRPr="00E27EBB">
        <w:rPr>
          <w:rFonts w:ascii="Arial" w:hAnsi="Arial" w:cs="Arial"/>
          <w:color w:val="000000" w:themeColor="text1"/>
          <w:szCs w:val="22"/>
          <w:shd w:val="clear" w:color="auto" w:fill="FFFFFF"/>
        </w:rPr>
        <w:t>7.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  <w:shd w:val="clear" w:color="auto" w:fill="FFFFFF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>Technické</w:t>
      </w:r>
      <w:r w:rsidR="00142485">
        <w:rPr>
          <w:rFonts w:ascii="Arial" w:hAnsi="Arial" w:cs="Arial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 xml:space="preserve">požadavky </w:t>
      </w:r>
      <w:r w:rsidR="006A3DCA">
        <w:rPr>
          <w:rFonts w:ascii="Arial" w:hAnsi="Arial" w:cs="Arial"/>
          <w:color w:val="000000" w:themeColor="text1"/>
          <w:szCs w:val="22"/>
        </w:rPr>
        <w:br/>
      </w:r>
      <w:r w:rsidRPr="00E27EBB">
        <w:rPr>
          <w:rFonts w:ascii="Arial" w:hAnsi="Arial" w:cs="Arial"/>
          <w:color w:val="000000" w:themeColor="text1"/>
          <w:szCs w:val="22"/>
        </w:rPr>
        <w:t>na provedení díla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. </w:t>
      </w:r>
    </w:p>
    <w:p w14:paraId="5AF4F314" w14:textId="77777777" w:rsidR="00CB58A1" w:rsidRPr="00E27EBB" w:rsidRDefault="00CB58A1" w:rsidP="006A3DCA">
      <w:pPr>
        <w:spacing w:before="360"/>
        <w:rPr>
          <w:rFonts w:ascii="Arial" w:hAnsi="Arial" w:cs="Arial"/>
          <w:b/>
          <w:bCs/>
          <w:color w:val="000000" w:themeColor="text1"/>
        </w:rPr>
      </w:pPr>
      <w:r w:rsidRPr="00E27EBB">
        <w:rPr>
          <w:rFonts w:ascii="Arial" w:hAnsi="Arial" w:cs="Arial"/>
          <w:b/>
          <w:bCs/>
          <w:color w:val="000000" w:themeColor="text1"/>
        </w:rPr>
        <w:t xml:space="preserve">V čl. 7.1 se mění druhá věta takto: </w:t>
      </w:r>
    </w:p>
    <w:p w14:paraId="021E2E0C" w14:textId="016EC5D5" w:rsidR="00CB58A1" w:rsidRDefault="00CB58A1" w:rsidP="006A3DCA">
      <w:pPr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Dále budou dílčí části Hlavních celků a Hlavní celek 3 předány rovněž v digitální podobě ve</w:t>
      </w:r>
      <w:r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formátu VFP, společně s údaji Informačního systému katastru nemovitostí ve formátu VFK, v souladu s</w:t>
      </w:r>
      <w:r w:rsidR="00AA6CBB"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platným relevantním metodickým pokynem SPÚ, na výměnné úložiště SPÚ a</w:t>
      </w:r>
      <w:r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současně bude předána textová část ve formátu doc(x) nebo jiném formátu kompatibilním s</w:t>
      </w:r>
      <w:r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 xml:space="preserve">textovým editorem Microsoft Word, tabulková část ve formátu </w:t>
      </w:r>
      <w:proofErr w:type="spellStart"/>
      <w:r w:rsidRPr="00E27EBB">
        <w:rPr>
          <w:rFonts w:ascii="Arial" w:hAnsi="Arial" w:cs="Arial"/>
          <w:i/>
          <w:iCs/>
          <w:color w:val="000000" w:themeColor="text1"/>
        </w:rPr>
        <w:t>xls</w:t>
      </w:r>
      <w:proofErr w:type="spellEnd"/>
      <w:r w:rsidRPr="00E27EBB">
        <w:rPr>
          <w:rFonts w:ascii="Arial" w:hAnsi="Arial" w:cs="Arial"/>
          <w:i/>
          <w:iCs/>
          <w:color w:val="000000" w:themeColor="text1"/>
        </w:rPr>
        <w:t>(x) nebo jiném formátu kompatibilním s programem Microsoft Excel.</w:t>
      </w:r>
    </w:p>
    <w:p w14:paraId="5AD93C6D" w14:textId="77777777" w:rsidR="00CB58A1" w:rsidRPr="00E27EBB" w:rsidRDefault="00CB58A1" w:rsidP="00AA6CBB">
      <w:pPr>
        <w:pStyle w:val="Level2"/>
        <w:numPr>
          <w:ilvl w:val="0"/>
          <w:numId w:val="0"/>
        </w:numPr>
        <w:spacing w:before="360" w:after="240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Čl. 7.2 se mění takto:</w:t>
      </w:r>
    </w:p>
    <w:p w14:paraId="5AF01909" w14:textId="77777777" w:rsidR="00CB58A1" w:rsidRPr="00E27EBB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i/>
          <w:iCs/>
          <w:color w:val="000000" w:themeColor="text1"/>
          <w:szCs w:val="22"/>
        </w:rPr>
      </w:pPr>
      <w:bookmarkStart w:id="1" w:name="_Ref61943163"/>
      <w:r w:rsidRPr="00E27EBB">
        <w:rPr>
          <w:rFonts w:ascii="Arial" w:hAnsi="Arial" w:cs="Arial"/>
          <w:i/>
          <w:iCs/>
          <w:color w:val="000000" w:themeColor="text1"/>
          <w:szCs w:val="22"/>
        </w:rPr>
        <w:t>Ukončené dílčí části Hlavních celků a Hlavní celek 3 Zhotovitel předá Objednateli s náležitostmi podle čl. 7.1 v následujícím počtu vyhotovení, formě a příslušným osobám:</w:t>
      </w:r>
      <w:bookmarkEnd w:id="1"/>
    </w:p>
    <w:p w14:paraId="4C80275B" w14:textId="77777777" w:rsidR="00BC781E" w:rsidRPr="000512B9" w:rsidRDefault="00BC781E" w:rsidP="000512B9">
      <w:pPr>
        <w:pStyle w:val="Claneka"/>
        <w:numPr>
          <w:ilvl w:val="2"/>
          <w:numId w:val="65"/>
        </w:numPr>
        <w:rPr>
          <w:rFonts w:ascii="Arial" w:hAnsi="Arial" w:cs="Arial"/>
          <w:i/>
          <w:iCs/>
        </w:rPr>
      </w:pPr>
      <w:r w:rsidRPr="000512B9">
        <w:rPr>
          <w:rFonts w:ascii="Arial" w:hAnsi="Arial" w:cs="Arial"/>
          <w:i/>
          <w:iCs/>
        </w:rPr>
        <w:t>Revize a doplnění stávajícího bodového pole – digitální vyhotovení určené Objednateli;</w:t>
      </w:r>
    </w:p>
    <w:p w14:paraId="6B72BF20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 xml:space="preserve">Podrobné měření polohopisu v obvodu </w:t>
      </w:r>
      <w:proofErr w:type="spellStart"/>
      <w:r w:rsidRPr="00E16945">
        <w:rPr>
          <w:rFonts w:ascii="Arial" w:hAnsi="Arial" w:cs="Arial"/>
          <w:i/>
          <w:iCs/>
        </w:rPr>
        <w:t>KoPÚ</w:t>
      </w:r>
      <w:proofErr w:type="spellEnd"/>
      <w:r w:rsidRPr="00E16945">
        <w:rPr>
          <w:rFonts w:ascii="Arial" w:hAnsi="Arial" w:cs="Arial"/>
          <w:i/>
          <w:iCs/>
        </w:rPr>
        <w:t xml:space="preserve"> – digitální vyhotovení určené Objednateli;</w:t>
      </w:r>
    </w:p>
    <w:p w14:paraId="2C1B0C23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proofErr w:type="spellStart"/>
      <w:r w:rsidRPr="00E16945">
        <w:rPr>
          <w:rFonts w:ascii="Arial" w:hAnsi="Arial" w:cs="Arial"/>
          <w:i/>
          <w:iCs/>
        </w:rPr>
        <w:t>Vektorizace</w:t>
      </w:r>
      <w:proofErr w:type="spellEnd"/>
      <w:r w:rsidRPr="00E16945">
        <w:rPr>
          <w:rFonts w:ascii="Arial" w:hAnsi="Arial" w:cs="Arial"/>
          <w:i/>
          <w:iCs/>
        </w:rPr>
        <w:t xml:space="preserve"> vlastnické mapy – digitální vyhotovení určené Objednateli;</w:t>
      </w:r>
    </w:p>
    <w:p w14:paraId="24AD6891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 xml:space="preserve">Zjišťování průběhu hranic obvodu </w:t>
      </w:r>
      <w:proofErr w:type="spellStart"/>
      <w:r w:rsidRPr="00E16945">
        <w:rPr>
          <w:rFonts w:ascii="Arial" w:hAnsi="Arial" w:cs="Arial"/>
          <w:i/>
          <w:iCs/>
        </w:rPr>
        <w:t>KoPÚ</w:t>
      </w:r>
      <w:proofErr w:type="spellEnd"/>
      <w:r w:rsidRPr="00E16945">
        <w:rPr>
          <w:rFonts w:ascii="Arial" w:hAnsi="Arial" w:cs="Arial"/>
          <w:i/>
          <w:iCs/>
        </w:rPr>
        <w:t xml:space="preserve"> – 1x listinné a digitální vyhotovení určené Objednateli; geometrické plány budou odevzdány jen v digitálním vyhotovení;</w:t>
      </w:r>
    </w:p>
    <w:p w14:paraId="2B9151F4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0101B7DD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 xml:space="preserve">Šetření průběhu vlastnických hranic řešených pozemků s porosty pro účely návrhu </w:t>
      </w:r>
      <w:proofErr w:type="spellStart"/>
      <w:r w:rsidRPr="00E16945">
        <w:rPr>
          <w:rFonts w:ascii="Arial" w:hAnsi="Arial" w:cs="Arial"/>
          <w:i/>
          <w:iCs/>
        </w:rPr>
        <w:t>KoPÚ</w:t>
      </w:r>
      <w:proofErr w:type="spellEnd"/>
      <w:r w:rsidRPr="00E16945">
        <w:rPr>
          <w:rFonts w:ascii="Arial" w:hAnsi="Arial" w:cs="Arial"/>
          <w:i/>
          <w:iCs/>
        </w:rPr>
        <w:t xml:space="preserve"> – 1x listinné a digitální vyhotovení určené Objednateli; </w:t>
      </w:r>
    </w:p>
    <w:p w14:paraId="39F751EF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Rozbor současného stavu – 1x listinné a digitální vyhotovení určené Objednateli;</w:t>
      </w:r>
    </w:p>
    <w:p w14:paraId="600EFD96" w14:textId="77777777" w:rsidR="00BC781E" w:rsidRPr="00BF554C" w:rsidRDefault="00BC781E" w:rsidP="00BC781E">
      <w:pPr>
        <w:pStyle w:val="Claneka"/>
      </w:pPr>
      <w:r w:rsidRPr="00E16945">
        <w:rPr>
          <w:rFonts w:ascii="Arial" w:hAnsi="Arial" w:cs="Arial"/>
          <w:i/>
          <w:iCs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E16945" w:rsidDel="00395278">
        <w:rPr>
          <w:rFonts w:ascii="Arial" w:hAnsi="Arial" w:cs="Arial"/>
          <w:i/>
          <w:iCs/>
        </w:rPr>
        <w:t xml:space="preserve"> </w:t>
      </w:r>
      <w:r w:rsidRPr="00E16945">
        <w:rPr>
          <w:rFonts w:ascii="Arial" w:hAnsi="Arial" w:cs="Arial"/>
          <w:i/>
          <w:iCs/>
        </w:rPr>
        <w:t>mapy vlastnických vztahů určené Objednateli;</w:t>
      </w:r>
    </w:p>
    <w:p w14:paraId="76938573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PSZ:</w:t>
      </w:r>
    </w:p>
    <w:p w14:paraId="14738A0F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dokumentace PSZ – 2x listinné vyhotovení určené – 1x Objednateli a 1x příslušné obci; digitální vyhotovení určené Objednateli;</w:t>
      </w:r>
    </w:p>
    <w:p w14:paraId="2F842FE7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dokumentace technického řešení – 1x listinné a digitální vyhotovení určené Objednateli;</w:t>
      </w:r>
    </w:p>
    <w:p w14:paraId="7D2E6B35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lastRenderedPageBreak/>
        <w:t xml:space="preserve">Vypracování aktualizace PSZ – 2x listinné vyhotovení určené – 1x Objednateli a 1x příslušné obci; digitální vyhotovení určené Objednateli; </w:t>
      </w:r>
    </w:p>
    <w:p w14:paraId="78D3DC97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kompletní digitální podoby dokumentace PSZ – digitální vyhotovení a 1x listinné vyhotovení mapy určené Objednateli;</w:t>
      </w:r>
    </w:p>
    <w:p w14:paraId="72C2954C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Výškopisné zaměření zájmového území – digitální vyhotovení určené Objednateli;</w:t>
      </w:r>
    </w:p>
    <w:p w14:paraId="2DE67BF9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7E2EC091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2" w:name="_Ref51580601"/>
      <w:r w:rsidRPr="00E27EBB">
        <w:rPr>
          <w:rFonts w:ascii="Arial" w:hAnsi="Arial" w:cs="Arial"/>
          <w:i/>
          <w:iCs/>
          <w:color w:val="000000" w:themeColor="text1"/>
        </w:rPr>
        <w:t>Předložení aktuální dokumentace návrhu nového uspořádání pozemků – 2x listinné vyhotovení určené – 1x Objednateli (</w:t>
      </w:r>
      <w:proofErr w:type="spellStart"/>
      <w:r w:rsidRPr="00E27EBB">
        <w:rPr>
          <w:rFonts w:ascii="Arial" w:hAnsi="Arial" w:cs="Arial"/>
          <w:i/>
          <w:iCs/>
          <w:color w:val="000000" w:themeColor="text1"/>
        </w:rPr>
        <w:t>paré</w:t>
      </w:r>
      <w:proofErr w:type="spellEnd"/>
      <w:r w:rsidRPr="00E27EBB">
        <w:rPr>
          <w:rFonts w:ascii="Arial" w:hAnsi="Arial" w:cs="Arial"/>
          <w:i/>
          <w:iCs/>
          <w:color w:val="000000" w:themeColor="text1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2"/>
    </w:p>
    <w:p w14:paraId="629E74F5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3" w:name="_Ref135050419"/>
      <w:r w:rsidRPr="00E27EBB">
        <w:rPr>
          <w:rFonts w:ascii="Arial" w:hAnsi="Arial" w:cs="Arial"/>
          <w:i/>
          <w:iCs/>
          <w:color w:val="000000" w:themeColor="text1"/>
        </w:rPr>
        <w:t>Vypracování podkladů pro změnu katastrální hranice – 1x listinné a digitální vyhotovení určené Objednateli, 1x listinné vyhotovení podkladů pro každou dotčenou obec;</w:t>
      </w:r>
      <w:bookmarkEnd w:id="3"/>
    </w:p>
    <w:p w14:paraId="73F9C5A0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aktualizace návrhu – přiměřeně se použijí předchozí články Smlouvy;</w:t>
      </w:r>
    </w:p>
    <w:p w14:paraId="501F772C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Zpracování mapového díla – digitální vyhotovení určené Objednateli; a</w:t>
      </w:r>
    </w:p>
    <w:p w14:paraId="622BAA20" w14:textId="77777777" w:rsidR="00CB58A1" w:rsidRPr="00E27EBB" w:rsidRDefault="00CB58A1" w:rsidP="00CB58A1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4" w:name="_Ref135050122"/>
      <w:r w:rsidRPr="00E27EBB">
        <w:rPr>
          <w:rFonts w:ascii="Arial" w:hAnsi="Arial" w:cs="Arial"/>
          <w:i/>
          <w:iCs/>
          <w:color w:val="000000" w:themeColor="text1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4"/>
    </w:p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5" w:name="1fob9te"/>
      <w:bookmarkStart w:id="6" w:name="_Ref51580600"/>
      <w:bookmarkStart w:id="7" w:name="_Ref50585481"/>
      <w:bookmarkEnd w:id="0"/>
      <w:bookmarkEnd w:id="5"/>
    </w:p>
    <w:bookmarkEnd w:id="6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7"/>
    </w:p>
    <w:p w14:paraId="3F3A2C6C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8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3C60DF41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</w:t>
      </w:r>
      <w:proofErr w:type="spellStart"/>
      <w:r w:rsidRPr="005540C4">
        <w:rPr>
          <w:rFonts w:ascii="Arial" w:hAnsi="Arial" w:cs="Arial"/>
        </w:rPr>
        <w:t>KoPÚ</w:t>
      </w:r>
      <w:proofErr w:type="spellEnd"/>
      <w:r w:rsidRPr="005540C4">
        <w:rPr>
          <w:rFonts w:ascii="Arial" w:hAnsi="Arial" w:cs="Arial"/>
        </w:rPr>
        <w:t xml:space="preserve"> </w:t>
      </w:r>
      <w:r w:rsidR="002D297C">
        <w:rPr>
          <w:rFonts w:ascii="Arial" w:hAnsi="Arial" w:cs="Arial"/>
        </w:rPr>
        <w:t>Hor</w:t>
      </w:r>
      <w:r w:rsidR="00A91360">
        <w:rPr>
          <w:rFonts w:ascii="Arial" w:hAnsi="Arial" w:cs="Arial"/>
        </w:rPr>
        <w:t xml:space="preserve">ní </w:t>
      </w:r>
      <w:proofErr w:type="gramStart"/>
      <w:r w:rsidR="00A91360">
        <w:rPr>
          <w:rFonts w:ascii="Arial" w:hAnsi="Arial" w:cs="Arial"/>
        </w:rPr>
        <w:t>Teplice</w:t>
      </w:r>
      <w:r w:rsidRPr="005540C4">
        <w:rPr>
          <w:rFonts w:ascii="Arial" w:hAnsi="Arial" w:cs="Arial"/>
        </w:rPr>
        <w:t xml:space="preserve"> - Dodatek</w:t>
      </w:r>
      <w:proofErr w:type="gramEnd"/>
      <w:r w:rsidRPr="005540C4">
        <w:rPr>
          <w:rFonts w:ascii="Arial" w:hAnsi="Arial" w:cs="Arial"/>
        </w:rPr>
        <w:t xml:space="preserve"> č. </w:t>
      </w:r>
      <w:r w:rsidR="00A91360">
        <w:rPr>
          <w:rFonts w:ascii="Arial" w:hAnsi="Arial" w:cs="Arial"/>
        </w:rPr>
        <w:t>1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91F1118" w14:textId="624FB61B" w:rsidR="00511F59" w:rsidRDefault="00511F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9D57F76" w14:textId="77777777" w:rsidR="00511F59" w:rsidRPr="007130AA" w:rsidRDefault="00511F59" w:rsidP="00511F59">
      <w:pPr>
        <w:spacing w:line="240" w:lineRule="auto"/>
        <w:rPr>
          <w:rFonts w:ascii="Arial" w:hAnsi="Arial" w:cs="Arial"/>
        </w:rPr>
      </w:pPr>
    </w:p>
    <w:p w14:paraId="1C0B28B9" w14:textId="77777777" w:rsidR="0084777C" w:rsidRPr="00ED6435" w:rsidRDefault="0084777C" w:rsidP="0084777C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336839C3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407CBDF0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0C8F80B3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784904B4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44657A4" w14:textId="2B2F64C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>:</w:t>
      </w:r>
      <w:r w:rsidR="004D2779">
        <w:rPr>
          <w:rFonts w:ascii="Arial" w:eastAsia="Times New Roman" w:hAnsi="Arial" w:cs="Arial"/>
          <w:bCs/>
          <w:lang w:eastAsia="cs-CZ"/>
        </w:rPr>
        <w:t xml:space="preserve"> 18.12.2023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>
        <w:rPr>
          <w:rFonts w:ascii="Arial" w:eastAsia="Times New Roman" w:hAnsi="Arial" w:cs="Arial"/>
          <w:bCs/>
          <w:lang w:eastAsia="cs-CZ"/>
        </w:rPr>
        <w:t>:</w:t>
      </w:r>
      <w:r w:rsidR="00C35524">
        <w:rPr>
          <w:rFonts w:ascii="Arial" w:eastAsia="Times New Roman" w:hAnsi="Arial" w:cs="Arial"/>
          <w:bCs/>
          <w:lang w:eastAsia="cs-CZ"/>
        </w:rPr>
        <w:t xml:space="preserve"> 13.12.2023</w:t>
      </w:r>
    </w:p>
    <w:p w14:paraId="399CF7EF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E05EFE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A927F1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6E1115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225DF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1C3D4A6" w14:textId="604E65C5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</w:t>
      </w:r>
      <w:r w:rsidR="0012758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Barbora Salátová</w:t>
      </w:r>
    </w:p>
    <w:p w14:paraId="40C1A8DD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607807D7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3D3AE081" w14:textId="198E491B" w:rsidR="00B3745E" w:rsidRPr="006A5C38" w:rsidRDefault="00B3745E" w:rsidP="00244E6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6A5C38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0B55" w14:textId="77777777" w:rsidR="00212E56" w:rsidRDefault="00212E56" w:rsidP="007936E4">
      <w:pPr>
        <w:spacing w:after="0"/>
      </w:pPr>
      <w:r>
        <w:separator/>
      </w:r>
    </w:p>
  </w:endnote>
  <w:endnote w:type="continuationSeparator" w:id="0">
    <w:p w14:paraId="536C7811" w14:textId="77777777" w:rsidR="00212E56" w:rsidRDefault="00212E56" w:rsidP="007936E4">
      <w:pPr>
        <w:spacing w:after="0"/>
      </w:pPr>
      <w:r>
        <w:continuationSeparator/>
      </w:r>
    </w:p>
  </w:endnote>
  <w:endnote w:type="continuationNotice" w:id="1">
    <w:p w14:paraId="54833D06" w14:textId="77777777" w:rsidR="00212E56" w:rsidRDefault="00212E5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646E" w14:textId="77777777" w:rsidR="00212E56" w:rsidRDefault="00212E56" w:rsidP="007936E4">
      <w:pPr>
        <w:spacing w:after="0"/>
      </w:pPr>
      <w:r>
        <w:separator/>
      </w:r>
    </w:p>
  </w:footnote>
  <w:footnote w:type="continuationSeparator" w:id="0">
    <w:p w14:paraId="4038BC56" w14:textId="77777777" w:rsidR="00212E56" w:rsidRDefault="00212E56" w:rsidP="007936E4">
      <w:pPr>
        <w:spacing w:after="0"/>
      </w:pPr>
      <w:r>
        <w:continuationSeparator/>
      </w:r>
    </w:p>
  </w:footnote>
  <w:footnote w:type="continuationNotice" w:id="1">
    <w:p w14:paraId="587EBFEC" w14:textId="77777777" w:rsidR="00212E56" w:rsidRDefault="00212E5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7BCD589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1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>v </w:t>
    </w:r>
    <w:proofErr w:type="spellStart"/>
    <w:r w:rsidR="00B51F5A">
      <w:rPr>
        <w:szCs w:val="16"/>
      </w:rPr>
      <w:t>k.ú</w:t>
    </w:r>
    <w:proofErr w:type="spellEnd"/>
    <w:r w:rsidR="00B51F5A">
      <w:rPr>
        <w:szCs w:val="16"/>
      </w:rPr>
      <w:t xml:space="preserve">. </w:t>
    </w:r>
    <w:r w:rsidR="00A376B4">
      <w:rPr>
        <w:szCs w:val="16"/>
      </w:rPr>
      <w:t>Horní Teplice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06FA" w14:textId="0D8BA4D8" w:rsidR="00C77277" w:rsidRPr="00C7727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77277">
      <w:rPr>
        <w:rFonts w:cs="Arial"/>
        <w:szCs w:val="16"/>
        <w:lang w:val="fr-FR" w:eastAsia="cs-CZ"/>
      </w:rPr>
      <w:tab/>
    </w:r>
    <w:r w:rsidR="00C77277">
      <w:rPr>
        <w:rFonts w:cs="Arial"/>
        <w:szCs w:val="16"/>
        <w:lang w:val="fr-FR" w:eastAsia="cs-CZ"/>
      </w:rPr>
      <w:tab/>
    </w:r>
    <w:r w:rsidR="00C77277" w:rsidRPr="00B76231">
      <w:rPr>
        <w:rFonts w:cs="Arial"/>
        <w:szCs w:val="16"/>
        <w:lang w:val="fr-FR" w:eastAsia="cs-CZ"/>
      </w:rPr>
      <w:t>UID dokumentu :</w:t>
    </w:r>
    <w:r w:rsidR="00B76231" w:rsidRPr="00B76231">
      <w:rPr>
        <w:rFonts w:cs="Arial"/>
        <w:szCs w:val="16"/>
        <w:lang w:val="fr-FR" w:eastAsia="cs-CZ"/>
      </w:rPr>
      <w:t xml:space="preserve"> spudms00000014200867</w:t>
    </w:r>
  </w:p>
  <w:p w14:paraId="4545D75D" w14:textId="4A295FDD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C77277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A11DF1">
      <w:rPr>
        <w:rFonts w:cs="Arial"/>
        <w:szCs w:val="16"/>
        <w:lang w:val="fr-FR" w:eastAsia="cs-CZ"/>
      </w:rPr>
      <w:t>999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4586D2C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</w:t>
    </w:r>
    <w:r w:rsidR="00630EFB">
      <w:rPr>
        <w:rFonts w:cs="Arial"/>
        <w:szCs w:val="16"/>
        <w:lang w:val="fr-FR" w:eastAsia="cs-CZ"/>
      </w:rPr>
      <w:t>17/2022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77FFEC9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630EFB">
      <w:rPr>
        <w:rFonts w:cs="Arial"/>
        <w:szCs w:val="16"/>
        <w:lang w:val="fr-FR" w:eastAsia="cs-CZ"/>
      </w:rPr>
      <w:t>é</w:t>
    </w:r>
    <w:r w:rsidRPr="001D4BED">
      <w:rPr>
        <w:rFonts w:cs="Arial"/>
        <w:szCs w:val="16"/>
        <w:lang w:val="fr-FR" w:eastAsia="cs-CZ"/>
      </w:rPr>
      <w:t xml:space="preserve"> úprav</w:t>
    </w:r>
    <w:r w:rsidR="00630EFB">
      <w:rPr>
        <w:rFonts w:cs="Arial"/>
        <w:szCs w:val="16"/>
        <w:lang w:val="fr-FR" w:eastAsia="cs-CZ"/>
      </w:rPr>
      <w:t>y</w:t>
    </w:r>
    <w:r w:rsidR="002820A4">
      <w:rPr>
        <w:rFonts w:cs="Arial"/>
        <w:szCs w:val="16"/>
        <w:lang w:val="fr-FR" w:eastAsia="cs-CZ"/>
      </w:rPr>
      <w:t xml:space="preserve"> v k.ú. </w:t>
    </w:r>
    <w:r w:rsidR="00630EFB">
      <w:rPr>
        <w:rFonts w:cs="Arial"/>
        <w:szCs w:val="16"/>
        <w:lang w:val="fr-FR" w:eastAsia="cs-CZ"/>
      </w:rPr>
      <w:t>H</w:t>
    </w:r>
    <w:r w:rsidR="00AC5DFA">
      <w:rPr>
        <w:rFonts w:cs="Arial"/>
        <w:szCs w:val="16"/>
        <w:lang w:val="fr-FR" w:eastAsia="cs-CZ"/>
      </w:rPr>
      <w:t>or</w:t>
    </w:r>
    <w:r w:rsidR="00052484">
      <w:rPr>
        <w:rFonts w:cs="Arial"/>
        <w:szCs w:val="16"/>
        <w:lang w:val="fr-FR" w:eastAsia="cs-CZ"/>
      </w:rPr>
      <w:t>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43817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3F09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2B9"/>
    <w:rsid w:val="000514AB"/>
    <w:rsid w:val="00051611"/>
    <w:rsid w:val="00051DEB"/>
    <w:rsid w:val="00052027"/>
    <w:rsid w:val="00052484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747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582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1E4A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BCE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0CB"/>
    <w:rsid w:val="001F76DA"/>
    <w:rsid w:val="00202FB8"/>
    <w:rsid w:val="00203D84"/>
    <w:rsid w:val="0020553F"/>
    <w:rsid w:val="002057AB"/>
    <w:rsid w:val="00205DFC"/>
    <w:rsid w:val="00207846"/>
    <w:rsid w:val="00207B39"/>
    <w:rsid w:val="00210039"/>
    <w:rsid w:val="00210B7C"/>
    <w:rsid w:val="0021157D"/>
    <w:rsid w:val="002126E2"/>
    <w:rsid w:val="0021275B"/>
    <w:rsid w:val="00212E56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E68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97C"/>
    <w:rsid w:val="002D3562"/>
    <w:rsid w:val="002D470A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6F22"/>
    <w:rsid w:val="003C7339"/>
    <w:rsid w:val="003D0904"/>
    <w:rsid w:val="003D1422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79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B8D"/>
    <w:rsid w:val="00544BC5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19B3"/>
    <w:rsid w:val="005D2213"/>
    <w:rsid w:val="005D22F0"/>
    <w:rsid w:val="005D27AF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1D6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0EFB"/>
    <w:rsid w:val="0063245B"/>
    <w:rsid w:val="00632885"/>
    <w:rsid w:val="00633825"/>
    <w:rsid w:val="00633FAA"/>
    <w:rsid w:val="00635175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345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DCA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15F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F67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087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7E1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952"/>
    <w:rsid w:val="008379C3"/>
    <w:rsid w:val="00837F34"/>
    <w:rsid w:val="008403A1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0E4"/>
    <w:rsid w:val="008F71C5"/>
    <w:rsid w:val="008F7BAA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191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D11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D18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A77"/>
    <w:rsid w:val="00970D3B"/>
    <w:rsid w:val="00971D79"/>
    <w:rsid w:val="0097260A"/>
    <w:rsid w:val="00972A3C"/>
    <w:rsid w:val="00973572"/>
    <w:rsid w:val="009739BD"/>
    <w:rsid w:val="00974795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1DF1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6B4"/>
    <w:rsid w:val="00A378D6"/>
    <w:rsid w:val="00A403A8"/>
    <w:rsid w:val="00A406D8"/>
    <w:rsid w:val="00A4198C"/>
    <w:rsid w:val="00A435A0"/>
    <w:rsid w:val="00A44610"/>
    <w:rsid w:val="00A4505A"/>
    <w:rsid w:val="00A45451"/>
    <w:rsid w:val="00A45517"/>
    <w:rsid w:val="00A45F6A"/>
    <w:rsid w:val="00A46E02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6CBB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5DFA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231"/>
    <w:rsid w:val="00B77235"/>
    <w:rsid w:val="00B77593"/>
    <w:rsid w:val="00B7765A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81E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0DBE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524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A50"/>
    <w:rsid w:val="00C623DB"/>
    <w:rsid w:val="00C62699"/>
    <w:rsid w:val="00C62CB2"/>
    <w:rsid w:val="00C62F0F"/>
    <w:rsid w:val="00C632C5"/>
    <w:rsid w:val="00C634CA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277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6687"/>
    <w:rsid w:val="00CB66C7"/>
    <w:rsid w:val="00CB770C"/>
    <w:rsid w:val="00CB7C70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5F7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DEC"/>
    <w:rsid w:val="00DB7F55"/>
    <w:rsid w:val="00DC02A0"/>
    <w:rsid w:val="00DC18F9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AE6"/>
    <w:rsid w:val="00E81C8C"/>
    <w:rsid w:val="00E81EA6"/>
    <w:rsid w:val="00E8265C"/>
    <w:rsid w:val="00E85044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BC1"/>
    <w:rsid w:val="00EA1D15"/>
    <w:rsid w:val="00EA343A"/>
    <w:rsid w:val="00EA37B2"/>
    <w:rsid w:val="00EA3B4B"/>
    <w:rsid w:val="00EA48A0"/>
    <w:rsid w:val="00EA5770"/>
    <w:rsid w:val="00EA77F3"/>
    <w:rsid w:val="00EA7AA7"/>
    <w:rsid w:val="00EB04E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64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147A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BED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4778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64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3264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3264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2023-12-12T13:18:00Z</cp:lastPrinted>
  <dcterms:created xsi:type="dcterms:W3CDTF">2023-12-18T14:02:00Z</dcterms:created>
  <dcterms:modified xsi:type="dcterms:W3CDTF">2023-12-18T14:08:00Z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