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SMLOUVA O UŽÍVÁNÍ BYTU JAROSLAVA FOGLARA</w:t>
      </w:r>
    </w:p>
    <w:p w14:paraId="00000002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Skautská nadace Jaroslava Foglara,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4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 sídlem Praha 1, Senovážné náměstí 24, PSČ 110 00</w:t>
      </w:r>
    </w:p>
    <w:p w14:paraId="00000005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Fakturační adresa: Křišťanova 817/18, PSČ 130 00</w:t>
      </w:r>
    </w:p>
    <w:p w14:paraId="00000006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zastoupená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ve věcech smluvních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: Evou Staňkovou, ředitelkou 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9900"/>
        </w:rPr>
        <w:t xml:space="preserve"> </w:t>
      </w:r>
    </w:p>
    <w:p w14:paraId="00000007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ve věcech provozních: Pavlou Plockovou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25968068</w:t>
      </w:r>
    </w:p>
    <w:p w14:paraId="00000009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Plátce DPH.</w:t>
      </w:r>
    </w:p>
    <w:p w14:paraId="0000000A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dále jen „nadace“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B" w14:textId="77777777" w:rsidR="00006184" w:rsidRDefault="006D387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0000000C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Moravská zemská knihovna v Brně, </w:t>
      </w:r>
    </w:p>
    <w:p w14:paraId="0000000D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státní příspěvková organizace zřízená Ministerstvem kultury České republiky</w:t>
      </w:r>
    </w:p>
    <w:p w14:paraId="0000000E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Brno, Kounicova 65a, 601 87</w:t>
      </w:r>
    </w:p>
    <w:p w14:paraId="0000000F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IČ: 00 09 49 43, DIČ: CZ00094943</w:t>
      </w:r>
    </w:p>
    <w:p w14:paraId="00000010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 věcech smluvních: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PhDr. Tomášem Kubíčkem, Ph.D., ředitelem</w:t>
      </w:r>
    </w:p>
    <w:p w14:paraId="00000011" w14:textId="77777777" w:rsidR="00006184" w:rsidRDefault="006D38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věcech technických: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Michalou Čičvákovou</w:t>
      </w:r>
    </w:p>
    <w:p w14:paraId="00000012" w14:textId="77777777" w:rsidR="00006184" w:rsidRDefault="006D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dále jen „MZK“</w:t>
      </w:r>
    </w:p>
    <w:p w14:paraId="00000013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4" w14:textId="77777777" w:rsidR="00006184" w:rsidRDefault="006D3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MZK, sekce České literární centrum (dále „ČLC“), má za cíl soustavnou a systematickou propagaci české literatury a knižní kultury, jeho úkolem je spojovat jednotlivé aktivity a instituce literární kultury, zviditelňovat českou literaturu a knižní kulturu 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zahraničí i v České republice, pomáhat rozvíjet a naplňovat její funkci nositele společně sdílených hodnot a témat v národním i mezinárodním kontextu. V této souvislosti pořádá MZK rezidenční pobyty autorů na území České republiky, které slouží autorům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překladatelům a dalším profesionálům knižní kultury, jejichž projekty směřují k nové knize, překladu, studii, apod. </w:t>
      </w:r>
    </w:p>
    <w:p w14:paraId="00000015" w14:textId="77777777" w:rsidR="00006184" w:rsidRDefault="006D3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je držitelem družstevního podílu v Bytovém družstvu Žižkov, Pod lipami 2511/64 Praha 3, na jehož základě je výlučným uživatelem mans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ardového bytu v šestém poschodí domu  na adrese Křišťanova 817/18, 130 00, Praha 3, který dříve obýval spisovatel Jaroslav Foglar, a který nyní slouží na základě této smlouvy mimo jiné jako rezidenční prostor pro české i zahraniční autory/profesionály v ob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lasti literatury (dále též „byt Jaroslava Foglara“ nebo „byt“). MZK má zájem využívat byt Jaroslava Foglara pro rezidenční pobyty v rámci rezidenčního programu, který MZK pořádá. </w:t>
      </w:r>
    </w:p>
    <w:p w14:paraId="00000016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17" w14:textId="77777777" w:rsidR="00006184" w:rsidRDefault="006D387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má zájem pořádat rezidenční pobyty v roce 2024 v souvislosti s výše uvedeným odstavcem v bytě Jaroslava Foglara spravovaného Skautskou nadací Jaroslava Foglara.</w:t>
      </w:r>
    </w:p>
    <w:p w14:paraId="00000018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I. Předmět smlouvy</w:t>
      </w:r>
    </w:p>
    <w:p w14:paraId="0000001A" w14:textId="77777777" w:rsidR="00006184" w:rsidRDefault="006D387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prohlašuje, že disponuje bytem Jaroslava Foglara a může ho posky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tovat k užití MZK v rozsahu této smlouvy.</w:t>
      </w:r>
    </w:p>
    <w:p w14:paraId="0000001B" w14:textId="77777777" w:rsidR="00006184" w:rsidRDefault="006D387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bude užívat byt Jaroslava Foglara za účelem zajištění ubytování osob (dále též „rezidenti“), které budou v ČR pobývat v rámci rezidenčních pobytů dle zřizovací listiny MZK v roce  2024. Nejedná se tak o nájem 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ytu dle § 2235 z.č. 89/12012 Sb., nejedná se o zajištění bytových potřeb MZK. </w:t>
      </w:r>
    </w:p>
    <w:p w14:paraId="0000001C" w14:textId="77777777" w:rsidR="00006184" w:rsidRDefault="006D3877">
      <w:pPr>
        <w:numPr>
          <w:ilvl w:val="0"/>
          <w:numId w:val="3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prohlašuje, že byt Jaroslava Foglara bude ve stavu způsobilém užívání pro rezidenční účely MZK v období uvedeném v čl. II odst. 1.</w:t>
      </w:r>
    </w:p>
    <w:p w14:paraId="0000001D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II. Doba užívání</w:t>
      </w:r>
    </w:p>
    <w:p w14:paraId="0000001E" w14:textId="77777777" w:rsidR="00006184" w:rsidRDefault="006D387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bude byt Jaroslava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Foglara dle čl. I. odst. 2 této smlouvy užívat v období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březen - červenec a září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až listopad 2024.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Smluvní strany se dohodly, že mimo období uvedené v čl. II. odst. 1 této smlouvy, bude předmět smlouvy užívat nadace nebo jiný uživatel.</w:t>
      </w:r>
    </w:p>
    <w:p w14:paraId="0000001F" w14:textId="77777777" w:rsidR="00006184" w:rsidRDefault="00006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III. Finanční plně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ní</w:t>
      </w:r>
    </w:p>
    <w:p w14:paraId="00000021" w14:textId="77777777" w:rsidR="00006184" w:rsidRDefault="006D38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Smluvní strany se dohodly, že MZK bude nadaci hradit cenu za užívání bytu dle čl. I. této smlouvy 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výši 27.500 Kč za měsíc včetně 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dle platných právních předpisů (ve čtvrtletních splátkách). Tato cena zahrnuje i užívání veškerých movitých věcí umístěných v obytné jednotce, včetně nákladů na úklid a údržbu (voda, teplo, výtah a další služby v domě), poplatků za energie a nákladů na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ternetové připojení.</w:t>
      </w:r>
    </w:p>
    <w:p w14:paraId="00000022" w14:textId="77777777" w:rsidR="00006184" w:rsidRDefault="006D38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Cena za užívání se platí po skončení kalendářního čtvrtletí (za období březen, duben–červen, červenec–září, říjen–listopad), a je splatná do 21 dnů ode dne zaslání faktury nadací za dané čtvrtletí. </w:t>
      </w:r>
    </w:p>
    <w:p w14:paraId="00000023" w14:textId="77777777" w:rsidR="00006184" w:rsidRDefault="006D38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Smluvní strany se dohodly, že v ceně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užívání uvedené v čl. III. odst. 1 této smlouvy jsou zahrnuty veškeré služby spojené s obytnou jednotkou (voda, elektřina, plyn, teplo, atd.).</w:t>
      </w:r>
    </w:p>
    <w:p w14:paraId="00000024" w14:textId="77777777" w:rsidR="00006184" w:rsidRDefault="006D387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bere na vědomí, že nadace je plátcem DPH.</w:t>
      </w:r>
    </w:p>
    <w:p w14:paraId="00000025" w14:textId="77777777" w:rsidR="00006184" w:rsidRDefault="00006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IV. Plnění spojená s užíváním jednotek a související služby </w:t>
      </w:r>
    </w:p>
    <w:p w14:paraId="00000027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zajistí pro potřeby rezidenta MZK prostřednictvím dodavatelů dále vyjmenovaná tato plnění spojená s užíváním bytu a související služby k zajištění chodu a provozu bytu, konkrétně odběr elektrické energie, vodné, stočné a teplo. Na základě dohody sml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uvních stran nadace nezajišťuje připojení k terrestriálnímu odběru televizního signálu ani další, zde nevyjmenované služby. </w:t>
      </w:r>
    </w:p>
    <w:p w14:paraId="00000028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po dobu užívání bytu Jaroslava Foglara MZK bude provádět veškerou údržbu, opravy a úpravy na vlastní náklady. </w:t>
      </w:r>
    </w:p>
    <w:p w14:paraId="00000029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MZK v případě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nadměrného opotřebení spotřebního materiálu v předmětu smlouvy v průběhu trvání </w:t>
      </w:r>
      <w:r>
        <w:rPr>
          <w:rFonts w:ascii="Times New Roman" w:eastAsia="Times New Roman" w:hAnsi="Times New Roman" w:cs="Times New Roman"/>
          <w:sz w:val="24"/>
          <w:szCs w:val="24"/>
        </w:rPr>
        <w:t>předmětu smlouvy</w:t>
      </w:r>
      <w: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uhradí prokazatelné náklady na pořízení náhrady za tento nadměrně opotřebovaný materiál (např. povlečení, nádobí) pro pobyty rezidentů MZK v bytě Jaroslava Fo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glara v maximální výši 5.000 Kč za rok, a to na základě prokázání těchto nákladů vč. jejich účelnosti.</w:t>
      </w:r>
    </w:p>
    <w:p w14:paraId="0000002A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je povinna provádět údržbu, opravy a úpravy bytu v době, kdy byt neužívá MZK.</w:t>
      </w:r>
    </w:p>
    <w:p w14:paraId="0000002B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je povinna informovat nadaci o závadách, nedostatcích, poruchách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jiných neočekávaných stavech bytu, jeho stavebně technických částí, sítí a veškerého vybavení, a to ihned poté, co MZK takový stav zjistí.</w:t>
      </w:r>
    </w:p>
    <w:p w14:paraId="0000002C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je povinna zajistit, aby rezident užíval byt Jaroslava Foglara v souladu s běžnými pravidly společenského chov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ání. Rezident je zejména povinen dodržovat v době od 22 do 7 hodin noční klid, po budově se pohybovat výhradně výtahem (nikoli po schodišti), a v domě zachovávat pořádek. </w:t>
      </w:r>
    </w:p>
    <w:p w14:paraId="0000002D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Pokud nebude mezi smluvními stranami písemně stvrzeno jinak, bude byt užívat jedna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soba.</w:t>
      </w:r>
    </w:p>
    <w:p w14:paraId="0000002E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MZK je povinna zkontrolovat stav bytu po každém rezidentovi.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MZK je zodpovědná za škody, které by na vybavení bytu, stavebně technických prvcích bytu i ve společných prostorách domu včetně výtahu vznikly v důsledku chování rezidenta a/nebo osob, které rezident nebo MZK vpustil do domu, popřípadě bytu Jaroslava Fogla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ra.</w:t>
      </w:r>
    </w:p>
    <w:p w14:paraId="0000002F" w14:textId="77777777" w:rsidR="00006184" w:rsidRDefault="006D38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MZK je povinna řešit škody a spory ze vztahů s ostatními obyvateli domu pouze tehdy,  vzniknou-li v souvislosti s ubytováním osob ze strany MZK. Nadace je povinna MZK o těchto škodách a sporech informovat včasně a to tak, aby mohla MZK tyto škody účinn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ě řešit. </w:t>
      </w:r>
    </w:p>
    <w:p w14:paraId="00000030" w14:textId="77777777" w:rsidR="00006184" w:rsidRDefault="006D3877">
      <w:pPr>
        <w:numPr>
          <w:ilvl w:val="0"/>
          <w:numId w:val="4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Nadace je povinna vždy po skončení užívání bytu každým rezidentem MZK provést v užívaných jednotkách úklid a přípravu pro pobyt dalšího rezidenta.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MZK je povinna dát nadaci byt k dispozici za účelem úklidu minimálně na 1 pracovní den.</w:t>
      </w:r>
      <w:r>
        <w:rPr>
          <w:color w:val="333333"/>
          <w:sz w:val="24"/>
          <w:szCs w:val="24"/>
        </w:rPr>
        <w:t> </w:t>
      </w:r>
    </w:p>
    <w:p w14:paraId="00000031" w14:textId="77777777" w:rsidR="00006184" w:rsidRDefault="000061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032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V. Ukonče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ní užívání</w:t>
      </w:r>
    </w:p>
    <w:p w14:paraId="00000033" w14:textId="77777777" w:rsidR="00006184" w:rsidRDefault="006D387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Užívání bytu MZK skončí vždy uplynutím doby pobytu každého rezidenta (rezidentů) a obnoví se za stejných podmínek zahájením pobytu dalšího rezidenta (rezidentů) během roku 2024. Tuto smlouvu lze dále kdykoliv ukončit dohodou stran.</w:t>
      </w:r>
    </w:p>
    <w:p w14:paraId="00000034" w14:textId="77777777" w:rsidR="00006184" w:rsidRDefault="00006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VI. Registr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smluv</w:t>
      </w:r>
    </w:p>
    <w:p w14:paraId="00000036" w14:textId="77777777" w:rsidR="00006184" w:rsidRDefault="006D387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potvrzují, že tato smlouva se řídí z.č. 340/2015 Sb. o registru smluv a podléhá zveřejnění v registru smluv.</w:t>
      </w:r>
    </w:p>
    <w:p w14:paraId="00000037" w14:textId="77777777" w:rsidR="00006184" w:rsidRDefault="006D387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souhlasí se zveřejněním celé této smlouvy v registru smluv včetně všech údajů v nich uvedených (např. telefonů,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mailů, čísla účtu).</w:t>
      </w:r>
    </w:p>
    <w:p w14:paraId="00000038" w14:textId="77777777" w:rsidR="00006184" w:rsidRDefault="006D387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prohlašují, že:</w:t>
      </w:r>
    </w:p>
    <w:p w14:paraId="00000039" w14:textId="77777777" w:rsidR="00006184" w:rsidRDefault="006D3877">
      <w:pPr>
        <w:numPr>
          <w:ilvl w:val="0"/>
          <w:numId w:val="7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neobsahuje žádné obchodní tajemství, ani jiné údaje, které by nebylo možné zveřejnit,</w:t>
      </w:r>
    </w:p>
    <w:p w14:paraId="0000003A" w14:textId="77777777" w:rsidR="00006184" w:rsidRDefault="006D3877">
      <w:pPr>
        <w:numPr>
          <w:ilvl w:val="0"/>
          <w:numId w:val="7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telefony a maily ve smlouvě uvedené jen uvedením kontaktu na příslušnou stranu a nejsou osobním údajem, ale</w:t>
      </w:r>
    </w:p>
    <w:p w14:paraId="0000003B" w14:textId="77777777" w:rsidR="00006184" w:rsidRDefault="006D3877">
      <w:pPr>
        <w:numPr>
          <w:ilvl w:val="0"/>
          <w:numId w:val="7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všechny osoby uvedené ve smlouvě daly souhlas se zveřejněním svého jména, telefonu a mailu v registru smluv v souvislosti s touto smlouvou,</w:t>
      </w:r>
    </w:p>
    <w:p w14:paraId="0000003C" w14:textId="77777777" w:rsidR="00006184" w:rsidRDefault="006D3877">
      <w:pPr>
        <w:numPr>
          <w:ilvl w:val="0"/>
          <w:numId w:val="7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souhlasí se zveřejněním svých podpisů na této smlouvě v registru smluv na dobu neurčitou,</w:t>
      </w:r>
    </w:p>
    <w:p w14:paraId="0000003D" w14:textId="77777777" w:rsidR="00006184" w:rsidRDefault="006D3877">
      <w:pPr>
        <w:numPr>
          <w:ilvl w:val="0"/>
          <w:numId w:val="7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souhlasí se zpracováním osobních údajů uvedených ve smlouvě dle z.č. 101/2000 Sb. v souvislosti se zveřejněním této smlouvy v registru smluv</w:t>
      </w:r>
    </w:p>
    <w:p w14:paraId="0000003E" w14:textId="77777777" w:rsidR="00006184" w:rsidRDefault="006D3877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se dohodly, že smlouvu ke zveřejnění zašle do registru smluv MZK, avšak ke zveřejnění této smlouvy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oprávněna kterákoliv ze stran, proto pokud nedojde ke zveřejnění této smlouvy do tří měsíců ode dne jejího podpisu, a smlouva tak pozbude účinnosti, nemají vůči sobě strany nárok na náhradu škody.</w:t>
      </w:r>
    </w:p>
    <w:p w14:paraId="0000003F" w14:textId="77777777" w:rsidR="00006184" w:rsidRDefault="006D3877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Smluvní strany se dohodly na těchto následcích spojených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 povinností zveřejnit smlouvu v registru smluv a zrušením smlouvy dle § 7 z.č. 340/2015 Sb.. v případě její neregistrace do tří měsíců ode dne jejího uzavření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0" w14:textId="77777777" w:rsidR="00006184" w:rsidRDefault="006D3877">
      <w:pPr>
        <w:numPr>
          <w:ilvl w:val="0"/>
          <w:numId w:val="8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se pro účely ustanovení § 7 z.č. 340/2015 Sb. považuje za uzavřenou dnem jejího odeslán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nájemcem do registru smluv,</w:t>
      </w:r>
    </w:p>
    <w:p w14:paraId="00000041" w14:textId="77777777" w:rsidR="00006184" w:rsidRDefault="006D3877">
      <w:pPr>
        <w:numPr>
          <w:ilvl w:val="0"/>
          <w:numId w:val="8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strany jsou vázány svými projevy vůle uvedenými v této smlouvě ode dne podpisu smlouvy,</w:t>
      </w:r>
    </w:p>
    <w:p w14:paraId="00000042" w14:textId="77777777" w:rsidR="00006184" w:rsidRDefault="006D3877">
      <w:pPr>
        <w:numPr>
          <w:ilvl w:val="0"/>
          <w:numId w:val="8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ujednání týkající se předmětu smlouvy, doby plnění, ceny užívání za obytnou jednotku, bezplatnosti užívání druhé obytné jednotky, platební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podmínek, atd., jsou pro strany závazné a strany se zavazují se jimi řídit i v případě zrušení smlouvy dle § 7 odst. 1 z.č. 340/2015 Sb.,</w:t>
      </w:r>
    </w:p>
    <w:p w14:paraId="00000043" w14:textId="77777777" w:rsidR="00006184" w:rsidRDefault="006D3877">
      <w:pPr>
        <w:numPr>
          <w:ilvl w:val="0"/>
          <w:numId w:val="8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strany se dohodly, že práva a povinnosti z této smlouvy a v souvislosti s ní jsou vymahatelné i v případě, že tato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zrušena dle § 7 odst. 1 z.č. 340/2015 Sb. a těchto se lze domáhat i soudní cestou. Strany se dohodly, že veškeré své vztahy vyplývající z této smlouvy podřizují občanskému zákoníku a občanskému soudnímu řádu,</w:t>
      </w:r>
    </w:p>
    <w:p w14:paraId="00000044" w14:textId="77777777" w:rsidR="00006184" w:rsidRDefault="006D3877">
      <w:pPr>
        <w:numPr>
          <w:ilvl w:val="0"/>
          <w:numId w:val="8"/>
        </w:numPr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výše bezdůvodného obohacení, které některé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stran může vzniknout v důsledku zrušení smlouvy dle § 7 odst. 1 z.č. 340/2015 Sb. je dohodnuto ve výši, jaká odpovídá příslušné hodnotě uvedené v této smlouvě.</w:t>
      </w:r>
    </w:p>
    <w:p w14:paraId="00000045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06184" w:rsidRDefault="006D38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VII. Závěrečná ustanovení</w:t>
      </w:r>
    </w:p>
    <w:p w14:paraId="00000048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 není oprávněna jednostranně zvyšovat cenu užívání.</w:t>
      </w:r>
    </w:p>
    <w:p w14:paraId="00000049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Nadace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nepožaduje po MZK dání peněžní jistoty.</w:t>
      </w:r>
    </w:p>
    <w:p w14:paraId="0000004A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Součástí smlouvy je Ubytovací řád. MZK zajistí podpis tohoto Ubytovacího řádu při příjezdu rezidenta na rezidenční pobyt. </w:t>
      </w:r>
    </w:p>
    <w:p w14:paraId="0000004B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Změny smlouvy mohou být prováděny pouze písemnou formou dohodou stran, jestliže tato změna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 provedena písemně, považuje se tato změna za neexistující. Neplatnosti nedodržení této písemnosti se může kterákoliv strana domáhat i poté, co bylo z této smlouvy již plněno, v tomto případě v rozsahu, v jakém nebylo sjednáno písemně, se jedná o nepl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atné plnění.</w:t>
      </w:r>
    </w:p>
    <w:p w14:paraId="0000004C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 výkladu ujednání smlouvy a smluvního vztahu dle této smlouvy se nepřihlíží k obecným zvyklostem oboru nadace a k obecným obchodním zvyklostem, pokud s nimi nadace písemně neseznámila MZK nejpozději v okamžik potvrzení přijetí této objednávky. </w:t>
      </w:r>
    </w:p>
    <w:p w14:paraId="0000004D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Okamžike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podpisu této smlouvy zanikají jakékoliv úkony smluvních stran, které se od této smlouvy odlišují a které by zakládaly kterékoliv straně nárok na náhradu škody, podpisem této smlouvy se tyto úkony ruší bez nároku na náhradu škody v souvislosti s tímto zru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šením bez ohledu na to, zda o této škoda poškozený v okamžiku podpisu smlouvy věděl či nikoli.</w:t>
      </w:r>
    </w:p>
    <w:p w14:paraId="0000004E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Postoupení této smlouvy je vyloučeno.</w:t>
      </w:r>
    </w:p>
    <w:p w14:paraId="0000004F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okamžikem podpisu smlouvy na sebe obě strany převzaly dle § 1765 Sb. z.č. 89/2012 Sb. nebezpečí změny okolno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stí. Obě strany zvážily plně hospodářskou, ekonomickou i faktickou situaci a jsou si plně vědomy okolností uzavření smlouvy. Smlouvu tedy nelze měnit rozhodnutím soudu.</w:t>
      </w:r>
    </w:p>
    <w:p w14:paraId="00000050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Tato smlouva může být měněna pouze písemnými dodatky na základě souhlasu obou stran.</w:t>
      </w:r>
    </w:p>
    <w:p w14:paraId="00000051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smlouva je vyhotovena ve dvou stejnopisech s platností originálu, přičemž každá ze stran obdrží po jednom.</w:t>
      </w:r>
    </w:p>
    <w:p w14:paraId="00000052" w14:textId="77777777" w:rsidR="00006184" w:rsidRDefault="006D387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Tato smlouva nabývá platnosti i účinnosti dnem podpisu oběma smluvními stranami.</w:t>
      </w:r>
    </w:p>
    <w:p w14:paraId="00000053" w14:textId="77777777" w:rsidR="00006184" w:rsidRDefault="006D3877">
      <w:pPr>
        <w:numPr>
          <w:ilvl w:val="0"/>
          <w:numId w:val="1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Smluvní strany svými podpisy stvrzují, že posoudily obsah této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neshledaly </w:t>
      </w:r>
      <w:r>
        <w:rPr>
          <w:rFonts w:ascii="Times New Roman" w:eastAsia="Times New Roman" w:hAnsi="Times New Roman" w:cs="Times New Roman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rozporným a toto potvrzuj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souladu s § 4 z.č. 89/2012 Sb. a s celým obsahem smlouvy souhlasí.</w:t>
      </w:r>
    </w:p>
    <w:p w14:paraId="00000054" w14:textId="77777777" w:rsidR="00006184" w:rsidRDefault="00006184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006184" w:rsidRDefault="006D387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V Praze dne ………………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V Brně dne ………………</w:t>
      </w:r>
    </w:p>
    <w:p w14:paraId="00000056" w14:textId="77777777" w:rsidR="00006184" w:rsidRDefault="006D387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0000057" w14:textId="77777777" w:rsidR="00006184" w:rsidRDefault="006D387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0000058" w14:textId="77777777" w:rsidR="00006184" w:rsidRDefault="006D387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…………………………………..                              ………………………………………</w:t>
      </w:r>
    </w:p>
    <w:p w14:paraId="00000059" w14:textId="77777777" w:rsidR="00006184" w:rsidRDefault="006D387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Skautská nadace Jaroslava Foglara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MZK</w:t>
      </w:r>
    </w:p>
    <w:p w14:paraId="0000005A" w14:textId="77777777" w:rsidR="00006184" w:rsidRDefault="006D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  <w:sz w:val="32"/>
          <w:szCs w:val="32"/>
        </w:rPr>
        <w:t>Ubytovací a provozní řád bytu Jaroslava Foglara </w:t>
      </w:r>
    </w:p>
    <w:p w14:paraId="0000005B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Pobyt v bytě J. Foglara je umožněn na základě Smlouvy o užívávání mezi Skautskou nadací Jaroslava Foglara a Moravskou zemskou knihovnou v Brn</w:t>
      </w:r>
      <w:r>
        <w:rPr>
          <w:color w:val="000000"/>
        </w:rPr>
        <w:t>ě a je určen pro profesionály knižní kultury, jejichž projekty směřují k nové knize, překladu, studii apod.</w:t>
      </w:r>
    </w:p>
    <w:p w14:paraId="0000005D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Nástup k pobytu je stanoven na pracovní den do 16:00 hodin a je ukončen předáním objektu na konci pobytu do 12:00 hodin. Při nástupu obdrží host </w:t>
      </w:r>
      <w:r>
        <w:rPr>
          <w:color w:val="000000"/>
        </w:rPr>
        <w:t>sadu klíčů od zástupce Českého literárního centra. Po ukončení pobytu odevzdá klíče taktéž zástupci Českého literárního centra.</w:t>
      </w:r>
    </w:p>
    <w:p w14:paraId="0000005E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</w:rPr>
        <w:t>Host má k dispozici vybavení a inventář bytu J. Foglara. Host bere na vědomí, že odpovídá za škody, které způsobí svým konáním po dobu pobytu v bytě. Poškození či nefunkčnosti tohoto vybavení je třeba neprodleně nahlásit kontaktní osobě.</w:t>
      </w:r>
    </w:p>
    <w:p w14:paraId="0000005F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3.</w:t>
      </w:r>
      <w:r>
        <w:rPr>
          <w:color w:val="000000"/>
        </w:rPr>
        <w:tab/>
        <w:t>Host bere na vě</w:t>
      </w:r>
      <w:r>
        <w:rPr>
          <w:color w:val="000000"/>
        </w:rPr>
        <w:t>domí, že v bytě je zakázáno kouření (včetně elektronických cigaret) a manipulace s otevřeným ohněm.</w:t>
      </w:r>
    </w:p>
    <w:p w14:paraId="00000060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4.</w:t>
      </w:r>
      <w:r>
        <w:rPr>
          <w:color w:val="000000"/>
        </w:rPr>
        <w:tab/>
        <w:t>V bytě nejsou povolena žádná domácí zvířata.</w:t>
      </w:r>
    </w:p>
    <w:p w14:paraId="00000061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5.</w:t>
      </w:r>
      <w:r>
        <w:rPr>
          <w:color w:val="000000"/>
        </w:rPr>
        <w:tab/>
        <w:t>Pobyt další osoby na více než 4 dny musí být hlášen kontaktní osobě v Českém literárním centru a je zpopl</w:t>
      </w:r>
      <w:r>
        <w:rPr>
          <w:color w:val="000000"/>
        </w:rPr>
        <w:t>atněn.</w:t>
      </w:r>
    </w:p>
    <w:p w14:paraId="00000062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6.</w:t>
      </w:r>
      <w:r>
        <w:rPr>
          <w:color w:val="000000"/>
        </w:rPr>
        <w:tab/>
        <w:t>Žádáme o zamykání hlavních vchodových dveří domu a pečlivé zamykání dveří bytu. Předejdete tím nepříjemnostem spojeným s případnou ztrátou či poškozením majetku. Za případné škody na majetku ubytovaného, případně odcizení věcí ponechaných v neuza</w:t>
      </w:r>
      <w:r>
        <w:rPr>
          <w:color w:val="000000"/>
        </w:rPr>
        <w:t>mčeném bytě nenese ubytovatel žádnou zodpovědnost, neboť Moravská zemská knihovna v Brně neprovozuje předmětný byt jako pravidelnou ubytovací službu dle § 2946 z.č. 89/2012 Sb.</w:t>
      </w:r>
    </w:p>
    <w:p w14:paraId="00000063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7.</w:t>
      </w:r>
      <w:r>
        <w:rPr>
          <w:color w:val="000000"/>
        </w:rPr>
        <w:tab/>
        <w:t>Host je povinen dodržovat noční klid v době od 22 do 7 hodin. Prosíme o využ</w:t>
      </w:r>
      <w:r>
        <w:rPr>
          <w:color w:val="000000"/>
        </w:rPr>
        <w:t>ívání výtahu a zamezení hluku na schodišti.</w:t>
      </w:r>
    </w:p>
    <w:p w14:paraId="00000064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8.</w:t>
      </w:r>
      <w:r>
        <w:rPr>
          <w:color w:val="000000"/>
        </w:rPr>
        <w:tab/>
        <w:t>Úklid a výměna ložního prádla bude probíhat po 14 dnech pobytu. Rezident je povinen byt v době úklidu zpřístupnit pro tento úklid a je povinen během celého pobytu udržoval byt v pořádku. V bytě se přezouvá.</w:t>
      </w:r>
    </w:p>
    <w:p w14:paraId="00000065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9.</w:t>
      </w:r>
      <w:r>
        <w:rPr>
          <w:color w:val="000000"/>
        </w:rPr>
        <w:tab/>
        <w:t>Hosté nemají k dispozici vyhrazené parkovací místo.</w:t>
      </w:r>
    </w:p>
    <w:p w14:paraId="00000066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10.</w:t>
      </w:r>
      <w:r>
        <w:rPr>
          <w:color w:val="000000"/>
        </w:rPr>
        <w:tab/>
        <w:t>S dotazy se obracejte na kontaktní osobu: Kateřina Chromková (</w:t>
      </w:r>
      <w:hyperlink r:id="rId7">
        <w:r>
          <w:rPr>
            <w:color w:val="0563C1"/>
            <w:u w:val="single"/>
          </w:rPr>
          <w:t>katerina.chromkova@czechlit.cz</w:t>
        </w:r>
      </w:hyperlink>
      <w:r>
        <w:rPr>
          <w:color w:val="000000"/>
        </w:rPr>
        <w:t>, +420 770 134 755).</w:t>
      </w:r>
    </w:p>
    <w:p w14:paraId="00000067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V případě požáru či jiné živ</w:t>
      </w:r>
      <w:r>
        <w:rPr>
          <w:b/>
          <w:color w:val="000000"/>
        </w:rPr>
        <w:t>elní události volejte linku Integrovaného záchranného systému 112.</w:t>
      </w:r>
    </w:p>
    <w:p w14:paraId="00000069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006184" w:rsidRDefault="0000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V ……………… dne ……………………</w:t>
      </w:r>
    </w:p>
    <w:p w14:paraId="0000006C" w14:textId="77777777" w:rsidR="00006184" w:rsidRDefault="006D3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0000006D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………………………………………..</w:t>
      </w:r>
    </w:p>
    <w:p w14:paraId="0000006E" w14:textId="77777777" w:rsidR="00006184" w:rsidRDefault="006D3877">
      <w:pPr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podpis rezidenta</w:t>
      </w:r>
    </w:p>
    <w:p w14:paraId="0000006F" w14:textId="77777777" w:rsidR="00006184" w:rsidRDefault="00006184"/>
    <w:sectPr w:rsidR="000061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D4"/>
    <w:multiLevelType w:val="multilevel"/>
    <w:tmpl w:val="79D4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61022C6"/>
    <w:multiLevelType w:val="multilevel"/>
    <w:tmpl w:val="68D88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DF03DCA"/>
    <w:multiLevelType w:val="multilevel"/>
    <w:tmpl w:val="54F6F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4764950"/>
    <w:multiLevelType w:val="multilevel"/>
    <w:tmpl w:val="8126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74470EB"/>
    <w:multiLevelType w:val="multilevel"/>
    <w:tmpl w:val="68F6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8126D7"/>
    <w:multiLevelType w:val="multilevel"/>
    <w:tmpl w:val="6C823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7AE111E"/>
    <w:multiLevelType w:val="multilevel"/>
    <w:tmpl w:val="A77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7F869B4"/>
    <w:multiLevelType w:val="multilevel"/>
    <w:tmpl w:val="D7662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CFB0CF3"/>
    <w:multiLevelType w:val="multilevel"/>
    <w:tmpl w:val="DCFE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6184"/>
    <w:rsid w:val="00006184"/>
    <w:rsid w:val="006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82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E8D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82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E8D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rina.chromkova@czechli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x1rN4Ll6OeC5iPVHwcN91cTV7A==">CgMxLjAyCWguMzBqMHpsbDIIaC5namRneHM4AHIhMXNwRHl5QlAyRFpmNFBWOGJTMHFNZzBTZjFrak42Uzgw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1927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Čičváková</dc:creator>
  <cp:lastModifiedBy>Soňa Dresslerová</cp:lastModifiedBy>
  <cp:revision>2</cp:revision>
  <dcterms:created xsi:type="dcterms:W3CDTF">2023-12-18T12:43:00Z</dcterms:created>
  <dcterms:modified xsi:type="dcterms:W3CDTF">2023-12-18T12:43:00Z</dcterms:modified>
</cp:coreProperties>
</file>