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CDFA9" w14:textId="3F236EA4" w:rsidR="003C2542" w:rsidRDefault="003C2542" w:rsidP="003C2542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</w:t>
      </w:r>
      <w:r w:rsidR="00A27BD5" w:rsidRPr="00A27BD5">
        <w:rPr>
          <w:rFonts w:cs="Arial"/>
          <w:sz w:val="22"/>
          <w:szCs w:val="22"/>
        </w:rPr>
        <w:t>RSD-239348/2023-1</w:t>
      </w:r>
    </w:p>
    <w:p w14:paraId="64A1070C" w14:textId="36009C0E" w:rsidR="003063A1" w:rsidRDefault="003063A1" w:rsidP="003C2542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</w:t>
      </w:r>
      <w:r w:rsidR="00A7106F" w:rsidRPr="00A7106F">
        <w:rPr>
          <w:rFonts w:cs="Arial"/>
          <w:sz w:val="22"/>
          <w:szCs w:val="22"/>
        </w:rPr>
        <w:t>SPU 489238/2023/Tal</w:t>
      </w:r>
    </w:p>
    <w:p w14:paraId="507D38C6" w14:textId="243C643B" w:rsidR="003C2542" w:rsidRDefault="003C2542" w:rsidP="003C2542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DF6B80" w:rsidRPr="00DF6B80">
        <w:t xml:space="preserve"> </w:t>
      </w:r>
      <w:r w:rsidR="00DF6B80" w:rsidRPr="00DF6B80">
        <w:rPr>
          <w:rFonts w:cs="Arial"/>
          <w:sz w:val="22"/>
          <w:szCs w:val="22"/>
        </w:rPr>
        <w:t>spuess8c196e90</w:t>
      </w:r>
      <w:r>
        <w:rPr>
          <w:rFonts w:cs="Arial"/>
          <w:sz w:val="22"/>
          <w:szCs w:val="22"/>
        </w:rPr>
        <w:t xml:space="preserve"> </w:t>
      </w:r>
    </w:p>
    <w:p w14:paraId="57BC6215" w14:textId="77777777" w:rsidR="003063A1" w:rsidRDefault="003063A1" w:rsidP="003C2542">
      <w:pPr>
        <w:pStyle w:val="StylDoprava"/>
        <w:rPr>
          <w:rFonts w:cs="Arial"/>
          <w:sz w:val="22"/>
          <w:szCs w:val="22"/>
        </w:rPr>
      </w:pPr>
    </w:p>
    <w:p w14:paraId="155E9B65" w14:textId="77777777" w:rsidR="00D8025C" w:rsidRDefault="00D8025C" w:rsidP="00D8025C">
      <w:pPr>
        <w:pStyle w:val="StylDoprava"/>
        <w:rPr>
          <w:rFonts w:cs="Arial"/>
          <w:sz w:val="22"/>
          <w:szCs w:val="22"/>
        </w:rPr>
      </w:pPr>
    </w:p>
    <w:p w14:paraId="697C3A12" w14:textId="77777777" w:rsidR="00C36725" w:rsidRPr="0079123C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79123C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79123C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79123C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DCCB036" w14:textId="77777777" w:rsidR="00C36725" w:rsidRPr="0079123C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79123C">
        <w:rPr>
          <w:rFonts w:ascii="Arial" w:hAnsi="Arial" w:cs="Arial"/>
          <w:sz w:val="22"/>
          <w:szCs w:val="22"/>
        </w:rPr>
        <w:t>11a</w:t>
      </w:r>
      <w:proofErr w:type="gramEnd"/>
      <w:r w:rsidRPr="0079123C">
        <w:rPr>
          <w:rFonts w:ascii="Arial" w:hAnsi="Arial" w:cs="Arial"/>
          <w:sz w:val="22"/>
          <w:szCs w:val="22"/>
        </w:rPr>
        <w:t>, 130 00 Praha 3</w:t>
      </w:r>
      <w:r w:rsidR="00D13B29" w:rsidRPr="0079123C">
        <w:rPr>
          <w:rFonts w:ascii="Arial" w:hAnsi="Arial" w:cs="Arial"/>
          <w:sz w:val="22"/>
          <w:szCs w:val="22"/>
        </w:rPr>
        <w:t xml:space="preserve"> – Žižkov,</w:t>
      </w:r>
    </w:p>
    <w:p w14:paraId="1090E222" w14:textId="77777777" w:rsidR="00C36725" w:rsidRPr="0079123C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79123C">
        <w:rPr>
          <w:rFonts w:ascii="Arial" w:hAnsi="Arial" w:cs="Arial"/>
          <w:color w:val="000000"/>
          <w:sz w:val="22"/>
          <w:szCs w:val="22"/>
        </w:rPr>
        <w:t>kter</w:t>
      </w:r>
      <w:r w:rsidR="00CD65C5" w:rsidRPr="0079123C">
        <w:rPr>
          <w:rFonts w:ascii="Arial" w:hAnsi="Arial" w:cs="Arial"/>
          <w:color w:val="000000"/>
          <w:sz w:val="22"/>
          <w:szCs w:val="22"/>
        </w:rPr>
        <w:t>ou</w:t>
      </w:r>
      <w:r w:rsidRPr="0079123C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79123C">
        <w:rPr>
          <w:rFonts w:ascii="Arial" w:hAnsi="Arial" w:cs="Arial"/>
          <w:sz w:val="22"/>
          <w:szCs w:val="22"/>
        </w:rPr>
        <w:t xml:space="preserve"> </w:t>
      </w:r>
      <w:r w:rsidRPr="0079123C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213FF604" w14:textId="77777777" w:rsidR="00C36725" w:rsidRPr="0079123C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2DCDABC1" w14:textId="77777777" w:rsidR="00C36725" w:rsidRPr="0079123C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IČ</w:t>
      </w:r>
      <w:r w:rsidR="006B4632" w:rsidRPr="0079123C">
        <w:rPr>
          <w:rFonts w:ascii="Arial" w:hAnsi="Arial" w:cs="Arial"/>
          <w:sz w:val="22"/>
          <w:szCs w:val="22"/>
        </w:rPr>
        <w:t>O</w:t>
      </w:r>
      <w:r w:rsidRPr="0079123C">
        <w:rPr>
          <w:rFonts w:ascii="Arial" w:hAnsi="Arial" w:cs="Arial"/>
          <w:sz w:val="22"/>
          <w:szCs w:val="22"/>
        </w:rPr>
        <w:t>: 01312774</w:t>
      </w:r>
    </w:p>
    <w:p w14:paraId="4642DCB6" w14:textId="705DC25C" w:rsidR="00C36725" w:rsidRPr="0079123C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DIČ: CZ01312774</w:t>
      </w:r>
    </w:p>
    <w:p w14:paraId="0E1A048B" w14:textId="77777777" w:rsidR="00C36725" w:rsidRPr="0079123C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9123C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="00E450AB" w:rsidRPr="0079123C">
        <w:rPr>
          <w:rFonts w:ascii="Arial" w:hAnsi="Arial" w:cs="Arial"/>
          <w:color w:val="000000"/>
          <w:sz w:val="22"/>
          <w:szCs w:val="22"/>
        </w:rPr>
        <w:t xml:space="preserve">předávající </w:t>
      </w:r>
      <w:r w:rsidRPr="0079123C">
        <w:rPr>
          <w:rFonts w:ascii="Arial" w:hAnsi="Arial" w:cs="Arial"/>
          <w:color w:val="000000"/>
          <w:sz w:val="22"/>
          <w:szCs w:val="22"/>
        </w:rPr>
        <w:t>”)</w:t>
      </w:r>
    </w:p>
    <w:p w14:paraId="172CF47B" w14:textId="77777777" w:rsidR="00FF50F6" w:rsidRPr="0079123C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2ABDE10" w14:textId="77777777" w:rsidR="00FF50F6" w:rsidRPr="0079123C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79123C">
        <w:rPr>
          <w:rFonts w:ascii="Arial" w:hAnsi="Arial" w:cs="Arial"/>
          <w:color w:val="000000"/>
          <w:sz w:val="22"/>
          <w:szCs w:val="22"/>
        </w:rPr>
        <w:t>a</w:t>
      </w:r>
    </w:p>
    <w:p w14:paraId="0672DB51" w14:textId="77777777" w:rsidR="00FF50F6" w:rsidRPr="0079123C" w:rsidRDefault="00FF50F6">
      <w:pPr>
        <w:widowControl/>
        <w:rPr>
          <w:rFonts w:ascii="Arial" w:hAnsi="Arial" w:cs="Arial"/>
          <w:sz w:val="22"/>
          <w:szCs w:val="22"/>
        </w:rPr>
      </w:pPr>
    </w:p>
    <w:p w14:paraId="3E08C7EB" w14:textId="77777777" w:rsidR="009422B1" w:rsidRDefault="009422B1" w:rsidP="009422B1">
      <w:pPr>
        <w:pStyle w:val="VnitrniText0"/>
        <w:ind w:firstLine="0"/>
        <w:rPr>
          <w:sz w:val="22"/>
          <w:szCs w:val="22"/>
        </w:rPr>
      </w:pPr>
      <w:r>
        <w:rPr>
          <w:b/>
          <w:sz w:val="22"/>
          <w:szCs w:val="22"/>
        </w:rPr>
        <w:t>Ředitelství silnic a dálnic ČR</w:t>
      </w:r>
    </w:p>
    <w:p w14:paraId="71EA570A" w14:textId="77777777" w:rsidR="009422B1" w:rsidRDefault="009422B1" w:rsidP="009422B1">
      <w:pPr>
        <w:pStyle w:val="VnitrniText0"/>
        <w:ind w:firstLine="0"/>
        <w:rPr>
          <w:sz w:val="22"/>
          <w:szCs w:val="22"/>
        </w:rPr>
      </w:pPr>
      <w:r>
        <w:rPr>
          <w:sz w:val="22"/>
          <w:szCs w:val="22"/>
        </w:rPr>
        <w:t>se sídlem Na Pankráci 546/56, Praha 4 Nusle, PSČ 14000</w:t>
      </w:r>
    </w:p>
    <w:p w14:paraId="4619FE36" w14:textId="77777777" w:rsidR="009422B1" w:rsidRDefault="009422B1" w:rsidP="009422B1">
      <w:pPr>
        <w:pStyle w:val="VnitrniText0"/>
        <w:ind w:firstLine="0"/>
        <w:rPr>
          <w:sz w:val="22"/>
          <w:szCs w:val="22"/>
        </w:rPr>
      </w:pPr>
      <w:r>
        <w:rPr>
          <w:sz w:val="22"/>
          <w:szCs w:val="22"/>
        </w:rPr>
        <w:t>IČO: 65993390</w:t>
      </w:r>
    </w:p>
    <w:p w14:paraId="6E3A46E4" w14:textId="77777777" w:rsidR="009422B1" w:rsidRDefault="009422B1" w:rsidP="009422B1">
      <w:pPr>
        <w:pStyle w:val="VnitrniText0"/>
        <w:ind w:firstLine="0"/>
        <w:rPr>
          <w:sz w:val="22"/>
          <w:szCs w:val="22"/>
        </w:rPr>
      </w:pPr>
      <w:r>
        <w:rPr>
          <w:sz w:val="22"/>
          <w:szCs w:val="22"/>
        </w:rPr>
        <w:t>DIČ: CZ65993390</w:t>
      </w:r>
    </w:p>
    <w:p w14:paraId="4CBE7A89" w14:textId="77777777" w:rsidR="009422B1" w:rsidRDefault="009422B1" w:rsidP="009422B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jednající: Ing. Tomáš Gross, Ph.D., ředitel Závodu Praha, na základě pověření ze dne 2. 3. 2015</w:t>
      </w:r>
    </w:p>
    <w:p w14:paraId="426FAE37" w14:textId="77777777" w:rsidR="009422B1" w:rsidRDefault="009422B1" w:rsidP="009422B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přejímající)</w:t>
      </w:r>
    </w:p>
    <w:p w14:paraId="78E92D15" w14:textId="77777777" w:rsidR="00FF50F6" w:rsidRPr="0079123C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D9925EA" w14:textId="77777777" w:rsidR="00E450AB" w:rsidRPr="0079123C" w:rsidRDefault="00E450AB" w:rsidP="00E450AB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77507326" w14:textId="77777777" w:rsidR="00890405" w:rsidRPr="00805A23" w:rsidRDefault="00890405" w:rsidP="00890405">
      <w:pPr>
        <w:spacing w:before="120"/>
        <w:rPr>
          <w:rFonts w:ascii="Arial" w:hAnsi="Arial" w:cs="Arial"/>
          <w:sz w:val="22"/>
          <w:szCs w:val="22"/>
        </w:rPr>
      </w:pPr>
      <w:r w:rsidRPr="00805A23">
        <w:rPr>
          <w:rFonts w:ascii="Arial" w:hAnsi="Arial" w:cs="Arial"/>
          <w:sz w:val="22"/>
          <w:szCs w:val="22"/>
        </w:rPr>
        <w:t>uzavírají tuto:</w:t>
      </w:r>
    </w:p>
    <w:p w14:paraId="645E5D6E" w14:textId="4D8F9D60" w:rsidR="00890405" w:rsidRDefault="00890405" w:rsidP="00890405">
      <w:pPr>
        <w:pStyle w:val="para"/>
        <w:rPr>
          <w:rFonts w:ascii="Arial" w:hAnsi="Arial" w:cs="Arial"/>
          <w:sz w:val="22"/>
          <w:szCs w:val="22"/>
        </w:rPr>
      </w:pPr>
    </w:p>
    <w:p w14:paraId="199548CA" w14:textId="77777777" w:rsidR="002F27F9" w:rsidRPr="00805A23" w:rsidRDefault="002F27F9" w:rsidP="00890405">
      <w:pPr>
        <w:pStyle w:val="para"/>
        <w:rPr>
          <w:rFonts w:ascii="Arial" w:hAnsi="Arial" w:cs="Arial"/>
          <w:sz w:val="22"/>
          <w:szCs w:val="22"/>
        </w:rPr>
      </w:pPr>
    </w:p>
    <w:p w14:paraId="13334311" w14:textId="77777777" w:rsidR="00890405" w:rsidRDefault="00890405" w:rsidP="00890405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cs="Arial"/>
          <w:b/>
          <w:sz w:val="22"/>
          <w:szCs w:val="22"/>
        </w:rPr>
      </w:pPr>
      <w:r w:rsidRPr="00805A23">
        <w:rPr>
          <w:rFonts w:cs="Arial"/>
          <w:b/>
          <w:sz w:val="22"/>
          <w:szCs w:val="22"/>
        </w:rPr>
        <w:t>SMLOUVU O PŘEDÁNÍ MAJETKU A O ZMĚNĚ PŘÍSLUŠNOSTI HOSPODAŘIT S MAJETKEM STÁTU</w:t>
      </w:r>
    </w:p>
    <w:p w14:paraId="30A0B18D" w14:textId="77777777" w:rsidR="00890405" w:rsidRPr="00890405" w:rsidRDefault="00890405" w:rsidP="00890405"/>
    <w:p w14:paraId="1FC847EA" w14:textId="77777777" w:rsidR="00FF50F6" w:rsidRPr="0079123C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 xml:space="preserve">č. </w:t>
      </w:r>
      <w:r w:rsidRPr="0079123C">
        <w:rPr>
          <w:rFonts w:ascii="Arial" w:hAnsi="Arial" w:cs="Arial"/>
          <w:color w:val="000000"/>
          <w:sz w:val="22"/>
          <w:szCs w:val="22"/>
        </w:rPr>
        <w:t>3002972301</w:t>
      </w:r>
    </w:p>
    <w:p w14:paraId="617B9FBE" w14:textId="77777777" w:rsidR="00FF50F6" w:rsidRPr="0079123C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EAC1DA7" w14:textId="77777777" w:rsidR="00FF50F6" w:rsidRPr="0079123C" w:rsidRDefault="00FF50F6">
      <w:pPr>
        <w:widowControl/>
        <w:rPr>
          <w:rFonts w:ascii="Arial" w:hAnsi="Arial" w:cs="Arial"/>
          <w:sz w:val="22"/>
          <w:szCs w:val="22"/>
        </w:rPr>
      </w:pPr>
    </w:p>
    <w:p w14:paraId="0BFA8383" w14:textId="77777777" w:rsidR="00FF50F6" w:rsidRPr="0079123C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I.</w:t>
      </w:r>
    </w:p>
    <w:p w14:paraId="60505A13" w14:textId="77777777" w:rsidR="002F27F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79123C">
        <w:rPr>
          <w:rFonts w:ascii="Arial" w:hAnsi="Arial" w:cs="Arial"/>
          <w:sz w:val="22"/>
          <w:szCs w:val="22"/>
        </w:rPr>
        <w:t xml:space="preserve">převádějící </w:t>
      </w:r>
      <w:r w:rsidRPr="0079123C">
        <w:rPr>
          <w:rFonts w:ascii="Arial" w:hAnsi="Arial" w:cs="Arial"/>
          <w:sz w:val="22"/>
          <w:szCs w:val="22"/>
        </w:rPr>
        <w:t>je příslušný hospodařit ve smyslu zákona</w:t>
      </w:r>
      <w:r w:rsidRPr="0079123C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79123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79123C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79123C">
        <w:rPr>
          <w:rFonts w:ascii="Arial" w:hAnsi="Arial" w:cs="Arial"/>
          <w:sz w:val="22"/>
          <w:szCs w:val="22"/>
        </w:rPr>
        <w:t xml:space="preserve"> u Katastrálního úřadu pro hlavní město Prahu</w:t>
      </w:r>
    </w:p>
    <w:p w14:paraId="2493E506" w14:textId="0F1629DA" w:rsidR="00FF50F6" w:rsidRPr="0079123C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 xml:space="preserve"> , Katastrální pracoviště Praha na LV 10 002:</w:t>
      </w:r>
    </w:p>
    <w:p w14:paraId="58C5E601" w14:textId="77777777" w:rsidR="0079123C" w:rsidRDefault="0079123C" w:rsidP="0079123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B159180" w14:textId="77777777" w:rsidR="00FF50F6" w:rsidRPr="0079123C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Obec</w:t>
      </w:r>
      <w:r w:rsidRPr="0079123C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79123C">
        <w:rPr>
          <w:rFonts w:ascii="Arial" w:hAnsi="Arial" w:cs="Arial"/>
          <w:sz w:val="22"/>
          <w:szCs w:val="22"/>
        </w:rPr>
        <w:tab/>
        <w:t>Parcelní číslo</w:t>
      </w:r>
      <w:r w:rsidRPr="0079123C">
        <w:rPr>
          <w:rFonts w:ascii="Arial" w:hAnsi="Arial" w:cs="Arial"/>
          <w:sz w:val="22"/>
          <w:szCs w:val="22"/>
        </w:rPr>
        <w:tab/>
        <w:t>Druh pozemku</w:t>
      </w:r>
    </w:p>
    <w:p w14:paraId="457BACDF" w14:textId="77777777" w:rsidR="0079123C" w:rsidRDefault="0079123C" w:rsidP="0079123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4A3CAE4" w14:textId="77777777" w:rsidR="00FF50F6" w:rsidRPr="0079123C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79123C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9123C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AAB6B8B" w14:textId="77777777" w:rsidR="00FF50F6" w:rsidRPr="0079123C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79123C">
        <w:rPr>
          <w:rFonts w:ascii="Arial" w:hAnsi="Arial" w:cs="Arial"/>
          <w:sz w:val="18"/>
          <w:szCs w:val="18"/>
        </w:rPr>
        <w:t>Praha</w:t>
      </w:r>
      <w:r w:rsidRPr="0079123C">
        <w:rPr>
          <w:rFonts w:ascii="Arial" w:hAnsi="Arial" w:cs="Arial"/>
          <w:sz w:val="18"/>
          <w:szCs w:val="18"/>
        </w:rPr>
        <w:tab/>
        <w:t>Běchovice</w:t>
      </w:r>
      <w:r w:rsidRPr="0079123C">
        <w:rPr>
          <w:rFonts w:ascii="Arial" w:hAnsi="Arial" w:cs="Arial"/>
          <w:sz w:val="18"/>
          <w:szCs w:val="18"/>
        </w:rPr>
        <w:tab/>
        <w:t>1205/36</w:t>
      </w:r>
      <w:r w:rsidRPr="0079123C">
        <w:rPr>
          <w:rFonts w:ascii="Arial" w:hAnsi="Arial" w:cs="Arial"/>
          <w:sz w:val="18"/>
          <w:szCs w:val="18"/>
        </w:rPr>
        <w:tab/>
        <w:t>orná půda</w:t>
      </w:r>
    </w:p>
    <w:p w14:paraId="6D495762" w14:textId="77777777" w:rsidR="0079123C" w:rsidRDefault="0079123C" w:rsidP="0079123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1AA4B08" w14:textId="77777777" w:rsidR="00FF50F6" w:rsidRPr="0079123C" w:rsidRDefault="00FF50F6">
      <w:pPr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 xml:space="preserve"> (dále jen ”pozemek”)</w:t>
      </w:r>
    </w:p>
    <w:p w14:paraId="6D0D3244" w14:textId="77777777" w:rsidR="00FF50F6" w:rsidRPr="0079123C" w:rsidRDefault="00FF50F6">
      <w:pPr>
        <w:widowControl/>
        <w:rPr>
          <w:rFonts w:ascii="Arial" w:hAnsi="Arial" w:cs="Arial"/>
          <w:sz w:val="22"/>
          <w:szCs w:val="22"/>
        </w:rPr>
      </w:pPr>
    </w:p>
    <w:p w14:paraId="2E4E5C08" w14:textId="77777777" w:rsidR="00FF50F6" w:rsidRPr="0079123C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II.</w:t>
      </w:r>
    </w:p>
    <w:p w14:paraId="0F2D662B" w14:textId="77777777" w:rsidR="00890405" w:rsidRPr="00805A23" w:rsidRDefault="00890405" w:rsidP="0089040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05A23">
        <w:rPr>
          <w:rFonts w:ascii="Arial" w:hAnsi="Arial" w:cs="Arial"/>
          <w:sz w:val="22"/>
          <w:szCs w:val="22"/>
        </w:rPr>
        <w:t>Tato smlouva se uzavírá podle § 3 odst. 4 zákona č. 503/2012 Sb., o Státním pozemkovém úřadu</w:t>
      </w:r>
      <w:r w:rsidRPr="00890405">
        <w:rPr>
          <w:rFonts w:ascii="Arial" w:hAnsi="Arial" w:cs="Arial"/>
          <w:sz w:val="22"/>
          <w:szCs w:val="22"/>
        </w:rPr>
        <w:t xml:space="preserve"> </w:t>
      </w:r>
      <w:r w:rsidRPr="00805A23">
        <w:rPr>
          <w:rFonts w:ascii="Arial" w:hAnsi="Arial" w:cs="Arial"/>
          <w:sz w:val="22"/>
          <w:szCs w:val="22"/>
        </w:rPr>
        <w:t>a o změně některých souvisejících zákonů, ve znění pozdějších předpisů.</w:t>
      </w:r>
    </w:p>
    <w:p w14:paraId="5BB52921" w14:textId="77777777" w:rsidR="00FF50F6" w:rsidRPr="0079123C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4FF7C8F4" w14:textId="77777777" w:rsidR="00FF50F6" w:rsidRPr="0079123C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III.</w:t>
      </w:r>
    </w:p>
    <w:p w14:paraId="6FE51D0B" w14:textId="655BC6A8" w:rsidR="00E450AB" w:rsidRDefault="00E450AB" w:rsidP="00E450AB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  <w:lang w:eastAsia="en-US"/>
        </w:rPr>
      </w:pPr>
      <w:r w:rsidRPr="0079123C">
        <w:rPr>
          <w:rFonts w:ascii="Arial" w:hAnsi="Arial" w:cs="Arial"/>
          <w:sz w:val="22"/>
          <w:szCs w:val="22"/>
        </w:rPr>
        <w:t xml:space="preserve">Předávající </w:t>
      </w:r>
      <w:r w:rsidR="0033540D">
        <w:rPr>
          <w:rFonts w:ascii="Arial" w:hAnsi="Arial" w:cs="Arial"/>
          <w:sz w:val="22"/>
          <w:szCs w:val="22"/>
        </w:rPr>
        <w:t>touto smlouvou</w:t>
      </w:r>
      <w:r w:rsidR="0033540D" w:rsidRPr="004F2F20">
        <w:rPr>
          <w:rFonts w:ascii="Arial" w:hAnsi="Arial" w:cs="Arial"/>
          <w:sz w:val="22"/>
          <w:szCs w:val="22"/>
        </w:rPr>
        <w:t xml:space="preserve"> </w:t>
      </w:r>
      <w:r w:rsidRPr="0079123C">
        <w:rPr>
          <w:rFonts w:ascii="Arial" w:hAnsi="Arial" w:cs="Arial"/>
          <w:sz w:val="22"/>
          <w:szCs w:val="22"/>
        </w:rPr>
        <w:t xml:space="preserve">převádí příslušnost hospodaření k pozemku specifikovanému v článku I. </w:t>
      </w:r>
      <w:r w:rsidR="0033540D" w:rsidRPr="00293935">
        <w:rPr>
          <w:rFonts w:ascii="Arial" w:hAnsi="Arial" w:cs="Arial"/>
          <w:sz w:val="22"/>
          <w:szCs w:val="22"/>
          <w:lang w:eastAsia="en-US"/>
        </w:rPr>
        <w:t xml:space="preserve">této smlouvy </w:t>
      </w:r>
      <w:r w:rsidRPr="0079123C">
        <w:rPr>
          <w:rFonts w:ascii="Arial" w:hAnsi="Arial" w:cs="Arial"/>
          <w:sz w:val="22"/>
          <w:szCs w:val="22"/>
        </w:rPr>
        <w:t xml:space="preserve">ve prospěch přejímajícího a ten jej ve stavu, v jakém se nachází ke dni </w:t>
      </w:r>
      <w:r w:rsidR="00A02271">
        <w:rPr>
          <w:rFonts w:ascii="Arial" w:hAnsi="Arial" w:cs="Arial"/>
          <w:sz w:val="22"/>
          <w:szCs w:val="22"/>
        </w:rPr>
        <w:t xml:space="preserve">účinnosti </w:t>
      </w:r>
      <w:r w:rsidR="00890405">
        <w:rPr>
          <w:rFonts w:ascii="Arial" w:hAnsi="Arial" w:cs="Arial"/>
          <w:sz w:val="22"/>
          <w:szCs w:val="22"/>
        </w:rPr>
        <w:t>této smlouvy</w:t>
      </w:r>
      <w:r w:rsidRPr="0079123C">
        <w:rPr>
          <w:rFonts w:ascii="Arial" w:hAnsi="Arial" w:cs="Arial"/>
          <w:sz w:val="22"/>
          <w:szCs w:val="22"/>
        </w:rPr>
        <w:t xml:space="preserve">, přejímá. </w:t>
      </w:r>
      <w:r w:rsidR="0095345E" w:rsidRPr="00805A23">
        <w:rPr>
          <w:rFonts w:ascii="Arial" w:hAnsi="Arial" w:cs="Arial"/>
          <w:sz w:val="22"/>
          <w:szCs w:val="22"/>
        </w:rPr>
        <w:t xml:space="preserve">Příslušnost hospodařit k majetku specifikovanému v čl. I. předávajícímu zanikne a přejímajícímu vznikne dnem podpisu </w:t>
      </w:r>
      <w:bookmarkStart w:id="0" w:name="_Hlk30757066"/>
      <w:r w:rsidR="0095345E" w:rsidRPr="00805A23">
        <w:rPr>
          <w:rFonts w:ascii="Arial" w:hAnsi="Arial" w:cs="Arial"/>
          <w:sz w:val="22"/>
          <w:szCs w:val="22"/>
        </w:rPr>
        <w:t>předávajícího i přejímajícího</w:t>
      </w:r>
      <w:bookmarkEnd w:id="0"/>
      <w:r w:rsidR="0095345E" w:rsidRPr="00805A23">
        <w:rPr>
          <w:rFonts w:ascii="Arial" w:hAnsi="Arial" w:cs="Arial"/>
          <w:sz w:val="22"/>
          <w:szCs w:val="22"/>
          <w:lang w:eastAsia="en-US"/>
        </w:rPr>
        <w:t>.</w:t>
      </w:r>
    </w:p>
    <w:p w14:paraId="4398181F" w14:textId="77777777" w:rsidR="00FF50F6" w:rsidRPr="0079123C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CE2311B" w14:textId="77777777" w:rsidR="00FF50F6" w:rsidRPr="0079123C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IV.</w:t>
      </w:r>
    </w:p>
    <w:p w14:paraId="4C82BC76" w14:textId="508B21AD" w:rsidR="00E450AB" w:rsidRDefault="00E450AB" w:rsidP="00E450AB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 xml:space="preserve">Příslušnost hospodaření ve prospěch přejímajícího se převádí bezúplatně s ohledem na to, že pozemek specifikovaný v článku I. </w:t>
      </w:r>
      <w:r w:rsidR="00BE6D47">
        <w:rPr>
          <w:rFonts w:ascii="Arial" w:hAnsi="Arial" w:cs="Arial"/>
          <w:sz w:val="22"/>
          <w:szCs w:val="22"/>
        </w:rPr>
        <w:t>této smlouvy</w:t>
      </w:r>
      <w:r w:rsidRPr="0079123C">
        <w:rPr>
          <w:rFonts w:ascii="Arial" w:hAnsi="Arial" w:cs="Arial"/>
          <w:sz w:val="22"/>
          <w:szCs w:val="22"/>
        </w:rPr>
        <w:t xml:space="preserve"> je veden v rezervě podle § 3 odst. 1 písm. b) zákona č. 503/2012 Sb., o Státním pozemkovém úřadu a o změně některých souvisejících zákonů, ve znění pozdějších předpisů, a bude využit k uskutečnění rozvojového programu státu Dopravní rozvojové strategie 2. fáze schváleného vládou dne </w:t>
      </w:r>
      <w:r w:rsidR="009422B1">
        <w:rPr>
          <w:rFonts w:ascii="Arial" w:hAnsi="Arial" w:cs="Arial"/>
          <w:sz w:val="22"/>
          <w:szCs w:val="22"/>
        </w:rPr>
        <w:t xml:space="preserve">13. 11. 2013 </w:t>
      </w:r>
      <w:r w:rsidRPr="0079123C">
        <w:rPr>
          <w:rFonts w:ascii="Arial" w:hAnsi="Arial" w:cs="Arial"/>
          <w:sz w:val="22"/>
          <w:szCs w:val="22"/>
        </w:rPr>
        <w:t>na základě:</w:t>
      </w:r>
    </w:p>
    <w:p w14:paraId="4E84EB09" w14:textId="77777777" w:rsidR="00052299" w:rsidRDefault="00052299" w:rsidP="00052299">
      <w:pPr>
        <w:jc w:val="both"/>
        <w:rPr>
          <w:rFonts w:ascii="Arial" w:hAnsi="Arial" w:cs="Arial"/>
          <w:sz w:val="22"/>
          <w:szCs w:val="22"/>
        </w:rPr>
      </w:pPr>
      <w:bookmarkStart w:id="1" w:name="_Hlk102635178"/>
    </w:p>
    <w:p w14:paraId="5C398EE3" w14:textId="4231DBD9" w:rsidR="00D8726C" w:rsidRDefault="00D8726C" w:rsidP="00D8726C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bookmarkStart w:id="2" w:name="_Hlk102651412"/>
      <w:r>
        <w:rPr>
          <w:rFonts w:ascii="Arial" w:hAnsi="Arial" w:cs="Arial"/>
          <w:sz w:val="22"/>
          <w:szCs w:val="22"/>
        </w:rPr>
        <w:t xml:space="preserve">pravomocného rozhodnutí o umístění stavby vydaného Městskou částí Praha 22, Úřadem městské části, odborem výstavby dne 30.7.2020 pod čj. P22 7892 2020 </w:t>
      </w:r>
      <w:r w:rsidR="003C2542">
        <w:rPr>
          <w:rFonts w:ascii="Arial" w:hAnsi="Arial" w:cs="Arial"/>
          <w:sz w:val="22"/>
          <w:szCs w:val="22"/>
        </w:rPr>
        <w:t>OV 04</w:t>
      </w:r>
    </w:p>
    <w:p w14:paraId="272B7368" w14:textId="77777777" w:rsidR="00D8726C" w:rsidRDefault="00D8726C" w:rsidP="00D8726C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Účetní ocenění předávaného majetku z účetnictví předávajícího ve smyslu ustanovení § 25 odst. 6 zákona č. 563/1991 Sb., o účetnictví, ve znění pozdějších předpisů, činí:</w:t>
      </w:r>
    </w:p>
    <w:p w14:paraId="48F7278F" w14:textId="77777777" w:rsidR="00D8726C" w:rsidRDefault="00D8726C" w:rsidP="00D8726C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CB57D6D" w14:textId="77777777" w:rsidR="00D8726C" w:rsidRDefault="00D8726C" w:rsidP="00D8726C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</w:t>
      </w:r>
      <w:r>
        <w:rPr>
          <w:rFonts w:ascii="Arial" w:hAnsi="Arial" w:cs="Arial"/>
          <w:sz w:val="22"/>
          <w:szCs w:val="22"/>
        </w:rPr>
        <w:tab/>
        <w:t>Parcelní číslo</w:t>
      </w:r>
      <w:r>
        <w:rPr>
          <w:rFonts w:ascii="Arial" w:hAnsi="Arial" w:cs="Arial"/>
          <w:sz w:val="22"/>
          <w:szCs w:val="22"/>
        </w:rPr>
        <w:tab/>
        <w:t>Účetní ocenění v Kč</w:t>
      </w:r>
    </w:p>
    <w:p w14:paraId="6999AEB0" w14:textId="77777777" w:rsidR="00D8726C" w:rsidRDefault="00D8726C" w:rsidP="00D8726C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7CF8BF3" w14:textId="7D56CF7A" w:rsidR="00D8726C" w:rsidRDefault="00D8726C" w:rsidP="00D8726C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Běchovice</w:t>
      </w:r>
      <w:r>
        <w:rPr>
          <w:rFonts w:ascii="Arial" w:hAnsi="Arial" w:cs="Arial"/>
          <w:sz w:val="20"/>
          <w:szCs w:val="22"/>
        </w:rPr>
        <w:tab/>
        <w:t>KN 1205/36</w:t>
      </w:r>
      <w:r>
        <w:rPr>
          <w:rFonts w:ascii="Arial" w:hAnsi="Arial" w:cs="Arial"/>
          <w:sz w:val="20"/>
          <w:szCs w:val="22"/>
        </w:rPr>
        <w:tab/>
      </w:r>
      <w:r w:rsidR="00B1036E">
        <w:rPr>
          <w:rFonts w:ascii="Arial" w:hAnsi="Arial" w:cs="Arial"/>
          <w:sz w:val="20"/>
          <w:szCs w:val="22"/>
        </w:rPr>
        <w:t>2453</w:t>
      </w:r>
      <w:r>
        <w:rPr>
          <w:rFonts w:ascii="Arial" w:hAnsi="Arial" w:cs="Arial"/>
          <w:sz w:val="20"/>
          <w:szCs w:val="22"/>
        </w:rPr>
        <w:t>,</w:t>
      </w:r>
      <w:r w:rsidR="00B1036E">
        <w:rPr>
          <w:rFonts w:ascii="Arial" w:hAnsi="Arial" w:cs="Arial"/>
          <w:sz w:val="20"/>
          <w:szCs w:val="22"/>
        </w:rPr>
        <w:t>88</w:t>
      </w:r>
      <w:r>
        <w:rPr>
          <w:rFonts w:ascii="Arial" w:hAnsi="Arial" w:cs="Arial"/>
          <w:sz w:val="20"/>
          <w:szCs w:val="22"/>
        </w:rPr>
        <w:t xml:space="preserve"> Kč</w:t>
      </w:r>
    </w:p>
    <w:p w14:paraId="0038C658" w14:textId="77777777" w:rsidR="00D8726C" w:rsidRDefault="00D8726C" w:rsidP="00D8726C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D1DC203" w14:textId="77777777" w:rsidR="00D8726C" w:rsidRDefault="00D8726C" w:rsidP="00D8726C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</w:p>
    <w:p w14:paraId="19A8AEBB" w14:textId="33AD7386" w:rsidR="00A07139" w:rsidRPr="002F27F9" w:rsidRDefault="00A07139" w:rsidP="002F27F9">
      <w:pPr>
        <w:pStyle w:val="obec1"/>
        <w:widowControl/>
        <w:tabs>
          <w:tab w:val="clear" w:pos="2552"/>
          <w:tab w:val="clear" w:pos="5103"/>
          <w:tab w:val="clear" w:pos="8789"/>
          <w:tab w:val="right" w:pos="9072"/>
        </w:tabs>
        <w:rPr>
          <w:rFonts w:ascii="Arial" w:hAnsi="Arial" w:cs="Arial"/>
          <w:sz w:val="20"/>
          <w:szCs w:val="20"/>
        </w:rPr>
      </w:pPr>
      <w:r w:rsidRPr="002F27F9">
        <w:rPr>
          <w:rFonts w:ascii="Arial" w:hAnsi="Arial" w:cs="Arial"/>
          <w:sz w:val="20"/>
          <w:szCs w:val="20"/>
        </w:rPr>
        <w:t>Celkem účetní ocenění</w:t>
      </w:r>
      <w:r w:rsidRPr="002F27F9">
        <w:rPr>
          <w:rFonts w:ascii="Arial" w:hAnsi="Arial" w:cs="Arial"/>
          <w:sz w:val="20"/>
          <w:szCs w:val="20"/>
        </w:rPr>
        <w:tab/>
      </w:r>
      <w:r w:rsidR="00B1036E" w:rsidRPr="002F27F9">
        <w:rPr>
          <w:rFonts w:ascii="Arial" w:hAnsi="Arial" w:cs="Arial"/>
          <w:sz w:val="20"/>
          <w:szCs w:val="20"/>
        </w:rPr>
        <w:t>2453</w:t>
      </w:r>
      <w:r w:rsidRPr="002F27F9">
        <w:rPr>
          <w:rFonts w:ascii="Arial" w:hAnsi="Arial" w:cs="Arial"/>
          <w:sz w:val="20"/>
          <w:szCs w:val="20"/>
        </w:rPr>
        <w:t>,</w:t>
      </w:r>
      <w:r w:rsidR="00B1036E" w:rsidRPr="002F27F9">
        <w:rPr>
          <w:rFonts w:ascii="Arial" w:hAnsi="Arial" w:cs="Arial"/>
          <w:sz w:val="20"/>
          <w:szCs w:val="20"/>
        </w:rPr>
        <w:t>88</w:t>
      </w:r>
      <w:r w:rsidRPr="002F27F9">
        <w:rPr>
          <w:rFonts w:ascii="Arial" w:hAnsi="Arial" w:cs="Arial"/>
          <w:sz w:val="20"/>
          <w:szCs w:val="20"/>
        </w:rPr>
        <w:t xml:space="preserve"> Kč</w:t>
      </w:r>
    </w:p>
    <w:bookmarkEnd w:id="1"/>
    <w:bookmarkEnd w:id="2"/>
    <w:p w14:paraId="7744024A" w14:textId="77777777" w:rsidR="00052299" w:rsidRDefault="00052299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718C03B" w14:textId="77777777" w:rsidR="00FF50F6" w:rsidRPr="0079123C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V.</w:t>
      </w:r>
    </w:p>
    <w:p w14:paraId="5B9347E9" w14:textId="77777777" w:rsidR="00A74A00" w:rsidRPr="0079123C" w:rsidRDefault="00FF50F6" w:rsidP="00A74A00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  <w:r w:rsidRPr="0079123C">
        <w:rPr>
          <w:rFonts w:ascii="Arial" w:hAnsi="Arial" w:cs="Arial"/>
          <w:bCs/>
          <w:sz w:val="22"/>
          <w:szCs w:val="22"/>
        </w:rPr>
        <w:t xml:space="preserve">1) </w:t>
      </w:r>
      <w:r w:rsidR="00A74A00" w:rsidRPr="0079123C">
        <w:rPr>
          <w:rFonts w:ascii="Arial" w:hAnsi="Arial" w:cs="Arial"/>
          <w:bCs/>
          <w:sz w:val="22"/>
          <w:szCs w:val="22"/>
        </w:rPr>
        <w:t xml:space="preserve">Obě </w:t>
      </w:r>
      <w:r w:rsidR="0095345E">
        <w:rPr>
          <w:rFonts w:ascii="Arial" w:hAnsi="Arial" w:cs="Arial"/>
          <w:bCs/>
          <w:sz w:val="22"/>
          <w:szCs w:val="22"/>
        </w:rPr>
        <w:t xml:space="preserve">smluvní </w:t>
      </w:r>
      <w:r w:rsidR="00A74A00" w:rsidRPr="0079123C">
        <w:rPr>
          <w:rFonts w:ascii="Arial" w:hAnsi="Arial" w:cs="Arial"/>
          <w:bCs/>
          <w:sz w:val="22"/>
          <w:szCs w:val="22"/>
        </w:rPr>
        <w:t xml:space="preserve">strany shodně prohlašují, že jim nejsou známy žádné skutečnosti, které by </w:t>
      </w:r>
      <w:r w:rsidR="0095345E" w:rsidRPr="00805A23">
        <w:rPr>
          <w:rFonts w:ascii="Arial" w:hAnsi="Arial" w:cs="Arial"/>
          <w:sz w:val="22"/>
          <w:szCs w:val="22"/>
        </w:rPr>
        <w:t xml:space="preserve">uzavření smlouvy </w:t>
      </w:r>
      <w:r w:rsidR="00A74A00" w:rsidRPr="0079123C">
        <w:rPr>
          <w:rFonts w:ascii="Arial" w:hAnsi="Arial" w:cs="Arial"/>
          <w:bCs/>
          <w:sz w:val="22"/>
          <w:szCs w:val="22"/>
        </w:rPr>
        <w:t>bránily.</w:t>
      </w:r>
    </w:p>
    <w:p w14:paraId="79A752E0" w14:textId="0DED4E14" w:rsidR="00B1036E" w:rsidRDefault="00FF50F6" w:rsidP="00B1036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 xml:space="preserve">2)  </w:t>
      </w:r>
      <w:r w:rsidR="00B1036E">
        <w:rPr>
          <w:rFonts w:ascii="Arial" w:hAnsi="Arial" w:cs="Arial"/>
          <w:sz w:val="22"/>
          <w:szCs w:val="22"/>
        </w:rPr>
        <w:t xml:space="preserve">Užívací vztah k převáděnému pozemku je řešen nájemní smlouvou č. 162N08/01, kterou s SPÚ, resp. dříve PF ČR uzavřel, </w:t>
      </w:r>
      <w:proofErr w:type="spellStart"/>
      <w:r w:rsidR="00B1036E">
        <w:rPr>
          <w:rFonts w:ascii="Arial" w:hAnsi="Arial" w:cs="Arial"/>
          <w:sz w:val="22"/>
          <w:szCs w:val="22"/>
        </w:rPr>
        <w:t>Týnice</w:t>
      </w:r>
      <w:proofErr w:type="spellEnd"/>
      <w:r w:rsidR="00B1036E">
        <w:rPr>
          <w:rFonts w:ascii="Arial" w:hAnsi="Arial" w:cs="Arial"/>
          <w:sz w:val="22"/>
          <w:szCs w:val="22"/>
        </w:rPr>
        <w:t xml:space="preserve">, s.r.o. jakožto nájemce. S obsahem nájemní smlouvy byl přejímající seznámen před podpisem </w:t>
      </w:r>
      <w:r w:rsidR="002F27F9">
        <w:rPr>
          <w:rFonts w:ascii="Arial" w:hAnsi="Arial" w:cs="Arial"/>
          <w:sz w:val="22"/>
          <w:szCs w:val="22"/>
        </w:rPr>
        <w:t>této smlouvy</w:t>
      </w:r>
      <w:r w:rsidR="00B1036E">
        <w:rPr>
          <w:rFonts w:ascii="Arial" w:hAnsi="Arial" w:cs="Arial"/>
          <w:sz w:val="22"/>
          <w:szCs w:val="22"/>
        </w:rPr>
        <w:t>, což stvrzuje svým podpisem.</w:t>
      </w:r>
    </w:p>
    <w:p w14:paraId="309ED731" w14:textId="77777777" w:rsidR="00FF50F6" w:rsidRPr="0079123C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8B2320A" w14:textId="77777777" w:rsidR="00FF50F6" w:rsidRPr="0079123C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7368F29" w14:textId="77777777" w:rsidR="00FF50F6" w:rsidRPr="0079123C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VI.</w:t>
      </w:r>
    </w:p>
    <w:p w14:paraId="131EF675" w14:textId="77777777" w:rsidR="0095345E" w:rsidRPr="0095345E" w:rsidRDefault="0095345E" w:rsidP="0095345E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 w:rsidRPr="00805A23">
        <w:rPr>
          <w:rFonts w:ascii="Arial" w:hAnsi="Arial" w:cs="Arial"/>
          <w:sz w:val="22"/>
          <w:szCs w:val="22"/>
          <w:lang w:eastAsia="en-US"/>
        </w:rPr>
        <w:t>1) Obě strany se dohodly, že předávající podá u příslušného katastrálního úřadu návrh na provedení změny příslušnosti hospodaření a současně podá návrh na výmaz poznámky o zařazení pozemku do rezervy podle § 3 odst. 1 písm. b) zákona č. 503/2012 Sb., o Státním pozemkovém úřadu a o změně některých souvisejících zákonů, ve znění pozdějších předpisů, a to nejpozději do 15 dnů ode dne podpisu smlouvy.</w:t>
      </w:r>
    </w:p>
    <w:p w14:paraId="25E1A2D3" w14:textId="77777777" w:rsidR="0095345E" w:rsidRPr="00805A23" w:rsidRDefault="0095345E" w:rsidP="0095345E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 w:rsidRPr="00805A23">
        <w:rPr>
          <w:rFonts w:ascii="Arial" w:hAnsi="Arial" w:cs="Arial"/>
          <w:sz w:val="22"/>
          <w:szCs w:val="22"/>
          <w:lang w:eastAsia="en-US"/>
        </w:rPr>
        <w:t xml:space="preserve">2) Předávající je ve smyslu zákona č. 634/2004 Sb., o správních poplatcích, ve znění pozdějších předpisů, osvobozen od správních poplatků. </w:t>
      </w:r>
    </w:p>
    <w:p w14:paraId="5C303498" w14:textId="059C687E" w:rsidR="006704D9" w:rsidRDefault="006704D9" w:rsidP="008B368B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</w:p>
    <w:p w14:paraId="5C61583A" w14:textId="77777777" w:rsidR="002F27F9" w:rsidRPr="0079123C" w:rsidRDefault="002F27F9" w:rsidP="008B368B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</w:p>
    <w:p w14:paraId="405E910C" w14:textId="77777777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VII.</w:t>
      </w:r>
    </w:p>
    <w:p w14:paraId="06EF4D6F" w14:textId="77A2AD43" w:rsidR="007D272A" w:rsidRDefault="007D272A" w:rsidP="007D272A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bookmarkStart w:id="3" w:name="_Hlk30758065"/>
      <w:r>
        <w:rPr>
          <w:rFonts w:ascii="Arial" w:hAnsi="Arial" w:cs="Arial"/>
          <w:sz w:val="22"/>
          <w:szCs w:val="22"/>
          <w:lang w:eastAsia="en-US"/>
        </w:rPr>
        <w:t xml:space="preserve">Předávající prohlašuje, že byl ústředním správním úřadem dne </w:t>
      </w:r>
      <w:r w:rsidR="009422B1">
        <w:rPr>
          <w:rFonts w:ascii="Arial" w:hAnsi="Arial" w:cs="Arial"/>
          <w:sz w:val="22"/>
          <w:szCs w:val="22"/>
          <w:lang w:eastAsia="en-US"/>
        </w:rPr>
        <w:t xml:space="preserve">1.12.2020 </w:t>
      </w:r>
      <w:r>
        <w:rPr>
          <w:rFonts w:ascii="Arial" w:hAnsi="Arial" w:cs="Arial"/>
          <w:sz w:val="22"/>
          <w:szCs w:val="22"/>
          <w:lang w:eastAsia="en-US"/>
        </w:rPr>
        <w:t>vydán písemný souhlas s převodem pozemků specifikovaných v článku I. této smlouvy.</w:t>
      </w:r>
      <w:bookmarkEnd w:id="3"/>
    </w:p>
    <w:p w14:paraId="257A4729" w14:textId="785B0A4D" w:rsidR="007D272A" w:rsidRDefault="007D272A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7A71818" w14:textId="77777777" w:rsidR="00B1036E" w:rsidRDefault="00B1036E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F08AD56" w14:textId="77777777" w:rsidR="007D272A" w:rsidRDefault="007D272A" w:rsidP="007D272A">
      <w:pPr>
        <w:pStyle w:val="para"/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VII</w:t>
      </w:r>
      <w:r>
        <w:rPr>
          <w:rFonts w:ascii="Arial" w:hAnsi="Arial" w:cs="Arial"/>
          <w:sz w:val="22"/>
          <w:szCs w:val="22"/>
        </w:rPr>
        <w:t>I</w:t>
      </w:r>
      <w:r w:rsidRPr="0079123C">
        <w:rPr>
          <w:rFonts w:ascii="Arial" w:hAnsi="Arial" w:cs="Arial"/>
          <w:sz w:val="22"/>
          <w:szCs w:val="22"/>
        </w:rPr>
        <w:t>.</w:t>
      </w:r>
    </w:p>
    <w:p w14:paraId="6AEE93FB" w14:textId="77777777" w:rsidR="007D272A" w:rsidRPr="00805A23" w:rsidRDefault="007D272A" w:rsidP="007D272A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 w:rsidRPr="00805A23">
        <w:rPr>
          <w:rFonts w:ascii="Arial" w:hAnsi="Arial" w:cs="Arial"/>
          <w:sz w:val="22"/>
          <w:szCs w:val="22"/>
          <w:lang w:eastAsia="en-US"/>
        </w:rPr>
        <w:t>1) Smluvní strany se dohodly, že jakékoliv změny a doplňky této smlouvy jsou možné pouze písemnou formou na základě dohody smluvních stran.</w:t>
      </w:r>
    </w:p>
    <w:p w14:paraId="5DAFF8EC" w14:textId="2ECC0EAD" w:rsidR="007D272A" w:rsidRPr="00805A23" w:rsidRDefault="007D272A" w:rsidP="007D272A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 w:rsidRPr="00805A23">
        <w:rPr>
          <w:rFonts w:ascii="Arial" w:hAnsi="Arial" w:cs="Arial"/>
          <w:sz w:val="22"/>
          <w:szCs w:val="22"/>
          <w:lang w:eastAsia="en-US"/>
        </w:rPr>
        <w:t xml:space="preserve">2) Tato smlouva je vyhotovena ve </w:t>
      </w:r>
      <w:r w:rsidR="009422B1">
        <w:rPr>
          <w:rFonts w:ascii="Arial" w:hAnsi="Arial" w:cs="Arial"/>
          <w:sz w:val="22"/>
          <w:szCs w:val="22"/>
          <w:lang w:eastAsia="en-US"/>
        </w:rPr>
        <w:t>třech</w:t>
      </w:r>
      <w:r w:rsidRPr="00805A23">
        <w:rPr>
          <w:rFonts w:ascii="Arial" w:hAnsi="Arial" w:cs="Arial"/>
          <w:sz w:val="22"/>
          <w:szCs w:val="22"/>
          <w:lang w:eastAsia="en-US"/>
        </w:rPr>
        <w:t xml:space="preserve"> stejnopisech, z nichž každý má platnost originálu. Přejímající </w:t>
      </w:r>
      <w:proofErr w:type="gramStart"/>
      <w:r w:rsidRPr="00805A23">
        <w:rPr>
          <w:rFonts w:ascii="Arial" w:hAnsi="Arial" w:cs="Arial"/>
          <w:sz w:val="22"/>
          <w:szCs w:val="22"/>
          <w:lang w:eastAsia="en-US"/>
        </w:rPr>
        <w:t>obdrží</w:t>
      </w:r>
      <w:proofErr w:type="gramEnd"/>
      <w:r w:rsidRPr="00805A2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422B1">
        <w:rPr>
          <w:rFonts w:ascii="Arial" w:hAnsi="Arial" w:cs="Arial"/>
          <w:sz w:val="22"/>
          <w:szCs w:val="22"/>
          <w:lang w:eastAsia="en-US"/>
        </w:rPr>
        <w:t>jeden</w:t>
      </w:r>
      <w:r w:rsidRPr="00805A23">
        <w:rPr>
          <w:rFonts w:ascii="Arial" w:hAnsi="Arial" w:cs="Arial"/>
          <w:sz w:val="22"/>
          <w:szCs w:val="22"/>
          <w:lang w:eastAsia="en-US"/>
        </w:rPr>
        <w:t xml:space="preserve"> stejnopis a ostatní jsou určeny pro předávajícího.</w:t>
      </w:r>
    </w:p>
    <w:p w14:paraId="42ED4F93" w14:textId="1E6BE58E" w:rsidR="0026138D" w:rsidRDefault="0026138D" w:rsidP="0026138D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a účinnosti dnem podpisu oběma smluvními stranami, jelikož smlouva nepodléhá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</w:t>
      </w:r>
      <w:r>
        <w:rPr>
          <w:rFonts w:ascii="Arial" w:hAnsi="Arial" w:cs="Arial"/>
          <w:sz w:val="22"/>
          <w:szCs w:val="22"/>
          <w:lang w:eastAsia="ar-SA"/>
        </w:rPr>
        <w:br/>
        <w:t>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předpisů.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</w:t>
      </w:r>
      <w:r>
        <w:rPr>
          <w:rFonts w:ascii="Arial" w:hAnsi="Arial" w:cs="Arial"/>
          <w:sz w:val="22"/>
          <w:szCs w:val="22"/>
          <w:lang w:eastAsia="ar-SA"/>
        </w:rPr>
        <w:lastRenderedPageBreak/>
        <w:t>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35544501" w14:textId="77777777" w:rsidR="00B1036E" w:rsidRDefault="00B1036E" w:rsidP="00B1036E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4) V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souvislosti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realizací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práv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povinností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vyplývajících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z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bude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mít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přejímající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přístup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k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osobním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údajům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fyzických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osob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které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jsou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uvedeny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smlouvě</w:t>
      </w:r>
      <w:proofErr w:type="spellEnd"/>
      <w:r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smlouvách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které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byly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těmito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osobami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uzavřeny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Státním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pozemkovým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úřadem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Přejímající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zavazuje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že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přijme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veškerá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technická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bezpečnostní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opatření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v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rámci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přejímajícího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nimi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budou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seznámeni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jen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případní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zaměstnanci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partneři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přejímajícího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přejímající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nezpřístupní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tyto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osobní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údaje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třetím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osobám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Přejímající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prohlašuje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že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oprávněn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shromažďovat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používat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přenášet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ukládat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nebo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jiným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způsobem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zpracovávat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informace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předávané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SPÚ,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včetně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osobních</w:t>
      </w:r>
      <w:proofErr w:type="spellEnd"/>
      <w:r>
        <w:rPr>
          <w:rFonts w:ascii="Arial" w:hAnsi="Arial" w:cs="Arial"/>
          <w:sz w:val="22"/>
          <w:szCs w:val="22"/>
          <w:lang w:val="en-US"/>
        </w:rPr>
        <w:t>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údajů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jak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jsou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definovány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příslušnými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právními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předpisy</w:t>
      </w:r>
      <w:proofErr w:type="spellEnd"/>
      <w:r>
        <w:rPr>
          <w:rFonts w:ascii="Arial" w:hAnsi="Arial" w:cs="Arial"/>
          <w:sz w:val="22"/>
          <w:szCs w:val="22"/>
          <w:lang w:val="en-US"/>
        </w:rPr>
        <w:t>.</w:t>
      </w:r>
    </w:p>
    <w:p w14:paraId="3DEF8CF5" w14:textId="7868097F" w:rsidR="00EC2D63" w:rsidRDefault="00B1036E" w:rsidP="00B103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Obě smluvní strany se zavazují, že budou postupovat v souladu se zákonem č. 110/2019 Sb., o zpracování osobních údajů, a platným nařízením Evropského parlamentu 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792B6FFB" w14:textId="3D565004" w:rsidR="00EC2D63" w:rsidRDefault="00EC2D63" w:rsidP="00EC2D63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>5) Dle § 2h odst. 2 zákona č. 416/2009 Sb., liniový zákon, v platném znění, tato smlouva nepodléhá schválení zřizovatelem přejímajícího.</w:t>
      </w:r>
    </w:p>
    <w:p w14:paraId="477546D7" w14:textId="77777777" w:rsidR="00EC2D63" w:rsidRDefault="00EC2D63" w:rsidP="00B1036E">
      <w:pPr>
        <w:jc w:val="both"/>
        <w:rPr>
          <w:rFonts w:ascii="Arial" w:hAnsi="Arial" w:cs="Arial"/>
          <w:sz w:val="22"/>
          <w:szCs w:val="22"/>
        </w:rPr>
      </w:pPr>
    </w:p>
    <w:p w14:paraId="2C524098" w14:textId="77777777" w:rsidR="00B1036E" w:rsidRDefault="00B1036E" w:rsidP="0026138D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25128C13" w14:textId="77777777" w:rsidR="00A956B5" w:rsidRDefault="00A956B5" w:rsidP="00A956B5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53948E4A" w14:textId="77777777" w:rsidR="007D272A" w:rsidRDefault="007D272A" w:rsidP="007D272A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</w:p>
    <w:p w14:paraId="0523A17A" w14:textId="77777777" w:rsidR="0026138D" w:rsidRDefault="0026138D" w:rsidP="0026138D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IX.</w:t>
      </w:r>
    </w:p>
    <w:p w14:paraId="42F66AB6" w14:textId="77777777" w:rsidR="0026138D" w:rsidRDefault="0026138D" w:rsidP="0026138D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02689419" w14:textId="77777777" w:rsidR="0026138D" w:rsidRDefault="0026138D" w:rsidP="0026138D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</w:p>
    <w:p w14:paraId="01063D9B" w14:textId="77777777" w:rsidR="0026138D" w:rsidRDefault="0026138D" w:rsidP="0026138D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</w:p>
    <w:p w14:paraId="67761177" w14:textId="1489F45B" w:rsidR="00FF50F6" w:rsidRPr="0079123C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 xml:space="preserve">V Praze dne </w:t>
      </w:r>
      <w:r w:rsidR="006B50E6">
        <w:rPr>
          <w:rFonts w:ascii="Arial" w:hAnsi="Arial" w:cs="Arial"/>
          <w:sz w:val="22"/>
          <w:szCs w:val="22"/>
        </w:rPr>
        <w:t>18.12.2023</w:t>
      </w:r>
      <w:r w:rsidRPr="0079123C">
        <w:rPr>
          <w:rFonts w:ascii="Arial" w:hAnsi="Arial" w:cs="Arial"/>
          <w:sz w:val="22"/>
          <w:szCs w:val="22"/>
        </w:rPr>
        <w:tab/>
        <w:t xml:space="preserve">V </w:t>
      </w:r>
      <w:r w:rsidR="006B50E6">
        <w:rPr>
          <w:rFonts w:ascii="Arial" w:hAnsi="Arial" w:cs="Arial"/>
          <w:sz w:val="22"/>
          <w:szCs w:val="22"/>
        </w:rPr>
        <w:t>Praze</w:t>
      </w:r>
      <w:r w:rsidRPr="0079123C">
        <w:rPr>
          <w:rFonts w:ascii="Arial" w:hAnsi="Arial" w:cs="Arial"/>
          <w:sz w:val="22"/>
          <w:szCs w:val="22"/>
        </w:rPr>
        <w:t xml:space="preserve"> dne </w:t>
      </w:r>
      <w:r w:rsidR="006B50E6">
        <w:rPr>
          <w:rFonts w:ascii="Arial" w:hAnsi="Arial" w:cs="Arial"/>
          <w:sz w:val="22"/>
          <w:szCs w:val="22"/>
        </w:rPr>
        <w:t>14.12.2023</w:t>
      </w:r>
    </w:p>
    <w:p w14:paraId="3788EEDF" w14:textId="77777777" w:rsidR="00FF50F6" w:rsidRPr="0079123C" w:rsidRDefault="00FF50F6">
      <w:pPr>
        <w:widowControl/>
        <w:rPr>
          <w:rFonts w:ascii="Arial" w:hAnsi="Arial" w:cs="Arial"/>
          <w:sz w:val="22"/>
          <w:szCs w:val="22"/>
        </w:rPr>
      </w:pPr>
    </w:p>
    <w:p w14:paraId="1B40B648" w14:textId="77777777" w:rsidR="00FF50F6" w:rsidRPr="0079123C" w:rsidRDefault="00FF50F6">
      <w:pPr>
        <w:widowControl/>
        <w:rPr>
          <w:rFonts w:ascii="Arial" w:hAnsi="Arial" w:cs="Arial"/>
          <w:sz w:val="22"/>
          <w:szCs w:val="22"/>
        </w:rPr>
      </w:pPr>
    </w:p>
    <w:p w14:paraId="1C9DB6C2" w14:textId="77777777" w:rsidR="00FF50F6" w:rsidRPr="0079123C" w:rsidRDefault="00FF50F6">
      <w:pPr>
        <w:widowControl/>
        <w:rPr>
          <w:rFonts w:ascii="Arial" w:hAnsi="Arial" w:cs="Arial"/>
          <w:sz w:val="22"/>
          <w:szCs w:val="22"/>
        </w:rPr>
      </w:pPr>
    </w:p>
    <w:p w14:paraId="2F169083" w14:textId="77777777" w:rsidR="009422B1" w:rsidRDefault="009422B1" w:rsidP="009422B1">
      <w:pPr>
        <w:widowControl/>
        <w:rPr>
          <w:rFonts w:ascii="Arial" w:hAnsi="Arial" w:cs="Arial"/>
          <w:sz w:val="22"/>
          <w:szCs w:val="22"/>
        </w:rPr>
      </w:pPr>
    </w:p>
    <w:p w14:paraId="0FB2CFA1" w14:textId="77777777" w:rsidR="009422B1" w:rsidRDefault="009422B1" w:rsidP="009422B1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9D40564" w14:textId="77777777" w:rsidR="009422B1" w:rsidRDefault="009422B1" w:rsidP="009422B1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  <w:t>Ředitelství silnic a dálnic ČR</w:t>
      </w:r>
    </w:p>
    <w:p w14:paraId="35DFA61E" w14:textId="77777777" w:rsidR="009422B1" w:rsidRDefault="009422B1" w:rsidP="009422B1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ředitel Závodu Praha</w:t>
      </w:r>
    </w:p>
    <w:p w14:paraId="5FF4B01A" w14:textId="77777777" w:rsidR="009422B1" w:rsidRDefault="009422B1" w:rsidP="009422B1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Středočeský kraj a hl. m. Praha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Ing. Tomáš Gross, Ph.D.</w:t>
      </w:r>
    </w:p>
    <w:p w14:paraId="4914C22B" w14:textId="77777777" w:rsidR="009422B1" w:rsidRDefault="009422B1" w:rsidP="009422B1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Veselý</w:t>
      </w:r>
      <w:r>
        <w:rPr>
          <w:rFonts w:ascii="Arial" w:hAnsi="Arial" w:cs="Arial"/>
          <w:sz w:val="22"/>
          <w:szCs w:val="22"/>
        </w:rPr>
        <w:tab/>
      </w:r>
    </w:p>
    <w:p w14:paraId="3C69B49A" w14:textId="77777777" w:rsidR="009422B1" w:rsidRDefault="009422B1" w:rsidP="009422B1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předávající</w:t>
      </w:r>
      <w:r>
        <w:rPr>
          <w:rFonts w:ascii="Arial" w:hAnsi="Arial" w:cs="Arial"/>
          <w:sz w:val="22"/>
          <w:szCs w:val="22"/>
        </w:rPr>
        <w:tab/>
        <w:t>přejímající</w:t>
      </w:r>
    </w:p>
    <w:p w14:paraId="3E424EA3" w14:textId="77777777" w:rsidR="009422B1" w:rsidRDefault="009422B1" w:rsidP="009422B1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BC0A6E0" w14:textId="77777777" w:rsidR="00FF50F6" w:rsidRPr="0079123C" w:rsidRDefault="00FF50F6">
      <w:pPr>
        <w:widowControl/>
        <w:rPr>
          <w:rFonts w:ascii="Arial" w:hAnsi="Arial" w:cs="Arial"/>
          <w:sz w:val="22"/>
          <w:szCs w:val="22"/>
        </w:rPr>
      </w:pPr>
    </w:p>
    <w:p w14:paraId="58CEC281" w14:textId="77777777" w:rsidR="00FF50F6" w:rsidRPr="0079123C" w:rsidRDefault="00FF50F6">
      <w:pPr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79123C">
        <w:rPr>
          <w:rFonts w:ascii="Arial" w:hAnsi="Arial" w:cs="Arial"/>
          <w:sz w:val="22"/>
          <w:szCs w:val="22"/>
        </w:rPr>
        <w:t>SPÚ</w:t>
      </w:r>
      <w:r w:rsidRPr="0079123C">
        <w:rPr>
          <w:rFonts w:ascii="Arial" w:hAnsi="Arial" w:cs="Arial"/>
          <w:sz w:val="22"/>
          <w:szCs w:val="22"/>
        </w:rPr>
        <w:t>: 1096001</w:t>
      </w:r>
      <w:r w:rsidRPr="0079123C">
        <w:rPr>
          <w:rFonts w:ascii="Arial" w:hAnsi="Arial" w:cs="Arial"/>
          <w:sz w:val="22"/>
          <w:szCs w:val="22"/>
        </w:rPr>
        <w:br/>
      </w:r>
    </w:p>
    <w:p w14:paraId="0F08B4B2" w14:textId="77777777" w:rsidR="00FF50F6" w:rsidRPr="0079123C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08BE5E" w14:textId="77777777" w:rsidR="00FF50F6" w:rsidRPr="0079123C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4D10B0" w14:textId="2766F3E7" w:rsidR="00FE2B19" w:rsidRPr="0079123C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Za věcnou a formální správnost odpovídá</w:t>
      </w:r>
      <w:r w:rsidR="009422B1">
        <w:rPr>
          <w:rFonts w:ascii="Arial" w:hAnsi="Arial" w:cs="Arial"/>
          <w:sz w:val="22"/>
          <w:szCs w:val="22"/>
        </w:rPr>
        <w:t xml:space="preserve"> </w:t>
      </w:r>
      <w:r w:rsidRPr="0079123C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  <w:r w:rsidR="009422B1">
        <w:rPr>
          <w:rFonts w:ascii="Arial" w:hAnsi="Arial" w:cs="Arial"/>
          <w:sz w:val="22"/>
          <w:szCs w:val="22"/>
        </w:rPr>
        <w:t xml:space="preserve"> </w:t>
      </w:r>
      <w:r w:rsidRPr="0079123C">
        <w:rPr>
          <w:rFonts w:ascii="Arial" w:hAnsi="Arial" w:cs="Arial"/>
          <w:sz w:val="22"/>
          <w:szCs w:val="22"/>
        </w:rPr>
        <w:t>Ing. Michaela Svobodová</w:t>
      </w:r>
    </w:p>
    <w:p w14:paraId="428624C0" w14:textId="77777777" w:rsidR="00FE2B19" w:rsidRPr="0079123C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2F3CBA69" w14:textId="77777777" w:rsidR="00E11D7C" w:rsidRPr="0079123C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.......................................</w:t>
      </w:r>
    </w:p>
    <w:p w14:paraId="47C80DC2" w14:textId="77777777" w:rsidR="00FE2B19" w:rsidRPr="0079123C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podpis</w:t>
      </w:r>
    </w:p>
    <w:p w14:paraId="60C4AD7B" w14:textId="77777777" w:rsidR="00FE2B19" w:rsidRPr="0079123C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4403800" w14:textId="77777777" w:rsidR="00FF50F6" w:rsidRPr="0079123C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Za správnost: Bc. Iveta Talichová</w:t>
      </w:r>
    </w:p>
    <w:p w14:paraId="5EB13C8D" w14:textId="77777777" w:rsidR="00FF50F6" w:rsidRPr="0079123C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6CE46F" w14:textId="77777777" w:rsidR="00FF50F6" w:rsidRPr="0079123C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>.......................................</w:t>
      </w:r>
    </w:p>
    <w:p w14:paraId="7C844FC9" w14:textId="77777777" w:rsidR="00FF50F6" w:rsidRPr="0079123C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79123C">
        <w:rPr>
          <w:rFonts w:ascii="Arial" w:hAnsi="Arial" w:cs="Arial"/>
          <w:sz w:val="22"/>
          <w:szCs w:val="22"/>
        </w:rPr>
        <w:tab/>
        <w:t>podpis</w:t>
      </w:r>
    </w:p>
    <w:p w14:paraId="7AF5CD93" w14:textId="77777777" w:rsidR="0072729F" w:rsidRDefault="0072729F" w:rsidP="0072729F">
      <w:pPr>
        <w:widowControl/>
        <w:rPr>
          <w:rFonts w:ascii="Arial" w:hAnsi="Arial" w:cs="Arial"/>
          <w:sz w:val="22"/>
          <w:szCs w:val="22"/>
        </w:rPr>
      </w:pPr>
    </w:p>
    <w:p w14:paraId="42DC6E79" w14:textId="77777777" w:rsidR="0026138D" w:rsidRDefault="0026138D" w:rsidP="0072729F">
      <w:pPr>
        <w:widowControl/>
        <w:rPr>
          <w:rFonts w:ascii="Arial" w:hAnsi="Arial" w:cs="Arial"/>
          <w:sz w:val="22"/>
          <w:szCs w:val="22"/>
        </w:rPr>
      </w:pPr>
    </w:p>
    <w:p w14:paraId="5BFFBBE7" w14:textId="22357876" w:rsidR="0026138D" w:rsidRPr="005123A9" w:rsidRDefault="00B1036E" w:rsidP="002613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26138D" w:rsidRPr="005123A9">
        <w:rPr>
          <w:rFonts w:ascii="Arial" w:hAnsi="Arial" w:cs="Arial"/>
          <w:sz w:val="22"/>
          <w:szCs w:val="22"/>
        </w:rPr>
        <w:lastRenderedPageBreak/>
        <w:t>Tato smlouva byla uveřejněna v</w:t>
      </w:r>
      <w:r w:rsidR="009422B1">
        <w:rPr>
          <w:rFonts w:ascii="Arial" w:hAnsi="Arial" w:cs="Arial"/>
          <w:sz w:val="22"/>
          <w:szCs w:val="22"/>
        </w:rPr>
        <w:t> </w:t>
      </w:r>
      <w:r w:rsidR="0026138D" w:rsidRPr="005123A9">
        <w:rPr>
          <w:rFonts w:ascii="Arial" w:hAnsi="Arial" w:cs="Arial"/>
          <w:sz w:val="22"/>
          <w:szCs w:val="22"/>
        </w:rPr>
        <w:t>Registru</w:t>
      </w:r>
      <w:r w:rsidR="009422B1">
        <w:rPr>
          <w:rFonts w:ascii="Arial" w:hAnsi="Arial" w:cs="Arial"/>
          <w:sz w:val="22"/>
          <w:szCs w:val="22"/>
        </w:rPr>
        <w:t xml:space="preserve"> </w:t>
      </w:r>
      <w:r w:rsidR="0026138D" w:rsidRPr="005123A9">
        <w:rPr>
          <w:rFonts w:ascii="Arial" w:hAnsi="Arial" w:cs="Arial"/>
          <w:sz w:val="22"/>
          <w:szCs w:val="22"/>
        </w:rPr>
        <w:t>smluv, vedeném dle zákona č. 340/2015 Sb.,</w:t>
      </w:r>
    </w:p>
    <w:p w14:paraId="7CD86F72" w14:textId="77777777" w:rsidR="0026138D" w:rsidRPr="005123A9" w:rsidRDefault="0026138D" w:rsidP="0026138D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o registru smluv, dne</w:t>
      </w:r>
    </w:p>
    <w:p w14:paraId="16386326" w14:textId="77777777" w:rsidR="0026138D" w:rsidRPr="005123A9" w:rsidRDefault="0026138D" w:rsidP="0026138D">
      <w:pPr>
        <w:jc w:val="both"/>
        <w:rPr>
          <w:rFonts w:ascii="Arial" w:hAnsi="Arial" w:cs="Arial"/>
          <w:sz w:val="22"/>
          <w:szCs w:val="22"/>
        </w:rPr>
      </w:pPr>
    </w:p>
    <w:p w14:paraId="0C4070AA" w14:textId="77777777" w:rsidR="0026138D" w:rsidRPr="005123A9" w:rsidRDefault="0026138D" w:rsidP="0026138D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1F2EE4A7" w14:textId="77777777" w:rsidR="0026138D" w:rsidRPr="005123A9" w:rsidRDefault="0026138D" w:rsidP="0026138D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datum registrace</w:t>
      </w:r>
    </w:p>
    <w:p w14:paraId="6506ABAA" w14:textId="77777777" w:rsidR="0026138D" w:rsidRPr="005123A9" w:rsidRDefault="0026138D" w:rsidP="0026138D">
      <w:pPr>
        <w:jc w:val="both"/>
        <w:rPr>
          <w:rFonts w:ascii="Arial" w:hAnsi="Arial" w:cs="Arial"/>
          <w:i/>
          <w:sz w:val="22"/>
          <w:szCs w:val="22"/>
        </w:rPr>
      </w:pPr>
    </w:p>
    <w:p w14:paraId="4BF48029" w14:textId="77777777" w:rsidR="0026138D" w:rsidRPr="005123A9" w:rsidRDefault="0026138D" w:rsidP="0026138D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7DE571D8" w14:textId="77777777" w:rsidR="0026138D" w:rsidRPr="005123A9" w:rsidRDefault="0026138D" w:rsidP="0026138D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ID smlouvy</w:t>
      </w:r>
    </w:p>
    <w:p w14:paraId="664D5A36" w14:textId="77777777" w:rsidR="0026138D" w:rsidRDefault="0026138D" w:rsidP="0026138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08AB570" w14:textId="77777777" w:rsidR="0026138D" w:rsidRDefault="0026138D" w:rsidP="002613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45F7224" w14:textId="77777777" w:rsidR="0026138D" w:rsidRDefault="0026138D" w:rsidP="002613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CAA8A7E" w14:textId="77777777" w:rsidR="0026138D" w:rsidRPr="005123A9" w:rsidRDefault="0026138D" w:rsidP="0026138D">
      <w:pPr>
        <w:jc w:val="both"/>
        <w:rPr>
          <w:rFonts w:ascii="Arial" w:hAnsi="Arial" w:cs="Arial"/>
          <w:sz w:val="22"/>
          <w:szCs w:val="22"/>
        </w:rPr>
      </w:pPr>
    </w:p>
    <w:p w14:paraId="3590058D" w14:textId="77777777" w:rsidR="0026138D" w:rsidRPr="005123A9" w:rsidRDefault="0026138D" w:rsidP="0026138D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7131BCC6" w14:textId="77777777" w:rsidR="0026138D" w:rsidRPr="005123A9" w:rsidRDefault="0026138D" w:rsidP="0026138D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registraci provedl</w:t>
      </w:r>
    </w:p>
    <w:p w14:paraId="1C23EDDF" w14:textId="77777777" w:rsidR="0026138D" w:rsidRPr="005123A9" w:rsidRDefault="0026138D" w:rsidP="0026138D">
      <w:pPr>
        <w:jc w:val="both"/>
        <w:rPr>
          <w:rFonts w:ascii="Arial" w:hAnsi="Arial" w:cs="Arial"/>
          <w:sz w:val="22"/>
          <w:szCs w:val="22"/>
        </w:rPr>
      </w:pPr>
    </w:p>
    <w:p w14:paraId="296933E5" w14:textId="77777777" w:rsidR="0026138D" w:rsidRPr="005123A9" w:rsidRDefault="0026138D" w:rsidP="0026138D">
      <w:pPr>
        <w:jc w:val="both"/>
        <w:rPr>
          <w:rFonts w:ascii="Arial" w:hAnsi="Arial" w:cs="Arial"/>
          <w:sz w:val="22"/>
          <w:szCs w:val="22"/>
        </w:rPr>
      </w:pPr>
    </w:p>
    <w:p w14:paraId="43F88E4A" w14:textId="6DC91C6A" w:rsidR="0026138D" w:rsidRPr="005123A9" w:rsidRDefault="0026138D" w:rsidP="0026138D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 </w:t>
      </w:r>
      <w:r w:rsidR="009422B1">
        <w:rPr>
          <w:rFonts w:ascii="Arial" w:hAnsi="Arial" w:cs="Arial"/>
          <w:sz w:val="22"/>
          <w:szCs w:val="22"/>
        </w:rPr>
        <w:t>Praze</w:t>
      </w:r>
      <w:r w:rsidRPr="005123A9">
        <w:rPr>
          <w:rFonts w:ascii="Arial" w:hAnsi="Arial" w:cs="Arial"/>
          <w:sz w:val="22"/>
          <w:szCs w:val="22"/>
        </w:rPr>
        <w:tab/>
      </w:r>
      <w:r w:rsidRPr="005123A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1778C45" w14:textId="77777777" w:rsidR="0026138D" w:rsidRPr="005123A9" w:rsidRDefault="0026138D" w:rsidP="0026138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ab/>
        <w:t>podpis odpovědného</w:t>
      </w:r>
    </w:p>
    <w:p w14:paraId="524CEF4F" w14:textId="77777777" w:rsidR="0026138D" w:rsidRPr="005123A9" w:rsidRDefault="0026138D" w:rsidP="0026138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dne ………………</w:t>
      </w:r>
      <w:r w:rsidRPr="005123A9">
        <w:rPr>
          <w:rFonts w:ascii="Arial" w:hAnsi="Arial" w:cs="Arial"/>
          <w:sz w:val="22"/>
          <w:szCs w:val="22"/>
        </w:rPr>
        <w:tab/>
        <w:t>zaměstnance</w:t>
      </w:r>
    </w:p>
    <w:p w14:paraId="6C858509" w14:textId="77777777" w:rsidR="0026138D" w:rsidRPr="0079123C" w:rsidRDefault="0026138D" w:rsidP="0072729F">
      <w:pPr>
        <w:widowControl/>
        <w:rPr>
          <w:rFonts w:ascii="Arial" w:hAnsi="Arial" w:cs="Arial"/>
          <w:sz w:val="22"/>
          <w:szCs w:val="22"/>
        </w:rPr>
      </w:pPr>
    </w:p>
    <w:sectPr w:rsidR="0026138D" w:rsidRPr="0079123C">
      <w:headerReference w:type="default" r:id="rId8"/>
      <w:type w:val="continuous"/>
      <w:pgSz w:w="11907" w:h="16840"/>
      <w:pgMar w:top="1418" w:right="1304" w:bottom="851" w:left="1304" w:header="706" w:footer="706" w:gutter="0"/>
      <w:paperSrc w:first="273" w:other="273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1D819" w14:textId="77777777" w:rsidR="00C2379C" w:rsidRDefault="00C2379C">
      <w:r>
        <w:separator/>
      </w:r>
    </w:p>
  </w:endnote>
  <w:endnote w:type="continuationSeparator" w:id="0">
    <w:p w14:paraId="5FF40179" w14:textId="77777777" w:rsidR="00C2379C" w:rsidRDefault="00C2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82AD3" w14:textId="77777777" w:rsidR="00C2379C" w:rsidRDefault="00C2379C">
      <w:r>
        <w:separator/>
      </w:r>
    </w:p>
  </w:footnote>
  <w:footnote w:type="continuationSeparator" w:id="0">
    <w:p w14:paraId="6A08E923" w14:textId="77777777" w:rsidR="00C2379C" w:rsidRDefault="00C23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54AB5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E15DC"/>
    <w:multiLevelType w:val="hybridMultilevel"/>
    <w:tmpl w:val="FFFFFFFF"/>
    <w:lvl w:ilvl="0" w:tplc="F118E99A">
      <w:start w:val="1"/>
      <w:numFmt w:val="decimal"/>
      <w:lvlText w:val="%1)"/>
      <w:lvlJc w:val="left"/>
      <w:pPr>
        <w:ind w:left="1146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27907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3441D"/>
    <w:rsid w:val="00052299"/>
    <w:rsid w:val="000776CC"/>
    <w:rsid w:val="000D6CD1"/>
    <w:rsid w:val="000E6824"/>
    <w:rsid w:val="000F78EE"/>
    <w:rsid w:val="002176E7"/>
    <w:rsid w:val="00241B55"/>
    <w:rsid w:val="00261220"/>
    <w:rsid w:val="0026138D"/>
    <w:rsid w:val="00293935"/>
    <w:rsid w:val="002B23B0"/>
    <w:rsid w:val="002D145F"/>
    <w:rsid w:val="002F27F9"/>
    <w:rsid w:val="003063A1"/>
    <w:rsid w:val="00324DC3"/>
    <w:rsid w:val="0033540D"/>
    <w:rsid w:val="00365707"/>
    <w:rsid w:val="0039372D"/>
    <w:rsid w:val="003C2542"/>
    <w:rsid w:val="003E3AFD"/>
    <w:rsid w:val="003F64D6"/>
    <w:rsid w:val="0040469D"/>
    <w:rsid w:val="004157F8"/>
    <w:rsid w:val="00421E50"/>
    <w:rsid w:val="00475745"/>
    <w:rsid w:val="00497DF9"/>
    <w:rsid w:val="004A6EA9"/>
    <w:rsid w:val="004C2B00"/>
    <w:rsid w:val="004D30F7"/>
    <w:rsid w:val="004F2F20"/>
    <w:rsid w:val="005123A9"/>
    <w:rsid w:val="00533D85"/>
    <w:rsid w:val="005755C0"/>
    <w:rsid w:val="00592656"/>
    <w:rsid w:val="005C24BD"/>
    <w:rsid w:val="006704D9"/>
    <w:rsid w:val="006B4632"/>
    <w:rsid w:val="006B50E6"/>
    <w:rsid w:val="006C5721"/>
    <w:rsid w:val="006F7CA1"/>
    <w:rsid w:val="00704620"/>
    <w:rsid w:val="0072729F"/>
    <w:rsid w:val="00732ED9"/>
    <w:rsid w:val="007356D6"/>
    <w:rsid w:val="0079123C"/>
    <w:rsid w:val="007C4BBA"/>
    <w:rsid w:val="007D272A"/>
    <w:rsid w:val="00805A23"/>
    <w:rsid w:val="00820886"/>
    <w:rsid w:val="0083465B"/>
    <w:rsid w:val="00841933"/>
    <w:rsid w:val="00884425"/>
    <w:rsid w:val="00890405"/>
    <w:rsid w:val="008A2F49"/>
    <w:rsid w:val="008B368B"/>
    <w:rsid w:val="008C71FB"/>
    <w:rsid w:val="008D1FAA"/>
    <w:rsid w:val="008E7C9F"/>
    <w:rsid w:val="008F4DE0"/>
    <w:rsid w:val="008F77C9"/>
    <w:rsid w:val="00901CBA"/>
    <w:rsid w:val="009422B1"/>
    <w:rsid w:val="0095345E"/>
    <w:rsid w:val="0095440B"/>
    <w:rsid w:val="009B3C3D"/>
    <w:rsid w:val="009F119B"/>
    <w:rsid w:val="00A02271"/>
    <w:rsid w:val="00A07139"/>
    <w:rsid w:val="00A27BD5"/>
    <w:rsid w:val="00A31A8A"/>
    <w:rsid w:val="00A31C3B"/>
    <w:rsid w:val="00A7106F"/>
    <w:rsid w:val="00A74A00"/>
    <w:rsid w:val="00A80843"/>
    <w:rsid w:val="00A925D2"/>
    <w:rsid w:val="00A94DF0"/>
    <w:rsid w:val="00A956B5"/>
    <w:rsid w:val="00AE242D"/>
    <w:rsid w:val="00AE5523"/>
    <w:rsid w:val="00B1036E"/>
    <w:rsid w:val="00B35495"/>
    <w:rsid w:val="00BE6D47"/>
    <w:rsid w:val="00C2379C"/>
    <w:rsid w:val="00C36725"/>
    <w:rsid w:val="00C37C29"/>
    <w:rsid w:val="00C45C8B"/>
    <w:rsid w:val="00C51253"/>
    <w:rsid w:val="00C9419D"/>
    <w:rsid w:val="00CB2467"/>
    <w:rsid w:val="00CD65C5"/>
    <w:rsid w:val="00D13B29"/>
    <w:rsid w:val="00D14469"/>
    <w:rsid w:val="00D260C8"/>
    <w:rsid w:val="00D31A10"/>
    <w:rsid w:val="00D8025C"/>
    <w:rsid w:val="00D8726C"/>
    <w:rsid w:val="00DA06D6"/>
    <w:rsid w:val="00DA30EB"/>
    <w:rsid w:val="00DE41F5"/>
    <w:rsid w:val="00DF2489"/>
    <w:rsid w:val="00DF6B80"/>
    <w:rsid w:val="00E00620"/>
    <w:rsid w:val="00E11D7C"/>
    <w:rsid w:val="00E450AB"/>
    <w:rsid w:val="00E916FE"/>
    <w:rsid w:val="00EC2D63"/>
    <w:rsid w:val="00EC576D"/>
    <w:rsid w:val="00F44FEF"/>
    <w:rsid w:val="00F56393"/>
    <w:rsid w:val="00F81A68"/>
    <w:rsid w:val="00FA2A19"/>
    <w:rsid w:val="00FA7CA4"/>
    <w:rsid w:val="00FE2B19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40840B"/>
  <w14:defaultImageDpi w14:val="0"/>
  <w15:docId w15:val="{CDBA5A6D-4165-40B5-8937-0E831F5F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iPriority w:val="99"/>
    <w:unhideWhenUsed/>
    <w:rsid w:val="00E450A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zev">
    <w:name w:val="Title"/>
    <w:aliases w:val="text"/>
    <w:basedOn w:val="Normln"/>
    <w:next w:val="Normln"/>
    <w:link w:val="NzevChar"/>
    <w:uiPriority w:val="10"/>
    <w:qFormat/>
    <w:rsid w:val="00890405"/>
    <w:pPr>
      <w:widowControl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autoSpaceDE/>
      <w:autoSpaceDN/>
      <w:adjustRightInd/>
      <w:contextualSpacing/>
      <w:jc w:val="both"/>
    </w:pPr>
    <w:rPr>
      <w:rFonts w:ascii="Arial" w:hAnsi="Arial"/>
      <w:kern w:val="28"/>
      <w:szCs w:val="56"/>
      <w:u w:color="000000"/>
    </w:rPr>
  </w:style>
  <w:style w:type="character" w:customStyle="1" w:styleId="NzevChar">
    <w:name w:val="Název Char"/>
    <w:aliases w:val="text Char"/>
    <w:basedOn w:val="Standardnpsmoodstavce"/>
    <w:link w:val="Nzev"/>
    <w:uiPriority w:val="10"/>
    <w:locked/>
    <w:rsid w:val="00890405"/>
    <w:rPr>
      <w:rFonts w:ascii="Arial" w:hAnsi="Arial" w:cs="Times New Roman"/>
      <w:kern w:val="28"/>
      <w:sz w:val="56"/>
      <w:szCs w:val="56"/>
      <w:u w:color="000000"/>
    </w:rPr>
  </w:style>
  <w:style w:type="paragraph" w:customStyle="1" w:styleId="StylDoprava">
    <w:name w:val="Styl Doprava"/>
    <w:basedOn w:val="Normln"/>
    <w:rsid w:val="00D8025C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trniText0">
    <w:name w:val="VnitrniText"/>
    <w:basedOn w:val="Normln"/>
    <w:rsid w:val="009422B1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0413A-D75B-4102-9D8A-91AB7408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Talichová Iveta Bc.</dc:creator>
  <cp:keywords/>
  <dc:description/>
  <cp:lastModifiedBy>Talichová Iveta Bc.</cp:lastModifiedBy>
  <cp:revision>2</cp:revision>
  <cp:lastPrinted>2023-10-18T13:04:00Z</cp:lastPrinted>
  <dcterms:created xsi:type="dcterms:W3CDTF">2023-12-15T09:29:00Z</dcterms:created>
  <dcterms:modified xsi:type="dcterms:W3CDTF">2023-12-15T09:29:00Z</dcterms:modified>
</cp:coreProperties>
</file>