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3771" w14:textId="77777777" w:rsidR="00E948BE" w:rsidRDefault="000B1667">
      <w:pPr>
        <w:pStyle w:val="Heading210"/>
        <w:framePr w:w="9427" w:h="8037" w:hRule="exact" w:wrap="none" w:vAnchor="page" w:hAnchor="page" w:x="1101" w:y="1325"/>
        <w:shd w:val="clear" w:color="auto" w:fill="auto"/>
      </w:pPr>
      <w:bookmarkStart w:id="0" w:name="bookmark0"/>
      <w:r>
        <w:rPr>
          <w:lang w:val="en-US" w:eastAsia="en-US" w:bidi="en-US"/>
        </w:rPr>
        <w:t xml:space="preserve">RIANO Europe, </w:t>
      </w:r>
      <w:r>
        <w:t>s.r.o.</w:t>
      </w:r>
      <w:bookmarkEnd w:id="0"/>
    </w:p>
    <w:p w14:paraId="3BEDF300" w14:textId="77777777" w:rsidR="00E52760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ind w:right="4060" w:firstLine="0"/>
      </w:pPr>
      <w:r>
        <w:t xml:space="preserve">se sídlem Průmyslová 4544/1 c, 796 01 Prostějov </w:t>
      </w:r>
    </w:p>
    <w:p w14:paraId="0DEC33E4" w14:textId="77777777" w:rsidR="00E52760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ind w:right="4060" w:firstLine="0"/>
      </w:pPr>
      <w:r>
        <w:t xml:space="preserve">IČO: 02484790 </w:t>
      </w:r>
    </w:p>
    <w:p w14:paraId="55FD3772" w14:textId="663B59AD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ind w:right="4060" w:firstLine="0"/>
      </w:pPr>
      <w:r>
        <w:t>DIČ: CZ02484790</w:t>
      </w:r>
    </w:p>
    <w:p w14:paraId="55FD3773" w14:textId="48A4A92B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spacing w:after="304"/>
        <w:ind w:firstLine="0"/>
      </w:pPr>
      <w:r>
        <w:t>zapsaná v obchodním rejs</w:t>
      </w:r>
      <w:r w:rsidR="00E52760">
        <w:t>tří</w:t>
      </w:r>
      <w:r>
        <w:t>ku vedeném Krajským soudem v B</w:t>
      </w:r>
      <w:r w:rsidR="00E52760">
        <w:t>rn</w:t>
      </w:r>
      <w:r>
        <w:t xml:space="preserve">ě, oddíl C, vložka 92799 </w:t>
      </w:r>
      <w:r w:rsidR="00E52760">
        <w:t xml:space="preserve">                     </w:t>
      </w:r>
      <w:r>
        <w:t xml:space="preserve">zastoupená jednatelkou Dominikou Rozehnal Polákovou </w:t>
      </w:r>
      <w:r w:rsidR="00E52760">
        <w:t xml:space="preserve">                                                                                      </w:t>
      </w:r>
      <w:r>
        <w:t>(dále jen ,,RE“)</w:t>
      </w:r>
    </w:p>
    <w:p w14:paraId="55FD3774" w14:textId="77777777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spacing w:after="256" w:line="244" w:lineRule="exact"/>
        <w:ind w:firstLine="0"/>
      </w:pPr>
      <w:r>
        <w:t>a</w:t>
      </w:r>
    </w:p>
    <w:p w14:paraId="55FD3775" w14:textId="3E310452" w:rsidR="00E948BE" w:rsidRDefault="000B1667">
      <w:pPr>
        <w:pStyle w:val="Heading210"/>
        <w:framePr w:w="9427" w:h="8037" w:hRule="exact" w:wrap="none" w:vAnchor="page" w:hAnchor="page" w:x="1101" w:y="1325"/>
        <w:shd w:val="clear" w:color="auto" w:fill="auto"/>
      </w:pPr>
      <w:bookmarkStart w:id="1" w:name="bookmark1"/>
      <w:r>
        <w:t>Hudební divadlo v Karl</w:t>
      </w:r>
      <w:r w:rsidR="00E52760">
        <w:t>í</w:t>
      </w:r>
      <w:r>
        <w:t>ně, příspěvková organizace</w:t>
      </w:r>
      <w:bookmarkEnd w:id="1"/>
    </w:p>
    <w:p w14:paraId="2F086BBD" w14:textId="77777777" w:rsidR="00E52760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ind w:firstLine="0"/>
      </w:pPr>
      <w:r>
        <w:t xml:space="preserve">se sídlem Křižíkova 10, 186 17 Praha 8 </w:t>
      </w:r>
    </w:p>
    <w:p w14:paraId="1BF4C13B" w14:textId="77777777" w:rsidR="00E52760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ind w:firstLine="0"/>
      </w:pPr>
      <w:r>
        <w:t xml:space="preserve">IČO: 00064335 </w:t>
      </w:r>
    </w:p>
    <w:p w14:paraId="55FD3776" w14:textId="3B508B17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ind w:firstLine="0"/>
      </w:pPr>
      <w:r>
        <w:t>DIČ: CZ00064335</w:t>
      </w:r>
    </w:p>
    <w:p w14:paraId="55FD3777" w14:textId="6A569EC5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spacing w:after="304"/>
        <w:ind w:firstLine="0"/>
      </w:pPr>
      <w:r>
        <w:t xml:space="preserve">(Dle výkladu MF ČR se příspěvkové organizace vzniklé před účinností zákona č. 250/2000 Sb., tj. před 1.1.2001, do obchodního rejstříku nezapisují) </w:t>
      </w:r>
      <w:r w:rsidR="00E52760">
        <w:t xml:space="preserve">                                                                                        </w:t>
      </w:r>
      <w:r>
        <w:t xml:space="preserve">zastoupená ředitelem divadla Egonem Kulhánkem </w:t>
      </w:r>
      <w:r w:rsidR="00E52760">
        <w:t xml:space="preserve">                                                                                          </w:t>
      </w:r>
      <w:r>
        <w:t>(dále jen ,,HDK“)</w:t>
      </w:r>
    </w:p>
    <w:p w14:paraId="55FD3778" w14:textId="77777777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spacing w:after="30" w:line="244" w:lineRule="exact"/>
        <w:ind w:firstLine="0"/>
      </w:pPr>
      <w:r>
        <w:t>uzavírají níže uvedeného dne, měsíce a roku tento</w:t>
      </w:r>
    </w:p>
    <w:p w14:paraId="55FD3779" w14:textId="044700D4" w:rsidR="00E948BE" w:rsidRDefault="000B1667">
      <w:pPr>
        <w:pStyle w:val="Heading210"/>
        <w:framePr w:w="9427" w:h="8037" w:hRule="exact" w:wrap="none" w:vAnchor="page" w:hAnchor="page" w:x="1101" w:y="1325"/>
        <w:shd w:val="clear" w:color="auto" w:fill="auto"/>
        <w:spacing w:line="557" w:lineRule="exact"/>
        <w:ind w:right="20"/>
        <w:jc w:val="center"/>
      </w:pPr>
      <w:bookmarkStart w:id="2" w:name="bookmark2"/>
      <w:r>
        <w:t>dodatek č.</w:t>
      </w:r>
      <w:r w:rsidR="00E52760">
        <w:t xml:space="preserve"> 1</w:t>
      </w:r>
      <w:r>
        <w:t xml:space="preserve"> ke Smlouvě ze dne 3.1.2023:</w:t>
      </w:r>
      <w:bookmarkEnd w:id="2"/>
    </w:p>
    <w:p w14:paraId="55FD377A" w14:textId="5558C601" w:rsidR="00E948BE" w:rsidRPr="00E52760" w:rsidRDefault="000B1667">
      <w:pPr>
        <w:pStyle w:val="Heading220"/>
        <w:framePr w:w="9427" w:h="8037" w:hRule="exact" w:wrap="none" w:vAnchor="page" w:hAnchor="page" w:x="1101" w:y="1325"/>
        <w:shd w:val="clear" w:color="auto" w:fill="auto"/>
        <w:ind w:right="20"/>
        <w:rPr>
          <w:sz w:val="24"/>
          <w:szCs w:val="24"/>
        </w:rPr>
      </w:pPr>
      <w:bookmarkStart w:id="3" w:name="bookmark3"/>
      <w:r w:rsidRPr="00E52760">
        <w:rPr>
          <w:sz w:val="24"/>
          <w:szCs w:val="24"/>
        </w:rPr>
        <w:t>Č</w:t>
      </w:r>
      <w:r w:rsidR="00E52760" w:rsidRPr="00E52760">
        <w:rPr>
          <w:sz w:val="24"/>
          <w:szCs w:val="24"/>
        </w:rPr>
        <w:t>l</w:t>
      </w:r>
      <w:r w:rsidRPr="00E52760">
        <w:rPr>
          <w:sz w:val="24"/>
          <w:szCs w:val="24"/>
        </w:rPr>
        <w:t>. I.</w:t>
      </w:r>
      <w:bookmarkEnd w:id="3"/>
    </w:p>
    <w:p w14:paraId="55FD377B" w14:textId="77777777" w:rsidR="00E948BE" w:rsidRDefault="000B1667">
      <w:pPr>
        <w:pStyle w:val="Heading210"/>
        <w:framePr w:w="9427" w:h="8037" w:hRule="exact" w:wrap="none" w:vAnchor="page" w:hAnchor="page" w:x="1101" w:y="1325"/>
        <w:shd w:val="clear" w:color="auto" w:fill="auto"/>
        <w:spacing w:after="266" w:line="266" w:lineRule="exact"/>
        <w:ind w:right="20"/>
        <w:jc w:val="center"/>
      </w:pPr>
      <w:bookmarkStart w:id="4" w:name="bookmark4"/>
      <w:r>
        <w:t>Předmět dodatku</w:t>
      </w:r>
      <w:bookmarkEnd w:id="4"/>
    </w:p>
    <w:p w14:paraId="55FD377C" w14:textId="77777777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spacing w:line="283" w:lineRule="exact"/>
        <w:ind w:firstLine="0"/>
      </w:pPr>
      <w:r>
        <w:t xml:space="preserve">Předmětem tohoto dodatku je úprava znění článků II., </w:t>
      </w:r>
      <w:r>
        <w:rPr>
          <w:lang w:val="en-US" w:eastAsia="en-US" w:bidi="en-US"/>
        </w:rPr>
        <w:t xml:space="preserve">III. a </w:t>
      </w:r>
      <w:r>
        <w:t>IV. Smlouvy. Ostatní ustanovení zůstávají nezměněna.</w:t>
      </w:r>
    </w:p>
    <w:p w14:paraId="55FD377D" w14:textId="77777777" w:rsidR="00E948BE" w:rsidRDefault="000B1667">
      <w:pPr>
        <w:pStyle w:val="Bodytext20"/>
        <w:framePr w:w="9427" w:h="8037" w:hRule="exact" w:wrap="none" w:vAnchor="page" w:hAnchor="page" w:x="1101" w:y="1325"/>
        <w:shd w:val="clear" w:color="auto" w:fill="auto"/>
        <w:spacing w:line="283" w:lineRule="exact"/>
        <w:ind w:firstLine="0"/>
      </w:pPr>
      <w:r>
        <w:t xml:space="preserve">Články II., III. </w:t>
      </w:r>
      <w:r>
        <w:rPr>
          <w:lang w:val="en-US" w:eastAsia="en-US" w:bidi="en-US"/>
        </w:rPr>
        <w:t xml:space="preserve">a </w:t>
      </w:r>
      <w:r>
        <w:t>IV. mají nově toto znění.</w:t>
      </w:r>
    </w:p>
    <w:p w14:paraId="55FD377E" w14:textId="77777777" w:rsidR="00E948BE" w:rsidRDefault="000B1667">
      <w:pPr>
        <w:pStyle w:val="Heading210"/>
        <w:framePr w:w="9427" w:h="5582" w:hRule="exact" w:wrap="none" w:vAnchor="page" w:hAnchor="page" w:x="1101" w:y="9584"/>
        <w:shd w:val="clear" w:color="auto" w:fill="auto"/>
        <w:spacing w:line="266" w:lineRule="exact"/>
        <w:ind w:right="20"/>
        <w:jc w:val="center"/>
      </w:pPr>
      <w:bookmarkStart w:id="5" w:name="bookmark5"/>
      <w:r>
        <w:t>ČI. II.</w:t>
      </w:r>
      <w:bookmarkEnd w:id="5"/>
    </w:p>
    <w:p w14:paraId="55FD377F" w14:textId="77777777" w:rsidR="00E948BE" w:rsidRDefault="000B1667">
      <w:pPr>
        <w:pStyle w:val="Heading210"/>
        <w:framePr w:w="9427" w:h="5582" w:hRule="exact" w:wrap="none" w:vAnchor="page" w:hAnchor="page" w:x="1101" w:y="9584"/>
        <w:shd w:val="clear" w:color="auto" w:fill="auto"/>
        <w:spacing w:after="278" w:line="266" w:lineRule="exact"/>
        <w:ind w:right="20"/>
        <w:jc w:val="center"/>
      </w:pPr>
      <w:bookmarkStart w:id="6" w:name="bookmark6"/>
      <w:r>
        <w:t>Plnění HDK</w:t>
      </w:r>
      <w:bookmarkEnd w:id="6"/>
    </w:p>
    <w:p w14:paraId="55FD3780" w14:textId="4441E812" w:rsidR="00E948BE" w:rsidRDefault="000B1667">
      <w:pPr>
        <w:pStyle w:val="Bodytext20"/>
        <w:framePr w:w="9427" w:h="5582" w:hRule="exact" w:wrap="none" w:vAnchor="page" w:hAnchor="page" w:x="1101" w:y="9584"/>
        <w:shd w:val="clear" w:color="auto" w:fill="auto"/>
        <w:spacing w:line="269" w:lineRule="exact"/>
        <w:ind w:firstLine="0"/>
      </w:pPr>
      <w:r>
        <w:t xml:space="preserve">HDK se zavazuje poskytnout RE dále uvedené služby a plnění v celkové hodnotě </w:t>
      </w:r>
      <w:r>
        <w:rPr>
          <w:lang w:val="en-US" w:eastAsia="en-US" w:bidi="en-US"/>
        </w:rPr>
        <w:t xml:space="preserve">max. </w:t>
      </w:r>
      <w:proofErr w:type="spellStart"/>
      <w:r w:rsidR="00A23DF9">
        <w:t>xx</w:t>
      </w:r>
      <w:proofErr w:type="spellEnd"/>
      <w:r>
        <w:t xml:space="preserve"> Kč plus DPH:</w:t>
      </w:r>
    </w:p>
    <w:p w14:paraId="55FD3781" w14:textId="77777777" w:rsidR="00E948BE" w:rsidRDefault="000B1667">
      <w:pPr>
        <w:pStyle w:val="Bodytext20"/>
        <w:framePr w:w="9427" w:h="5582" w:hRule="exact" w:wrap="none" w:vAnchor="page" w:hAnchor="page" w:x="1101" w:y="9584"/>
        <w:shd w:val="clear" w:color="auto" w:fill="auto"/>
        <w:spacing w:line="269" w:lineRule="exact"/>
        <w:ind w:left="740" w:firstLine="0"/>
        <w:jc w:val="both"/>
      </w:pPr>
      <w:r>
        <w:t>inzerci v rozsahu 1/2 A4 v premiérovém programu nového titulu včetně průběžného doplňování inzerátu do reedic programů představení již uváděných titulů; aktuální inzerát vždy konzultovat se smluvní stranou</w:t>
      </w:r>
    </w:p>
    <w:p w14:paraId="55FD3782" w14:textId="77777777" w:rsidR="00E948BE" w:rsidRPr="00E52760" w:rsidRDefault="000B1667">
      <w:pPr>
        <w:pStyle w:val="Heading110"/>
        <w:framePr w:w="9427" w:h="5582" w:hRule="exact" w:wrap="none" w:vAnchor="page" w:hAnchor="page" w:x="1101" w:y="9584"/>
        <w:numPr>
          <w:ilvl w:val="0"/>
          <w:numId w:val="1"/>
        </w:numPr>
        <w:shd w:val="clear" w:color="auto" w:fill="auto"/>
        <w:tabs>
          <w:tab w:val="left" w:pos="759"/>
        </w:tabs>
        <w:ind w:left="740"/>
        <w:rPr>
          <w:b w:val="0"/>
        </w:rPr>
      </w:pPr>
      <w:bookmarkStart w:id="7" w:name="bookmark7"/>
      <w:r w:rsidRPr="00E52760">
        <w:rPr>
          <w:b w:val="0"/>
        </w:rPr>
        <w:t>poskytnutí prosklené a prosvětlené vitríny v diváckých prostorách pro prezentaci výrobků</w:t>
      </w:r>
      <w:bookmarkEnd w:id="7"/>
    </w:p>
    <w:p w14:paraId="55FD3783" w14:textId="77777777" w:rsidR="00E948BE" w:rsidRDefault="000B1667">
      <w:pPr>
        <w:pStyle w:val="Bodytext20"/>
        <w:framePr w:w="9427" w:h="5582" w:hRule="exact" w:wrap="none" w:vAnchor="page" w:hAnchor="page" w:x="1101" w:y="9584"/>
        <w:shd w:val="clear" w:color="auto" w:fill="auto"/>
        <w:tabs>
          <w:tab w:val="left" w:pos="1095"/>
        </w:tabs>
        <w:spacing w:line="269" w:lineRule="exact"/>
        <w:ind w:left="740" w:firstLine="0"/>
        <w:jc w:val="both"/>
      </w:pPr>
      <w:r>
        <w:t>značky FLORMAR po celou dobu trvání smlouvy</w:t>
      </w:r>
    </w:p>
    <w:p w14:paraId="55FD3784" w14:textId="77777777" w:rsidR="00E948BE" w:rsidRDefault="000B1667">
      <w:pPr>
        <w:pStyle w:val="Bodytext20"/>
        <w:framePr w:w="9427" w:h="5582" w:hRule="exact" w:wrap="none" w:vAnchor="page" w:hAnchor="page" w:x="1101" w:y="9584"/>
        <w:numPr>
          <w:ilvl w:val="0"/>
          <w:numId w:val="1"/>
        </w:numPr>
        <w:shd w:val="clear" w:color="auto" w:fill="auto"/>
        <w:tabs>
          <w:tab w:val="left" w:pos="759"/>
        </w:tabs>
        <w:spacing w:line="269" w:lineRule="exact"/>
        <w:ind w:left="740"/>
      </w:pPr>
      <w:r>
        <w:t xml:space="preserve">aktivní logo (proklik) na </w:t>
      </w:r>
      <w:hyperlink r:id="rId7" w:history="1">
        <w:r>
          <w:rPr>
            <w:rStyle w:val="Bodytext21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v sekci partneři</w:t>
      </w:r>
    </w:p>
    <w:p w14:paraId="55FD3785" w14:textId="77777777" w:rsidR="00E948BE" w:rsidRDefault="000B1667">
      <w:pPr>
        <w:pStyle w:val="Bodytext20"/>
        <w:framePr w:w="9427" w:h="5582" w:hRule="exact" w:wrap="none" w:vAnchor="page" w:hAnchor="page" w:x="1101" w:y="9584"/>
        <w:shd w:val="clear" w:color="auto" w:fill="auto"/>
        <w:spacing w:line="288" w:lineRule="exact"/>
        <w:ind w:left="740" w:firstLine="0"/>
        <w:jc w:val="both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14:paraId="55FD3786" w14:textId="77777777" w:rsidR="00E948BE" w:rsidRDefault="000B1667">
      <w:pPr>
        <w:pStyle w:val="Bodytext20"/>
        <w:framePr w:w="9427" w:h="5582" w:hRule="exact" w:wrap="none" w:vAnchor="page" w:hAnchor="page" w:x="1101" w:y="9584"/>
        <w:shd w:val="clear" w:color="auto" w:fill="auto"/>
        <w:spacing w:line="283" w:lineRule="exact"/>
        <w:ind w:left="740" w:firstLine="0"/>
        <w:jc w:val="both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14:paraId="7DC9EA0F" w14:textId="10961E34" w:rsidR="00E52760" w:rsidRDefault="000B1667">
      <w:pPr>
        <w:pStyle w:val="Bodytext20"/>
        <w:framePr w:w="9427" w:h="5582" w:hRule="exact" w:wrap="none" w:vAnchor="page" w:hAnchor="page" w:x="1101" w:y="9584"/>
        <w:numPr>
          <w:ilvl w:val="0"/>
          <w:numId w:val="1"/>
        </w:numPr>
        <w:shd w:val="clear" w:color="auto" w:fill="auto"/>
        <w:tabs>
          <w:tab w:val="left" w:pos="759"/>
        </w:tabs>
        <w:spacing w:line="283" w:lineRule="exact"/>
        <w:ind w:left="740"/>
      </w:pPr>
      <w:r>
        <w:t>logo na programových letácích distribuovaných cca 5x ročně, vždy v nákladu cca 18</w:t>
      </w:r>
      <w:r w:rsidR="00E52760">
        <w:t xml:space="preserve"> 000 </w:t>
      </w:r>
      <w:r>
        <w:t xml:space="preserve">ks </w:t>
      </w:r>
    </w:p>
    <w:p w14:paraId="55FD3787" w14:textId="67ECAD86" w:rsidR="00E948BE" w:rsidRDefault="000B1667">
      <w:pPr>
        <w:pStyle w:val="Bodytext20"/>
        <w:framePr w:w="9427" w:h="5582" w:hRule="exact" w:wrap="none" w:vAnchor="page" w:hAnchor="page" w:x="1101" w:y="9584"/>
        <w:numPr>
          <w:ilvl w:val="0"/>
          <w:numId w:val="1"/>
        </w:numPr>
        <w:shd w:val="clear" w:color="auto" w:fill="auto"/>
        <w:tabs>
          <w:tab w:val="left" w:pos="759"/>
        </w:tabs>
        <w:spacing w:line="283" w:lineRule="exact"/>
        <w:ind w:left="740"/>
      </w:pPr>
      <w:r>
        <w:t>logo na inzerátech v tiskovinách uveřejňovaných po dobu trvání smlouvy</w:t>
      </w:r>
    </w:p>
    <w:p w14:paraId="55FD3788" w14:textId="77777777" w:rsidR="00E948BE" w:rsidRDefault="000B1667">
      <w:pPr>
        <w:pStyle w:val="Bodytext20"/>
        <w:framePr w:w="9427" w:h="5582" w:hRule="exact" w:wrap="none" w:vAnchor="page" w:hAnchor="page" w:x="1101" w:y="9584"/>
        <w:shd w:val="clear" w:color="auto" w:fill="auto"/>
        <w:spacing w:line="283" w:lineRule="exact"/>
        <w:ind w:left="740" w:firstLine="0"/>
        <w:jc w:val="both"/>
      </w:pPr>
      <w:r>
        <w:t xml:space="preserve">účast firmy na všech </w:t>
      </w:r>
      <w:r>
        <w:rPr>
          <w:lang w:val="en-US" w:eastAsia="en-US" w:bidi="en-US"/>
        </w:rPr>
        <w:t xml:space="preserve">promo </w:t>
      </w:r>
      <w:r>
        <w:t>akcích HDK (sportovně společenské akce), cca 2x za rok</w:t>
      </w:r>
    </w:p>
    <w:p w14:paraId="55FD3789" w14:textId="77777777" w:rsidR="00E948BE" w:rsidRDefault="000B1667">
      <w:pPr>
        <w:pStyle w:val="Bodytext20"/>
        <w:framePr w:w="9427" w:h="5582" w:hRule="exact" w:wrap="none" w:vAnchor="page" w:hAnchor="page" w:x="1101" w:y="9584"/>
        <w:numPr>
          <w:ilvl w:val="0"/>
          <w:numId w:val="1"/>
        </w:numPr>
        <w:shd w:val="clear" w:color="auto" w:fill="auto"/>
        <w:tabs>
          <w:tab w:val="left" w:pos="759"/>
        </w:tabs>
        <w:spacing w:line="283" w:lineRule="exact"/>
        <w:ind w:left="740"/>
      </w:pPr>
      <w:proofErr w:type="spellStart"/>
      <w:r>
        <w:t>V.l.P</w:t>
      </w:r>
      <w:proofErr w:type="spellEnd"/>
      <w:r>
        <w:t>. vstupenky na premiérové představení, 4 ks na každou jednu premiéru</w:t>
      </w:r>
    </w:p>
    <w:p w14:paraId="55FD378A" w14:textId="77777777" w:rsidR="00E948BE" w:rsidRDefault="000B1667">
      <w:pPr>
        <w:pStyle w:val="Bodytext20"/>
        <w:framePr w:w="9427" w:h="5582" w:hRule="exact" w:wrap="none" w:vAnchor="page" w:hAnchor="page" w:x="1101" w:y="9584"/>
        <w:shd w:val="clear" w:color="auto" w:fill="auto"/>
        <w:spacing w:line="283" w:lineRule="exact"/>
        <w:ind w:left="740" w:firstLine="0"/>
        <w:jc w:val="both"/>
      </w:pPr>
      <w:r>
        <w:t>HDK si vyhrazuje právo neumístit/nepromítat/netisknout materiály, které by byly v rozporu se zájmy HDK nebo ho jinak poškozovaly jako kulturní instituci.</w:t>
      </w:r>
    </w:p>
    <w:p w14:paraId="55FD378B" w14:textId="77777777" w:rsidR="00E948BE" w:rsidRDefault="00E948BE">
      <w:pPr>
        <w:rPr>
          <w:sz w:val="2"/>
          <w:szCs w:val="2"/>
        </w:rPr>
        <w:sectPr w:rsidR="00E948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FD378C" w14:textId="4450760E" w:rsidR="00E948BE" w:rsidRDefault="000B1667">
      <w:pPr>
        <w:pStyle w:val="Bodytext30"/>
        <w:framePr w:w="9461" w:h="613" w:hRule="exact" w:wrap="none" w:vAnchor="page" w:hAnchor="page" w:x="1084" w:y="1722"/>
        <w:shd w:val="clear" w:color="auto" w:fill="auto"/>
        <w:spacing w:after="0"/>
        <w:ind w:right="40"/>
      </w:pPr>
      <w:r>
        <w:lastRenderedPageBreak/>
        <w:t>Č</w:t>
      </w:r>
      <w:r w:rsidR="006C129A">
        <w:t>l</w:t>
      </w:r>
      <w:r>
        <w:t xml:space="preserve">. </w:t>
      </w:r>
      <w:r>
        <w:rPr>
          <w:lang w:val="en-US" w:eastAsia="en-US" w:bidi="en-US"/>
        </w:rPr>
        <w:t>III.</w:t>
      </w:r>
      <w:r>
        <w:rPr>
          <w:lang w:val="en-US" w:eastAsia="en-US" w:bidi="en-US"/>
        </w:rPr>
        <w:br/>
      </w:r>
      <w:r>
        <w:t>Plnění RE</w:t>
      </w:r>
    </w:p>
    <w:p w14:paraId="55FD378D" w14:textId="128D2EBC" w:rsidR="00E948BE" w:rsidRDefault="000B1667">
      <w:pPr>
        <w:pStyle w:val="Bodytext20"/>
        <w:framePr w:w="9461" w:h="1170" w:hRule="exact" w:wrap="none" w:vAnchor="page" w:hAnchor="page" w:x="1084" w:y="2545"/>
        <w:shd w:val="clear" w:color="auto" w:fill="auto"/>
        <w:spacing w:line="278" w:lineRule="exact"/>
        <w:ind w:left="780" w:firstLine="0"/>
        <w:jc w:val="both"/>
      </w:pPr>
      <w:r>
        <w:t xml:space="preserve">poskytnout pro potřeby maskérny HDK produkty značky „FLORMAR“ dle výběru HDK. Celková hodnota plnění činí </w:t>
      </w:r>
      <w:r>
        <w:rPr>
          <w:lang w:val="en-US" w:eastAsia="en-US" w:bidi="en-US"/>
        </w:rPr>
        <w:t xml:space="preserve">max. </w:t>
      </w:r>
      <w:proofErr w:type="spellStart"/>
      <w:r w:rsidR="00A23DF9">
        <w:t>xx</w:t>
      </w:r>
      <w:proofErr w:type="spellEnd"/>
      <w:r>
        <w:t>,- Kč plus DPH.</w:t>
      </w:r>
    </w:p>
    <w:p w14:paraId="55FD378E" w14:textId="77777777" w:rsidR="00E948BE" w:rsidRDefault="000B1667">
      <w:pPr>
        <w:pStyle w:val="Bodytext20"/>
        <w:framePr w:w="9461" w:h="1170" w:hRule="exact" w:wrap="none" w:vAnchor="page" w:hAnchor="page" w:x="1084" w:y="2545"/>
        <w:shd w:val="clear" w:color="auto" w:fill="auto"/>
        <w:spacing w:line="288" w:lineRule="exact"/>
        <w:ind w:left="780" w:firstLine="0"/>
        <w:jc w:val="both"/>
      </w:pPr>
      <w:r>
        <w:t>pro plnění služeb ze strany HDK uplatnit vlastní požadavky a poskytnout podklady v dostatečném časovém předstihu.</w:t>
      </w:r>
    </w:p>
    <w:p w14:paraId="55FD378F" w14:textId="03CC342D" w:rsidR="00E948BE" w:rsidRDefault="000B1667">
      <w:pPr>
        <w:pStyle w:val="Bodytext30"/>
        <w:framePr w:w="9461" w:h="619" w:hRule="exact" w:wrap="none" w:vAnchor="page" w:hAnchor="page" w:x="1084" w:y="3911"/>
        <w:shd w:val="clear" w:color="auto" w:fill="auto"/>
        <w:spacing w:after="0" w:line="266" w:lineRule="exact"/>
        <w:ind w:right="40"/>
      </w:pPr>
      <w:r>
        <w:t>Č</w:t>
      </w:r>
      <w:r w:rsidR="006C129A">
        <w:t>l</w:t>
      </w:r>
      <w:r>
        <w:t>. IV.</w:t>
      </w:r>
    </w:p>
    <w:p w14:paraId="55FD3790" w14:textId="77777777" w:rsidR="00E948BE" w:rsidRDefault="000B1667">
      <w:pPr>
        <w:pStyle w:val="Bodytext30"/>
        <w:framePr w:w="9461" w:h="619" w:hRule="exact" w:wrap="none" w:vAnchor="page" w:hAnchor="page" w:x="1084" w:y="3911"/>
        <w:shd w:val="clear" w:color="auto" w:fill="auto"/>
        <w:spacing w:after="0" w:line="266" w:lineRule="exact"/>
        <w:ind w:right="40"/>
      </w:pPr>
      <w:r>
        <w:t>Hodnota plnění</w:t>
      </w:r>
    </w:p>
    <w:p w14:paraId="55FD3791" w14:textId="45DDAE00" w:rsidR="00E948BE" w:rsidRDefault="000B1667" w:rsidP="006C129A">
      <w:pPr>
        <w:pStyle w:val="Bodytext20"/>
        <w:framePr w:w="9461" w:h="2857" w:hRule="exact" w:wrap="none" w:vAnchor="page" w:hAnchor="page" w:x="1084" w:y="4743"/>
        <w:shd w:val="clear" w:color="auto" w:fill="auto"/>
        <w:spacing w:line="278" w:lineRule="exact"/>
        <w:ind w:firstLine="0"/>
        <w:jc w:val="both"/>
      </w:pPr>
      <w:r>
        <w:t xml:space="preserve">Hodnota plnění dle čl. II. je vyčíslena na </w:t>
      </w:r>
      <w:r>
        <w:rPr>
          <w:lang w:val="en-US" w:eastAsia="en-US" w:bidi="en-US"/>
        </w:rPr>
        <w:t xml:space="preserve">max </w:t>
      </w:r>
      <w:proofErr w:type="spellStart"/>
      <w:r w:rsidR="00A23DF9">
        <w:t>xx</w:t>
      </w:r>
      <w:proofErr w:type="spellEnd"/>
      <w:r>
        <w:t xml:space="preserve"> Kč plus platná sazba DPH a hodnota plnění dle článku </w:t>
      </w:r>
      <w:r>
        <w:rPr>
          <w:lang w:val="en-US" w:eastAsia="en-US" w:bidi="en-US"/>
        </w:rPr>
        <w:t xml:space="preserve">Ill. </w:t>
      </w:r>
      <w:r>
        <w:t xml:space="preserve">je vyčíslena na </w:t>
      </w:r>
      <w:r>
        <w:rPr>
          <w:lang w:val="en-US" w:eastAsia="en-US" w:bidi="en-US"/>
        </w:rPr>
        <w:t xml:space="preserve">max. </w:t>
      </w:r>
      <w:proofErr w:type="spellStart"/>
      <w:r w:rsidR="00A23DF9">
        <w:t>xx</w:t>
      </w:r>
      <w:proofErr w:type="spellEnd"/>
      <w:r>
        <w:t>,- Kč plus příslušná DPH.</w:t>
      </w:r>
    </w:p>
    <w:p w14:paraId="55FD3792" w14:textId="77777777" w:rsidR="00E948BE" w:rsidRDefault="000B1667" w:rsidP="006C129A">
      <w:pPr>
        <w:pStyle w:val="Bodytext20"/>
        <w:framePr w:w="9461" w:h="2857" w:hRule="exact" w:wrap="none" w:vAnchor="page" w:hAnchor="page" w:x="1084" w:y="4743"/>
        <w:shd w:val="clear" w:color="auto" w:fill="auto"/>
        <w:spacing w:line="278" w:lineRule="exact"/>
        <w:ind w:firstLine="0"/>
        <w:jc w:val="both"/>
      </w:pPr>
      <w:r>
        <w:t>Pro vypořádání odvodů DPH dle platných daňových předpisů bude provedena vzájemná fakturace - vystavením daňových dokladů v návaznosti na jednotlivá dílčí plnění.</w:t>
      </w:r>
    </w:p>
    <w:p w14:paraId="55FD3793" w14:textId="76B8971D" w:rsidR="00E948BE" w:rsidRDefault="000B1667" w:rsidP="006C129A">
      <w:pPr>
        <w:pStyle w:val="Bodytext20"/>
        <w:framePr w:w="9461" w:h="2857" w:hRule="exact" w:wrap="none" w:vAnchor="page" w:hAnchor="page" w:x="1084" w:y="4743"/>
        <w:shd w:val="clear" w:color="auto" w:fill="auto"/>
        <w:spacing w:line="278" w:lineRule="exact"/>
        <w:ind w:firstLine="0"/>
        <w:jc w:val="both"/>
      </w:pPr>
      <w:r>
        <w:t xml:space="preserve">Smluvní strany se dohodly, že pohledávky vzniklé z titulu plnění této smlouvy do výše </w:t>
      </w:r>
      <w:proofErr w:type="spellStart"/>
      <w:r w:rsidR="00A23DF9">
        <w:t>xx</w:t>
      </w:r>
      <w:proofErr w:type="spellEnd"/>
      <w:r>
        <w:t xml:space="preserve"> Kč plus DPH nebudou propláceny a budou vzájemně započteny. Faktury (daňové doklady) budou obsahovat doložku: „NEPROPLÁCET - KOMPENZACE</w:t>
      </w:r>
      <w:r>
        <w:rPr>
          <w:vertAlign w:val="superscript"/>
        </w:rPr>
        <w:t>44</w:t>
      </w:r>
      <w:r>
        <w:t>. Vzájemný zápočet se uskuteční k 31. 12. 2023.</w:t>
      </w:r>
    </w:p>
    <w:p w14:paraId="55FD3794" w14:textId="1A39BD6A" w:rsidR="00E948BE" w:rsidRDefault="000B1667" w:rsidP="006C129A">
      <w:pPr>
        <w:pStyle w:val="Bodytext20"/>
        <w:framePr w:w="9461" w:h="2857" w:hRule="exact" w:wrap="none" w:vAnchor="page" w:hAnchor="page" w:x="1084" w:y="4743"/>
        <w:shd w:val="clear" w:color="auto" w:fill="auto"/>
        <w:spacing w:line="244" w:lineRule="exact"/>
        <w:ind w:firstLine="0"/>
        <w:jc w:val="both"/>
      </w:pPr>
      <w:r>
        <w:t xml:space="preserve">Hodnota plnění dle článku III. přesahující částku </w:t>
      </w:r>
      <w:proofErr w:type="spellStart"/>
      <w:r w:rsidR="00A23DF9">
        <w:t>xx</w:t>
      </w:r>
      <w:proofErr w:type="spellEnd"/>
      <w:r>
        <w:t xml:space="preserve"> Kč plus DPH bude uhrazena bankovním</w:t>
      </w:r>
    </w:p>
    <w:p w14:paraId="55FD3795" w14:textId="77777777" w:rsidR="00E948BE" w:rsidRDefault="000B1667" w:rsidP="006C129A">
      <w:pPr>
        <w:pStyle w:val="Bodytext20"/>
        <w:framePr w:wrap="none" w:vAnchor="page" w:hAnchor="page" w:x="9697" w:y="6697"/>
        <w:shd w:val="clear" w:color="auto" w:fill="auto"/>
        <w:spacing w:line="244" w:lineRule="exact"/>
        <w:ind w:firstLine="0"/>
        <w:jc w:val="both"/>
      </w:pPr>
      <w:r>
        <w:rPr>
          <w:rStyle w:val="Bodytext22"/>
        </w:rPr>
        <w:t>převodem.</w:t>
      </w:r>
    </w:p>
    <w:p w14:paraId="55FD3796" w14:textId="77777777" w:rsidR="00E948BE" w:rsidRDefault="000B1667">
      <w:pPr>
        <w:pStyle w:val="Bodytext20"/>
        <w:framePr w:w="9461" w:h="633" w:hRule="exact" w:wrap="none" w:vAnchor="page" w:hAnchor="page" w:x="1084" w:y="8030"/>
        <w:shd w:val="clear" w:color="auto" w:fill="auto"/>
        <w:spacing w:line="288" w:lineRule="exact"/>
        <w:ind w:firstLine="0"/>
        <w:jc w:val="both"/>
      </w:pPr>
      <w:r>
        <w:t>Tento dodatek se vyhotovuje ve dvou stejnopisech, přičemž každá ze smluvních stran obdrží po jednom vyhotovení.</w:t>
      </w:r>
    </w:p>
    <w:p w14:paraId="55FD3797" w14:textId="77777777" w:rsidR="00E948BE" w:rsidRDefault="000B1667">
      <w:pPr>
        <w:pStyle w:val="Bodytext20"/>
        <w:framePr w:w="9461" w:h="648" w:hRule="exact" w:wrap="none" w:vAnchor="page" w:hAnchor="page" w:x="1084" w:y="8869"/>
        <w:shd w:val="clear" w:color="auto" w:fill="auto"/>
        <w:spacing w:line="288" w:lineRule="exact"/>
        <w:ind w:firstLine="0"/>
        <w:jc w:val="both"/>
      </w:pPr>
      <w:r>
        <w:t>Smluvní strany prohlašují, že si dodatek přečetly, s jejím zněním souhlasí a na důkaz toho připojují níže své podpisy.</w:t>
      </w:r>
    </w:p>
    <w:p w14:paraId="55FD3798" w14:textId="77777777" w:rsidR="00E948BE" w:rsidRDefault="000B1667">
      <w:pPr>
        <w:pStyle w:val="Bodytext20"/>
        <w:framePr w:wrap="none" w:vAnchor="page" w:hAnchor="page" w:x="1113" w:y="10291"/>
        <w:shd w:val="clear" w:color="auto" w:fill="auto"/>
        <w:spacing w:line="244" w:lineRule="exact"/>
        <w:ind w:firstLine="0"/>
      </w:pPr>
      <w:r>
        <w:t>V Praze, dne 1.12.2023</w:t>
      </w:r>
    </w:p>
    <w:p w14:paraId="55FD3799" w14:textId="77777777" w:rsidR="00E948BE" w:rsidRDefault="000B1667">
      <w:pPr>
        <w:pStyle w:val="Bodytext20"/>
        <w:framePr w:wrap="none" w:vAnchor="page" w:hAnchor="page" w:x="6796" w:y="10292"/>
        <w:shd w:val="clear" w:color="auto" w:fill="auto"/>
        <w:spacing w:line="244" w:lineRule="exact"/>
        <w:ind w:firstLine="0"/>
      </w:pPr>
      <w:r>
        <w:t>V Praze, dne 1.12.2023</w:t>
      </w:r>
    </w:p>
    <w:p w14:paraId="55FD379A" w14:textId="77777777" w:rsidR="00E948BE" w:rsidRDefault="000B1667">
      <w:pPr>
        <w:pStyle w:val="Bodytext30"/>
        <w:framePr w:wrap="none" w:vAnchor="page" w:hAnchor="page" w:x="1108" w:y="11930"/>
        <w:pBdr>
          <w:top w:val="single" w:sz="4" w:space="1" w:color="auto"/>
        </w:pBdr>
        <w:shd w:val="clear" w:color="auto" w:fill="auto"/>
        <w:spacing w:after="0" w:line="266" w:lineRule="exact"/>
        <w:jc w:val="left"/>
      </w:pPr>
      <w:r>
        <w:t>HDK</w:t>
      </w:r>
    </w:p>
    <w:p w14:paraId="55FD379B" w14:textId="77777777" w:rsidR="00E948BE" w:rsidRDefault="000B1667" w:rsidP="006C129A">
      <w:pPr>
        <w:pStyle w:val="Bodytext30"/>
        <w:framePr w:wrap="none" w:vAnchor="page" w:hAnchor="page" w:x="6841" w:y="11917"/>
        <w:shd w:val="clear" w:color="auto" w:fill="auto"/>
        <w:spacing w:after="0" w:line="266" w:lineRule="exact"/>
        <w:jc w:val="left"/>
      </w:pPr>
      <w:r>
        <w:t>RE</w:t>
      </w:r>
    </w:p>
    <w:p w14:paraId="55FD379D" w14:textId="77777777" w:rsidR="00E948BE" w:rsidRDefault="00E948BE">
      <w:pPr>
        <w:rPr>
          <w:sz w:val="2"/>
          <w:szCs w:val="2"/>
        </w:rPr>
      </w:pPr>
    </w:p>
    <w:sectPr w:rsidR="00E948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B1EF" w14:textId="77777777" w:rsidR="001B0740" w:rsidRDefault="001B0740">
      <w:r>
        <w:separator/>
      </w:r>
    </w:p>
  </w:endnote>
  <w:endnote w:type="continuationSeparator" w:id="0">
    <w:p w14:paraId="2B8B97B1" w14:textId="77777777" w:rsidR="001B0740" w:rsidRDefault="001B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7843" w14:textId="77777777" w:rsidR="001B0740" w:rsidRDefault="001B0740"/>
  </w:footnote>
  <w:footnote w:type="continuationSeparator" w:id="0">
    <w:p w14:paraId="5B5D07DF" w14:textId="77777777" w:rsidR="001B0740" w:rsidRDefault="001B0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36114"/>
    <w:multiLevelType w:val="multilevel"/>
    <w:tmpl w:val="33EC3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273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8BE"/>
    <w:rsid w:val="000B1667"/>
    <w:rsid w:val="001B0740"/>
    <w:rsid w:val="006C129A"/>
    <w:rsid w:val="00A23DF9"/>
    <w:rsid w:val="00D1028B"/>
    <w:rsid w:val="00E52760"/>
    <w:rsid w:val="00E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771"/>
  <w15:docId w15:val="{3DA6EAAA-3211-407D-8076-AF34CB69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|2_"/>
    <w:basedOn w:val="Standardnpsmoodstavce"/>
    <w:link w:val="Heading22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74" w:lineRule="exact"/>
      <w:outlineLvl w:val="1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  <w:ind w:hanging="340"/>
    </w:pPr>
    <w:rPr>
      <w:sz w:val="22"/>
      <w:szCs w:val="22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557" w:lineRule="exact"/>
      <w:jc w:val="center"/>
      <w:outlineLvl w:val="1"/>
    </w:pPr>
    <w:rPr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9" w:lineRule="exact"/>
      <w:ind w:hanging="340"/>
      <w:outlineLvl w:val="0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78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3054</Characters>
  <Application>Microsoft Office Word</Application>
  <DocSecurity>0</DocSecurity>
  <Lines>25</Lines>
  <Paragraphs>7</Paragraphs>
  <ScaleCrop>false</ScaleCrop>
  <Company>Hudební divadlo Karlín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2023-12-18T11:25:00Z</dcterms:created>
  <dcterms:modified xsi:type="dcterms:W3CDTF">2023-12-18T12:20:00Z</dcterms:modified>
</cp:coreProperties>
</file>