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Pr="00184888" w:rsidRDefault="00031B36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A90E22">
        <w:rPr>
          <w:rFonts w:ascii="Arial" w:hAnsi="Arial" w:cs="Arial"/>
          <w:b/>
          <w:sz w:val="28"/>
          <w:szCs w:val="28"/>
        </w:rPr>
        <w:t>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031B36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A77589" w:rsidRPr="004710E0" w:rsidRDefault="00A77589" w:rsidP="00A77589">
      <w:pPr>
        <w:jc w:val="center"/>
        <w:rPr>
          <w:rFonts w:ascii="Arial" w:hAnsi="Arial" w:cs="Arial"/>
          <w:b/>
          <w:sz w:val="22"/>
          <w:szCs w:val="22"/>
        </w:rPr>
      </w:pPr>
      <w:r w:rsidRPr="004710E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2D7282">
        <w:rPr>
          <w:rFonts w:ascii="Arial" w:hAnsi="Arial" w:cs="Arial"/>
          <w:b/>
          <w:sz w:val="22"/>
          <w:szCs w:val="22"/>
        </w:rPr>
        <w:t>10</w:t>
      </w:r>
      <w:r w:rsidR="00A90E22">
        <w:rPr>
          <w:rFonts w:ascii="Arial" w:hAnsi="Arial" w:cs="Arial"/>
          <w:b/>
          <w:sz w:val="22"/>
          <w:szCs w:val="22"/>
        </w:rPr>
        <w:t>48</w:t>
      </w:r>
      <w:r w:rsidRPr="004710E0">
        <w:rPr>
          <w:rFonts w:ascii="Arial" w:hAnsi="Arial" w:cs="Arial"/>
          <w:b/>
          <w:sz w:val="22"/>
          <w:szCs w:val="22"/>
        </w:rPr>
        <w:t>/2023</w:t>
      </w:r>
    </w:p>
    <w:p w:rsidR="00A77589" w:rsidRPr="004710E0" w:rsidRDefault="00A77589" w:rsidP="00A7758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4710E0">
        <w:rPr>
          <w:rFonts w:ascii="Arial" w:hAnsi="Arial" w:cs="Arial"/>
          <w:b/>
          <w:sz w:val="22"/>
          <w:szCs w:val="22"/>
        </w:rPr>
        <w:t>č. smlouvy zhotovitele:</w:t>
      </w:r>
      <w:r w:rsidRPr="004710E0">
        <w:rPr>
          <w:rFonts w:ascii="Arial" w:hAnsi="Arial" w:cs="Arial"/>
          <w:b/>
          <w:sz w:val="22"/>
          <w:szCs w:val="22"/>
        </w:rPr>
        <w:tab/>
        <w:t>/2023</w:t>
      </w:r>
    </w:p>
    <w:p w:rsidR="00A77589" w:rsidRPr="004710E0" w:rsidRDefault="00A77589" w:rsidP="00A77589">
      <w:pPr>
        <w:rPr>
          <w:rFonts w:ascii="Arial" w:hAnsi="Arial" w:cs="Arial"/>
          <w:b/>
          <w:sz w:val="22"/>
          <w:szCs w:val="22"/>
        </w:rPr>
      </w:pPr>
    </w:p>
    <w:p w:rsidR="00A77589" w:rsidRPr="004710E0" w:rsidRDefault="00A77589" w:rsidP="00A7758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4710E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2D7282" w:rsidRPr="001A08F1" w:rsidRDefault="002D7282" w:rsidP="002D7282">
      <w:pPr>
        <w:tabs>
          <w:tab w:val="left" w:pos="4080"/>
        </w:tabs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A90E22" w:rsidRPr="000957F1">
        <w:rPr>
          <w:rFonts w:ascii="Arial" w:hAnsi="Arial" w:cs="Arial"/>
          <w:b/>
          <w:color w:val="000000" w:themeColor="text1"/>
          <w:sz w:val="22"/>
          <w:szCs w:val="22"/>
        </w:rPr>
        <w:t>VD Újezd, segmentové uzávěry – levý a pravý servomotor a převodové skříně</w:t>
      </w:r>
      <w:r w:rsidRPr="001A08F1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2D7282" w:rsidRPr="001A08F1" w:rsidRDefault="002D7282" w:rsidP="002D7282">
      <w:pPr>
        <w:pStyle w:val="TextnormlnPVL"/>
        <w:spacing w:after="240"/>
        <w:rPr>
          <w:b/>
          <w:color w:val="000000" w:themeColor="text1"/>
          <w:sz w:val="22"/>
          <w:szCs w:val="22"/>
        </w:rPr>
      </w:pPr>
      <w:r w:rsidRPr="001A08F1">
        <w:rPr>
          <w:b/>
          <w:caps/>
          <w:color w:val="000000" w:themeColor="text1"/>
          <w:sz w:val="22"/>
          <w:szCs w:val="22"/>
          <w:u w:val="single"/>
        </w:rPr>
        <w:t>Smluvní strany</w:t>
      </w:r>
      <w:r w:rsidRPr="001A08F1">
        <w:rPr>
          <w:b/>
          <w:color w:val="000000" w:themeColor="text1"/>
          <w:sz w:val="22"/>
          <w:szCs w:val="22"/>
        </w:rPr>
        <w:t>:</w:t>
      </w:r>
    </w:p>
    <w:p w:rsidR="002D7282" w:rsidRPr="001A08F1" w:rsidRDefault="002D7282" w:rsidP="002D7282">
      <w:pPr>
        <w:pStyle w:val="Smluvnstrananzev"/>
        <w:spacing w:line="276" w:lineRule="auto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  <w:lang w:val="cs-CZ"/>
        </w:rPr>
        <w:t>Objednatel</w:t>
      </w:r>
      <w:r w:rsidRPr="001A08F1">
        <w:rPr>
          <w:color w:val="000000" w:themeColor="text1"/>
          <w:sz w:val="22"/>
          <w:szCs w:val="22"/>
        </w:rPr>
        <w:t>:</w:t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  <w:t xml:space="preserve">Povodí </w:t>
      </w:r>
      <w:r w:rsidRPr="001A08F1">
        <w:rPr>
          <w:color w:val="000000" w:themeColor="text1"/>
          <w:sz w:val="22"/>
          <w:szCs w:val="22"/>
          <w:lang w:val="cs-CZ"/>
        </w:rPr>
        <w:t>Ohře</w:t>
      </w:r>
      <w:r w:rsidRPr="001A08F1">
        <w:rPr>
          <w:color w:val="000000" w:themeColor="text1"/>
          <w:sz w:val="22"/>
          <w:szCs w:val="22"/>
        </w:rPr>
        <w:t>, státní podnik</w:t>
      </w:r>
    </w:p>
    <w:p w:rsidR="002D7282" w:rsidRPr="001A08F1" w:rsidRDefault="002D7282" w:rsidP="002D7282">
      <w:pPr>
        <w:pStyle w:val="Identifikacesmluvnstrany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</w:rPr>
        <w:t>sídlo:</w:t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  <w:lang w:val="cs-CZ"/>
        </w:rPr>
        <w:t>Bezručova 4219</w:t>
      </w:r>
      <w:r w:rsidRPr="001A08F1">
        <w:rPr>
          <w:color w:val="000000" w:themeColor="text1"/>
          <w:sz w:val="22"/>
          <w:szCs w:val="22"/>
        </w:rPr>
        <w:t xml:space="preserve">, </w:t>
      </w:r>
      <w:r w:rsidRPr="001A08F1">
        <w:rPr>
          <w:color w:val="000000" w:themeColor="text1"/>
          <w:sz w:val="22"/>
          <w:szCs w:val="22"/>
          <w:lang w:val="cs-CZ"/>
        </w:rPr>
        <w:t>430 03 Chomutov</w:t>
      </w:r>
    </w:p>
    <w:p w:rsidR="002D7282" w:rsidRPr="001A08F1" w:rsidRDefault="002D7282" w:rsidP="002D7282">
      <w:pPr>
        <w:pStyle w:val="Identifikacesmluvnstrany"/>
        <w:spacing w:line="276" w:lineRule="auto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statutární orgán:</w:t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TextnormlnPVL"/>
        <w:spacing w:line="276" w:lineRule="auto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oprávněn k podpisu smlouvy</w:t>
      </w:r>
    </w:p>
    <w:p w:rsidR="002D7282" w:rsidRPr="001A08F1" w:rsidRDefault="002D7282" w:rsidP="002D7282">
      <w:pPr>
        <w:pStyle w:val="Oprvnnkjednnapodpisusml"/>
        <w:spacing w:line="276" w:lineRule="auto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 xml:space="preserve">a k jednání o věcech smluvních: </w:t>
      </w:r>
      <w:r w:rsidRPr="001A08F1">
        <w:rPr>
          <w:color w:val="000000" w:themeColor="text1"/>
          <w:sz w:val="22"/>
          <w:szCs w:val="22"/>
        </w:rPr>
        <w:tab/>
        <w:t xml:space="preserve"> </w:t>
      </w:r>
    </w:p>
    <w:p w:rsidR="002D7282" w:rsidRPr="001A08F1" w:rsidRDefault="002D7282" w:rsidP="002D7282">
      <w:pPr>
        <w:pStyle w:val="Oprvnnkjednnapodpisusml"/>
        <w:spacing w:after="240"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</w:rPr>
        <w:t xml:space="preserve">oprávněn jednat o věcech technických: 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Oprvnnkjednnapodpisusml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>technický dozor objednatele:</w:t>
      </w:r>
      <w:r w:rsidRPr="001A08F1">
        <w:rPr>
          <w:color w:val="000000" w:themeColor="text1"/>
          <w:sz w:val="22"/>
          <w:szCs w:val="22"/>
          <w:lang w:val="cs-CZ"/>
        </w:rPr>
        <w:tab/>
      </w:r>
    </w:p>
    <w:p w:rsidR="002D7282" w:rsidRPr="001A08F1" w:rsidRDefault="002D7282" w:rsidP="002D7282">
      <w:pPr>
        <w:pStyle w:val="Oprvnnkjednnapodpisusml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ab/>
        <w:t xml:space="preserve">tel.: </w:t>
      </w:r>
    </w:p>
    <w:p w:rsidR="002D7282" w:rsidRPr="001A08F1" w:rsidRDefault="002D7282" w:rsidP="002D7282">
      <w:pPr>
        <w:pStyle w:val="Oprvnnkjednnapodpisusml"/>
        <w:spacing w:after="240"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ab/>
        <w:t>e-mail:</w:t>
      </w:r>
      <w:r w:rsidR="005B36E4" w:rsidRPr="001A08F1">
        <w:rPr>
          <w:color w:val="000000" w:themeColor="text1"/>
          <w:sz w:val="22"/>
          <w:szCs w:val="22"/>
          <w:lang w:val="cs-CZ"/>
        </w:rPr>
        <w:t xml:space="preserve"> </w:t>
      </w:r>
    </w:p>
    <w:p w:rsidR="002D7282" w:rsidRPr="001A08F1" w:rsidRDefault="002D7282" w:rsidP="00902EFB">
      <w:pPr>
        <w:pStyle w:val="Oprvnnkjednnapodpisusml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ab/>
      </w:r>
    </w:p>
    <w:p w:rsidR="002D7282" w:rsidRPr="001A08F1" w:rsidRDefault="002D7282" w:rsidP="002D7282">
      <w:pPr>
        <w:pStyle w:val="Oprvnnkjednnapodpisusml"/>
        <w:tabs>
          <w:tab w:val="clear" w:pos="4253"/>
          <w:tab w:val="left" w:pos="2835"/>
        </w:tabs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IČO:</w:t>
      </w:r>
      <w:r w:rsidRPr="001A08F1">
        <w:rPr>
          <w:color w:val="000000" w:themeColor="text1"/>
          <w:sz w:val="22"/>
          <w:szCs w:val="22"/>
        </w:rPr>
        <w:tab/>
        <w:t>708899</w:t>
      </w:r>
      <w:r w:rsidRPr="001A08F1">
        <w:rPr>
          <w:color w:val="000000" w:themeColor="text1"/>
          <w:sz w:val="22"/>
          <w:szCs w:val="22"/>
          <w:lang w:val="cs-CZ"/>
        </w:rPr>
        <w:t>88</w:t>
      </w:r>
    </w:p>
    <w:p w:rsidR="002D7282" w:rsidRPr="001A08F1" w:rsidRDefault="002D7282" w:rsidP="002D7282">
      <w:pPr>
        <w:pStyle w:val="Identifikacesmluvnstrany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DIČ:</w:t>
      </w:r>
      <w:r w:rsidRPr="001A08F1">
        <w:rPr>
          <w:color w:val="000000" w:themeColor="text1"/>
          <w:sz w:val="22"/>
          <w:szCs w:val="22"/>
        </w:rPr>
        <w:tab/>
        <w:t>CZ708899</w:t>
      </w:r>
      <w:r w:rsidRPr="001A08F1">
        <w:rPr>
          <w:color w:val="000000" w:themeColor="text1"/>
          <w:sz w:val="22"/>
          <w:szCs w:val="22"/>
          <w:lang w:val="cs-CZ"/>
        </w:rPr>
        <w:t>88</w:t>
      </w:r>
    </w:p>
    <w:p w:rsidR="005B36E4" w:rsidRDefault="002D7282" w:rsidP="002D7282">
      <w:pPr>
        <w:pStyle w:val="Identifikacesmluvnstrany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bankovní spojení: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Identifikacesmluvnstrany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číslo účtu: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tabs>
          <w:tab w:val="left" w:pos="283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 xml:space="preserve">zápis v obchodním rejstříku: u Krajského soudu v Ústí nad Labem v oddílu A, vložce č. 13052 </w:t>
      </w:r>
    </w:p>
    <w:p w:rsidR="002D7282" w:rsidRPr="001A08F1" w:rsidRDefault="002D7282" w:rsidP="002D7282">
      <w:pPr>
        <w:pStyle w:val="TextnormlnPVL"/>
        <w:spacing w:after="240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(dále jen „objednatel“)</w:t>
      </w:r>
    </w:p>
    <w:p w:rsidR="002D7282" w:rsidRPr="001A08F1" w:rsidRDefault="002D7282" w:rsidP="002D7282">
      <w:pPr>
        <w:pStyle w:val="TextnormlnPVL"/>
        <w:spacing w:after="240"/>
        <w:rPr>
          <w:b/>
          <w:color w:val="000000" w:themeColor="text1"/>
          <w:sz w:val="22"/>
          <w:szCs w:val="22"/>
        </w:rPr>
      </w:pPr>
      <w:r w:rsidRPr="001A08F1">
        <w:rPr>
          <w:b/>
          <w:color w:val="000000" w:themeColor="text1"/>
          <w:sz w:val="22"/>
          <w:szCs w:val="22"/>
        </w:rPr>
        <w:t>a</w:t>
      </w:r>
    </w:p>
    <w:p w:rsidR="002D7282" w:rsidRPr="001A08F1" w:rsidRDefault="002D7282" w:rsidP="002D7282">
      <w:pPr>
        <w:pStyle w:val="Smluvnstrananzev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>Z</w:t>
      </w:r>
      <w:r w:rsidRPr="001A08F1">
        <w:rPr>
          <w:color w:val="000000" w:themeColor="text1"/>
          <w:sz w:val="22"/>
          <w:szCs w:val="22"/>
        </w:rPr>
        <w:t>hotovitel:</w:t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  <w:lang w:val="cs-CZ"/>
        </w:rPr>
        <w:t>TEBA MONTÁŽE s.r.o.</w:t>
      </w:r>
    </w:p>
    <w:p w:rsidR="002D7282" w:rsidRPr="001A08F1" w:rsidRDefault="002D7282" w:rsidP="002D7282">
      <w:pPr>
        <w:pStyle w:val="Smluvnstrananzev"/>
        <w:spacing w:line="276" w:lineRule="auto"/>
        <w:rPr>
          <w:b w:val="0"/>
          <w:color w:val="000000" w:themeColor="text1"/>
          <w:sz w:val="22"/>
          <w:szCs w:val="22"/>
          <w:shd w:val="clear" w:color="auto" w:fill="FFFF00"/>
          <w:lang w:val="cs-CZ"/>
        </w:rPr>
      </w:pPr>
      <w:r w:rsidRPr="001A08F1">
        <w:rPr>
          <w:b w:val="0"/>
          <w:color w:val="000000" w:themeColor="text1"/>
          <w:sz w:val="22"/>
          <w:szCs w:val="22"/>
        </w:rPr>
        <w:t>Sídlo</w:t>
      </w:r>
      <w:r w:rsidRPr="001A08F1">
        <w:rPr>
          <w:b w:val="0"/>
          <w:color w:val="000000" w:themeColor="text1"/>
          <w:sz w:val="22"/>
          <w:szCs w:val="22"/>
          <w:lang w:val="cs-CZ"/>
        </w:rPr>
        <w:t>:</w:t>
      </w:r>
      <w:r w:rsidRPr="001A08F1">
        <w:rPr>
          <w:b w:val="0"/>
          <w:color w:val="000000" w:themeColor="text1"/>
          <w:sz w:val="22"/>
          <w:szCs w:val="22"/>
          <w:lang w:val="cs-CZ"/>
        </w:rPr>
        <w:tab/>
      </w:r>
      <w:r w:rsidRPr="001A08F1">
        <w:rPr>
          <w:b w:val="0"/>
          <w:color w:val="000000" w:themeColor="text1"/>
          <w:sz w:val="22"/>
          <w:szCs w:val="22"/>
          <w:lang w:val="cs-CZ"/>
        </w:rPr>
        <w:tab/>
      </w:r>
      <w:r w:rsidRPr="001A08F1">
        <w:rPr>
          <w:b w:val="0"/>
          <w:color w:val="000000" w:themeColor="text1"/>
          <w:sz w:val="22"/>
          <w:szCs w:val="22"/>
          <w:lang w:val="cs-CZ"/>
        </w:rPr>
        <w:tab/>
      </w:r>
      <w:r w:rsidRPr="001A08F1">
        <w:rPr>
          <w:b w:val="0"/>
          <w:color w:val="000000" w:themeColor="text1"/>
          <w:sz w:val="22"/>
          <w:szCs w:val="22"/>
          <w:lang w:val="cs-CZ"/>
        </w:rPr>
        <w:tab/>
        <w:t>Javorová 1814, 432 01 Kadaň</w:t>
      </w:r>
    </w:p>
    <w:p w:rsidR="002D7282" w:rsidRPr="001A08F1" w:rsidRDefault="002D7282" w:rsidP="002D7282">
      <w:pPr>
        <w:pStyle w:val="Oprvnnkjednnapodpisusml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</w:rPr>
        <w:t>oprávněn(i) k podpisu smlouvy: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Oprvnnkjednnapodpisusml"/>
        <w:spacing w:line="276" w:lineRule="auto"/>
        <w:rPr>
          <w:b/>
          <w:color w:val="000000" w:themeColor="text1"/>
          <w:sz w:val="22"/>
          <w:szCs w:val="22"/>
          <w:shd w:val="clear" w:color="auto" w:fill="FFFF00"/>
          <w:lang w:val="cs-CZ"/>
        </w:rPr>
      </w:pPr>
      <w:r w:rsidRPr="001A08F1">
        <w:rPr>
          <w:color w:val="000000" w:themeColor="text1"/>
          <w:sz w:val="22"/>
          <w:szCs w:val="22"/>
        </w:rPr>
        <w:t>oprávněn(i) jednat o věcech smluvních: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Oprvnnkjednnapodpisusml"/>
        <w:spacing w:after="240" w:line="276" w:lineRule="auto"/>
        <w:rPr>
          <w:b/>
          <w:color w:val="000000" w:themeColor="text1"/>
          <w:sz w:val="22"/>
          <w:szCs w:val="22"/>
          <w:shd w:val="clear" w:color="auto" w:fill="FFFF00"/>
          <w:lang w:val="cs-CZ"/>
        </w:rPr>
      </w:pPr>
      <w:r w:rsidRPr="001A08F1">
        <w:rPr>
          <w:color w:val="000000" w:themeColor="text1"/>
          <w:sz w:val="22"/>
          <w:szCs w:val="22"/>
        </w:rPr>
        <w:t>oprávněn(i) jednat o věcech technických: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Oprvnnkjednnapodpisusml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</w:rPr>
        <w:t>stavbyvedoucí: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Oprvnnkjednnapodpisusml"/>
        <w:spacing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ab/>
        <w:t>tel.:</w:t>
      </w:r>
    </w:p>
    <w:p w:rsidR="002D7282" w:rsidRPr="001A08F1" w:rsidRDefault="002D7282" w:rsidP="002D7282">
      <w:pPr>
        <w:pStyle w:val="Oprvnnkjednnapodpisusml"/>
        <w:spacing w:after="240" w:line="276" w:lineRule="auto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  <w:lang w:val="cs-CZ"/>
        </w:rPr>
        <w:tab/>
        <w:t xml:space="preserve">e-mail: </w:t>
      </w:r>
    </w:p>
    <w:p w:rsidR="002D7282" w:rsidRPr="001A08F1" w:rsidRDefault="002D7282" w:rsidP="002D7282">
      <w:pPr>
        <w:pStyle w:val="Oprvnnkjednnapodpisusml"/>
        <w:tabs>
          <w:tab w:val="clear" w:pos="4253"/>
          <w:tab w:val="left" w:pos="2835"/>
        </w:tabs>
        <w:spacing w:line="276" w:lineRule="auto"/>
        <w:rPr>
          <w:color w:val="000000" w:themeColor="text1"/>
          <w:sz w:val="22"/>
          <w:szCs w:val="22"/>
          <w:shd w:val="clear" w:color="auto" w:fill="FFFF00"/>
          <w:lang w:val="cs-CZ"/>
        </w:rPr>
      </w:pPr>
      <w:r w:rsidRPr="001A08F1">
        <w:rPr>
          <w:color w:val="000000" w:themeColor="text1"/>
          <w:sz w:val="22"/>
          <w:szCs w:val="22"/>
        </w:rPr>
        <w:t>IČO:</w:t>
      </w:r>
      <w:r w:rsidRPr="001A08F1">
        <w:rPr>
          <w:color w:val="000000" w:themeColor="text1"/>
          <w:sz w:val="22"/>
          <w:szCs w:val="22"/>
        </w:rPr>
        <w:tab/>
      </w:r>
      <w:r w:rsidRPr="001A08F1">
        <w:rPr>
          <w:color w:val="000000" w:themeColor="text1"/>
          <w:sz w:val="22"/>
          <w:szCs w:val="22"/>
          <w:lang w:val="cs-CZ"/>
        </w:rPr>
        <w:t>02475600</w:t>
      </w:r>
    </w:p>
    <w:p w:rsidR="002D7282" w:rsidRPr="001A08F1" w:rsidRDefault="002D7282" w:rsidP="002D7282">
      <w:pPr>
        <w:pStyle w:val="Identifikacesmluvnstrany"/>
        <w:rPr>
          <w:color w:val="000000" w:themeColor="text1"/>
          <w:sz w:val="22"/>
          <w:szCs w:val="22"/>
          <w:shd w:val="clear" w:color="auto" w:fill="FFFF00"/>
          <w:lang w:val="cs-CZ"/>
        </w:rPr>
      </w:pPr>
      <w:r w:rsidRPr="001A08F1">
        <w:rPr>
          <w:color w:val="000000" w:themeColor="text1"/>
          <w:sz w:val="22"/>
          <w:szCs w:val="22"/>
        </w:rPr>
        <w:t>DIČ</w:t>
      </w:r>
      <w:r w:rsidRPr="001A08F1">
        <w:rPr>
          <w:color w:val="000000" w:themeColor="text1"/>
          <w:sz w:val="22"/>
          <w:szCs w:val="22"/>
          <w:lang w:val="cs-CZ"/>
        </w:rPr>
        <w:t>:</w:t>
      </w:r>
      <w:r w:rsidRPr="001A08F1">
        <w:rPr>
          <w:color w:val="000000" w:themeColor="text1"/>
          <w:sz w:val="22"/>
          <w:szCs w:val="22"/>
          <w:lang w:val="cs-CZ"/>
        </w:rPr>
        <w:tab/>
        <w:t>CZ02475600</w:t>
      </w:r>
    </w:p>
    <w:p w:rsidR="002D7282" w:rsidRPr="001A08F1" w:rsidRDefault="002D7282" w:rsidP="002D7282">
      <w:pPr>
        <w:pStyle w:val="Identifikacesmluvnstrany"/>
        <w:rPr>
          <w:b/>
          <w:color w:val="000000" w:themeColor="text1"/>
          <w:sz w:val="22"/>
          <w:szCs w:val="22"/>
          <w:shd w:val="clear" w:color="auto" w:fill="FFFF00"/>
          <w:lang w:val="cs-CZ"/>
        </w:rPr>
      </w:pPr>
      <w:r w:rsidRPr="001A08F1">
        <w:rPr>
          <w:color w:val="000000" w:themeColor="text1"/>
          <w:sz w:val="22"/>
          <w:szCs w:val="22"/>
        </w:rPr>
        <w:t>bankovní spojení: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Identifikacesmluvnstrany"/>
        <w:rPr>
          <w:color w:val="000000" w:themeColor="text1"/>
          <w:sz w:val="22"/>
          <w:szCs w:val="22"/>
          <w:lang w:val="cs-CZ"/>
        </w:rPr>
      </w:pPr>
      <w:r w:rsidRPr="001A08F1">
        <w:rPr>
          <w:color w:val="000000" w:themeColor="text1"/>
          <w:sz w:val="22"/>
          <w:szCs w:val="22"/>
        </w:rPr>
        <w:t>číslo účtu:</w:t>
      </w:r>
      <w:r w:rsidRPr="001A08F1">
        <w:rPr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pStyle w:val="Identifikacesmluvnstrany"/>
        <w:rPr>
          <w:color w:val="000000" w:themeColor="text1"/>
          <w:sz w:val="22"/>
          <w:szCs w:val="22"/>
        </w:rPr>
      </w:pPr>
      <w:r w:rsidRPr="001A08F1">
        <w:rPr>
          <w:color w:val="000000" w:themeColor="text1"/>
          <w:sz w:val="22"/>
          <w:szCs w:val="22"/>
        </w:rPr>
        <w:t>zápis v obchodním rejstříku:</w:t>
      </w:r>
      <w:r w:rsidRPr="001A08F1">
        <w:rPr>
          <w:color w:val="000000" w:themeColor="text1"/>
          <w:sz w:val="22"/>
          <w:szCs w:val="22"/>
        </w:rPr>
        <w:tab/>
        <w:t>u Krajského soudu v Ústí nad Labem, v oddílu C, vložce č. 33659 (dále jen „zhotovitel“)</w:t>
      </w:r>
    </w:p>
    <w:p w:rsidR="00C1154C" w:rsidRDefault="00C1154C" w:rsidP="00C1154C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C1154C" w:rsidSect="00B640F3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7E0B56" w:rsidRDefault="00031B36" w:rsidP="00031B36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Smluvní strany se dohodly na uzavření tohoto</w:t>
      </w:r>
      <w:r w:rsidR="00D4284A">
        <w:rPr>
          <w:rFonts w:cs="Arial"/>
          <w:sz w:val="22"/>
          <w:szCs w:val="22"/>
        </w:rPr>
        <w:t xml:space="preserve"> termínového</w:t>
      </w:r>
      <w:r w:rsidR="005F2AC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dodatku č.</w:t>
      </w:r>
      <w:r w:rsidR="001046F7">
        <w:rPr>
          <w:rFonts w:cs="Arial"/>
          <w:sz w:val="22"/>
          <w:szCs w:val="22"/>
        </w:rPr>
        <w:t xml:space="preserve"> </w:t>
      </w:r>
      <w:r w:rsidR="00A90E22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ke smlouvě o dílo č. </w:t>
      </w:r>
      <w:r w:rsidR="002D7282">
        <w:rPr>
          <w:rFonts w:cs="Arial"/>
          <w:sz w:val="22"/>
          <w:szCs w:val="22"/>
        </w:rPr>
        <w:t>10</w:t>
      </w:r>
      <w:r w:rsidR="0056375B">
        <w:rPr>
          <w:rFonts w:cs="Arial"/>
          <w:sz w:val="22"/>
          <w:szCs w:val="22"/>
        </w:rPr>
        <w:t>48</w:t>
      </w:r>
      <w:r w:rsidR="00A77589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20</w:t>
      </w:r>
      <w:r w:rsidR="00C1154C">
        <w:rPr>
          <w:rFonts w:cs="Arial"/>
          <w:sz w:val="22"/>
          <w:szCs w:val="22"/>
        </w:rPr>
        <w:t>2</w:t>
      </w:r>
      <w:r w:rsidR="00A7758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uzavřené dne </w:t>
      </w:r>
      <w:r w:rsidR="002D7282">
        <w:rPr>
          <w:rFonts w:cs="Arial"/>
          <w:sz w:val="22"/>
          <w:szCs w:val="22"/>
        </w:rPr>
        <w:t>06</w:t>
      </w:r>
      <w:r w:rsidR="00A77589">
        <w:rPr>
          <w:rFonts w:cs="Arial"/>
          <w:sz w:val="22"/>
          <w:szCs w:val="22"/>
        </w:rPr>
        <w:t>.0</w:t>
      </w:r>
      <w:r w:rsidR="002D7282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56375B">
        <w:rPr>
          <w:rFonts w:cs="Arial"/>
          <w:sz w:val="22"/>
          <w:szCs w:val="22"/>
        </w:rPr>
        <w:t>2023</w:t>
      </w:r>
      <w:r>
        <w:rPr>
          <w:rFonts w:cs="Arial"/>
          <w:sz w:val="22"/>
          <w:szCs w:val="22"/>
        </w:rPr>
        <w:t xml:space="preserve">, s ohledem na </w:t>
      </w:r>
      <w:r w:rsidR="004279F7">
        <w:rPr>
          <w:rFonts w:cs="Arial"/>
          <w:sz w:val="22"/>
          <w:szCs w:val="22"/>
        </w:rPr>
        <w:t>zjištěné</w:t>
      </w:r>
      <w:r w:rsidR="005F2ACD">
        <w:rPr>
          <w:rFonts w:cs="Arial"/>
          <w:sz w:val="22"/>
          <w:szCs w:val="22"/>
        </w:rPr>
        <w:t xml:space="preserve"> skutečnosti </w:t>
      </w:r>
      <w:r w:rsidR="00A77589">
        <w:rPr>
          <w:rFonts w:cs="Arial"/>
          <w:sz w:val="22"/>
          <w:szCs w:val="22"/>
        </w:rPr>
        <w:t>–</w:t>
      </w:r>
      <w:r w:rsidR="002D7282">
        <w:rPr>
          <w:rFonts w:cs="Arial"/>
          <w:sz w:val="22"/>
          <w:szCs w:val="22"/>
        </w:rPr>
        <w:t xml:space="preserve"> prodloužení termínu dodávky </w:t>
      </w:r>
      <w:r w:rsidR="0056375B">
        <w:rPr>
          <w:rFonts w:cs="Arial"/>
          <w:sz w:val="22"/>
          <w:szCs w:val="22"/>
        </w:rPr>
        <w:t>servomotorů</w:t>
      </w:r>
      <w:r w:rsidR="002D7282">
        <w:rPr>
          <w:rFonts w:cs="Arial"/>
          <w:sz w:val="22"/>
          <w:szCs w:val="22"/>
        </w:rPr>
        <w:t xml:space="preserve"> na straně </w:t>
      </w:r>
      <w:r w:rsidR="0056375B">
        <w:rPr>
          <w:rFonts w:cs="Arial"/>
          <w:sz w:val="22"/>
          <w:szCs w:val="22"/>
        </w:rPr>
        <w:t>sub</w:t>
      </w:r>
      <w:r w:rsidR="002D7282">
        <w:rPr>
          <w:rFonts w:cs="Arial"/>
          <w:sz w:val="22"/>
          <w:szCs w:val="22"/>
        </w:rPr>
        <w:t>dodavatele</w:t>
      </w:r>
      <w:r w:rsidR="007E0B56">
        <w:rPr>
          <w:rFonts w:cs="Arial"/>
          <w:sz w:val="22"/>
          <w:szCs w:val="22"/>
        </w:rPr>
        <w:t>.</w:t>
      </w:r>
    </w:p>
    <w:p w:rsidR="001046F7" w:rsidRDefault="001046F7" w:rsidP="00031B36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Dodatkem č. </w:t>
      </w:r>
      <w:r w:rsidR="0056375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</w:t>
      </w:r>
      <w:r w:rsidR="00FE5990">
        <w:rPr>
          <w:rFonts w:cs="Arial"/>
          <w:sz w:val="22"/>
          <w:szCs w:val="22"/>
        </w:rPr>
        <w:t xml:space="preserve">se </w:t>
      </w:r>
      <w:r>
        <w:rPr>
          <w:rFonts w:cs="Arial"/>
          <w:sz w:val="22"/>
          <w:szCs w:val="22"/>
        </w:rPr>
        <w:t>mění a upravuje následující ustanovení smlouvy:</w:t>
      </w:r>
    </w:p>
    <w:p w:rsidR="001046F7" w:rsidRPr="001046F7" w:rsidRDefault="001046F7" w:rsidP="00031B36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t>Původní znění</w:t>
      </w:r>
    </w:p>
    <w:p w:rsidR="007E0B56" w:rsidRDefault="007E0B56" w:rsidP="007E0B56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2D7282" w:rsidRPr="002D7282" w:rsidRDefault="002D7282" w:rsidP="002D7282">
      <w:pPr>
        <w:pStyle w:val="Odstavecseseznamem"/>
        <w:numPr>
          <w:ilvl w:val="0"/>
          <w:numId w:val="11"/>
        </w:numPr>
        <w:overflowPunct/>
        <w:ind w:left="357" w:hanging="357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>Smluvní strany se dohodly na následujících lhůtách a podmínkách pro realizaci díla</w:t>
      </w:r>
      <w:bookmarkStart w:id="0" w:name="_Hlk37839271"/>
      <w:r w:rsidRPr="002D72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2D7282" w:rsidRPr="001A08F1" w:rsidRDefault="002D7282" w:rsidP="002D7282">
      <w:pPr>
        <w:overflowPunct/>
        <w:ind w:firstLine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>c)</w:t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bookmarkEnd w:id="0"/>
      <w:r w:rsidRPr="001A08F1">
        <w:rPr>
          <w:rFonts w:ascii="Arial" w:hAnsi="Arial" w:cs="Arial"/>
          <w:b/>
          <w:bCs/>
          <w:color w:val="000000" w:themeColor="text1"/>
          <w:sz w:val="22"/>
          <w:szCs w:val="22"/>
        </w:rPr>
        <w:t>předání a převzetí dokončeného díla:</w:t>
      </w:r>
      <w:r w:rsidRPr="001A0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D7282" w:rsidRPr="001A08F1" w:rsidRDefault="002D7282" w:rsidP="002D7282">
      <w:pPr>
        <w:overflowPunct/>
        <w:spacing w:after="240"/>
        <w:ind w:left="709"/>
        <w:jc w:val="both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1" w:name="_Hlk141349322"/>
      <w:r w:rsidRPr="001A08F1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56375B">
        <w:rPr>
          <w:rFonts w:ascii="Arial" w:hAnsi="Arial" w:cs="Arial"/>
          <w:bCs/>
          <w:color w:val="000000" w:themeColor="text1"/>
          <w:sz w:val="22"/>
          <w:szCs w:val="22"/>
        </w:rPr>
        <w:t>15.12</w:t>
      </w:r>
      <w:r w:rsidRPr="001A08F1">
        <w:rPr>
          <w:rFonts w:ascii="Arial" w:hAnsi="Arial" w:cs="Arial"/>
          <w:bCs/>
          <w:color w:val="000000" w:themeColor="text1"/>
          <w:sz w:val="22"/>
          <w:szCs w:val="22"/>
        </w:rPr>
        <w:t>.20</w:t>
      </w:r>
      <w:bookmarkEnd w:id="1"/>
      <w:r w:rsidRPr="001A08F1">
        <w:rPr>
          <w:rFonts w:ascii="Arial" w:hAnsi="Arial" w:cs="Arial"/>
          <w:bCs/>
          <w:color w:val="000000" w:themeColor="text1"/>
          <w:sz w:val="22"/>
          <w:szCs w:val="22"/>
        </w:rPr>
        <w:t>23.</w:t>
      </w:r>
    </w:p>
    <w:p w:rsidR="00311BC6" w:rsidRDefault="00311BC6" w:rsidP="00311BC6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:rsidR="00311BC6" w:rsidRDefault="00311BC6" w:rsidP="00311BC6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2D7282" w:rsidRPr="002D7282" w:rsidRDefault="002D7282" w:rsidP="002D7282">
      <w:pPr>
        <w:pStyle w:val="Odstavecseseznamem"/>
        <w:numPr>
          <w:ilvl w:val="0"/>
          <w:numId w:val="12"/>
        </w:numPr>
        <w:overflowPunct/>
        <w:ind w:left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D7282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 na následujících lhůtách a podmínkách pro realizaci díla. </w:t>
      </w:r>
    </w:p>
    <w:p w:rsidR="002D7282" w:rsidRPr="001A08F1" w:rsidRDefault="002D7282" w:rsidP="002D7282">
      <w:pPr>
        <w:overflowPunct/>
        <w:ind w:firstLine="36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>c)</w:t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b/>
          <w:bCs/>
          <w:color w:val="000000" w:themeColor="text1"/>
          <w:sz w:val="22"/>
          <w:szCs w:val="22"/>
        </w:rPr>
        <w:t>předání a převzetí dokončeného díla:</w:t>
      </w:r>
      <w:r w:rsidRPr="001A0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D7282" w:rsidRDefault="002D7282" w:rsidP="002D7282">
      <w:pPr>
        <w:overflowPunct/>
        <w:spacing w:after="240"/>
        <w:ind w:left="709"/>
        <w:jc w:val="both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56375B">
        <w:rPr>
          <w:rFonts w:ascii="Arial" w:hAnsi="Arial" w:cs="Arial"/>
          <w:bCs/>
          <w:color w:val="000000" w:themeColor="text1"/>
          <w:sz w:val="22"/>
          <w:szCs w:val="22"/>
        </w:rPr>
        <w:t>29</w:t>
      </w:r>
      <w:r w:rsidRPr="001A08F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56375B">
        <w:rPr>
          <w:rFonts w:ascii="Arial" w:hAnsi="Arial" w:cs="Arial"/>
          <w:bCs/>
          <w:color w:val="000000" w:themeColor="text1"/>
          <w:sz w:val="22"/>
          <w:szCs w:val="22"/>
        </w:rPr>
        <w:t>02</w:t>
      </w:r>
      <w:r w:rsidRPr="001A08F1">
        <w:rPr>
          <w:rFonts w:ascii="Arial" w:hAnsi="Arial" w:cs="Arial"/>
          <w:bCs/>
          <w:color w:val="000000" w:themeColor="text1"/>
          <w:sz w:val="22"/>
          <w:szCs w:val="22"/>
        </w:rPr>
        <w:t>.202</w:t>
      </w:r>
      <w:r w:rsidR="0056375B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1A08F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6375B" w:rsidRPr="001046F7" w:rsidRDefault="0056375B" w:rsidP="0056375B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t>Původní znění</w:t>
      </w:r>
    </w:p>
    <w:p w:rsidR="0056375B" w:rsidRPr="000957F1" w:rsidRDefault="0056375B" w:rsidP="0056375B">
      <w:pPr>
        <w:pStyle w:val="Zkladntext"/>
        <w:widowControl/>
        <w:spacing w:after="240"/>
        <w:jc w:val="center"/>
        <w:rPr>
          <w:rFonts w:cs="Arial"/>
          <w:b/>
          <w:color w:val="000000" w:themeColor="text1"/>
          <w:sz w:val="22"/>
          <w:szCs w:val="22"/>
          <w:u w:val="single"/>
        </w:rPr>
      </w:pPr>
      <w:r w:rsidRPr="000957F1">
        <w:rPr>
          <w:rFonts w:cs="Arial"/>
          <w:b/>
          <w:color w:val="000000" w:themeColor="text1"/>
          <w:sz w:val="22"/>
          <w:szCs w:val="22"/>
          <w:u w:val="single"/>
        </w:rPr>
        <w:t>Čl. IV. PLATEBNÍ PODMÍNKY</w:t>
      </w:r>
    </w:p>
    <w:p w:rsidR="0056375B" w:rsidRPr="000957F1" w:rsidRDefault="0056375B" w:rsidP="0056375B">
      <w:pPr>
        <w:pStyle w:val="Citace1"/>
        <w:numPr>
          <w:ilvl w:val="3"/>
          <w:numId w:val="8"/>
        </w:numPr>
        <w:spacing w:line="240" w:lineRule="auto"/>
        <w:ind w:left="426" w:hanging="426"/>
        <w:jc w:val="both"/>
        <w:rPr>
          <w:color w:val="000000" w:themeColor="text1"/>
        </w:rPr>
      </w:pPr>
      <w:r w:rsidRPr="000957F1">
        <w:rPr>
          <w:rFonts w:ascii="Arial" w:hAnsi="Arial" w:cs="Arial"/>
          <w:i w:val="0"/>
          <w:color w:val="000000" w:themeColor="text1"/>
          <w:sz w:val="22"/>
          <w:szCs w:val="22"/>
        </w:rPr>
        <w:t>Objednatel neposkytne zhotoviteli zálohu.</w:t>
      </w:r>
    </w:p>
    <w:p w:rsidR="0056375B" w:rsidRPr="000957F1" w:rsidRDefault="0056375B" w:rsidP="0056375B">
      <w:pPr>
        <w:pStyle w:val="Citace1"/>
        <w:numPr>
          <w:ilvl w:val="3"/>
          <w:numId w:val="8"/>
        </w:numPr>
        <w:spacing w:line="240" w:lineRule="auto"/>
        <w:ind w:left="426" w:hanging="426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0957F1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Cena díla bude hrazena po dokončení, předání a převzetí díla bez vad a nedodělků. Fakturu je zhotovitel povinen prokazatelně doručit objednateli nejpozději do 7 pracovních dnů ode dne uskutečnění plnění včetně potvrzeného soupisu provedených prací. </w:t>
      </w:r>
    </w:p>
    <w:p w:rsidR="0056375B" w:rsidRPr="000957F1" w:rsidRDefault="0056375B" w:rsidP="0056375B">
      <w:pPr>
        <w:pStyle w:val="Odstavecseseznamem"/>
        <w:numPr>
          <w:ilvl w:val="3"/>
          <w:numId w:val="8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57F1">
        <w:rPr>
          <w:rFonts w:ascii="Arial" w:hAnsi="Arial" w:cs="Arial"/>
          <w:color w:val="000000" w:themeColor="text1"/>
          <w:sz w:val="22"/>
          <w:szCs w:val="22"/>
        </w:rPr>
        <w:t>Faktura musí splňovat náležitosti ve smyslu daňových a účetních předpisů platných na území České republiky, zejména zákona č. 563/91 Sb., o účetnictví a zákona 235/2004 Sb., o DPH v platném znění a dále náležitosti stanovené smlouvou a těmito obchodními podmínkami. V případě chybějících nebo chybných náležitostí vrátí objednatel zhotoviteli fakturu k opravě. Lhůta pro zaplacení pak počíná běžet od doby vrácení opravené faktury.</w:t>
      </w:r>
    </w:p>
    <w:p w:rsidR="0056375B" w:rsidRPr="000957F1" w:rsidRDefault="0056375B" w:rsidP="0056375B">
      <w:pPr>
        <w:pStyle w:val="Odstavecseseznamem"/>
        <w:spacing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57F1">
        <w:rPr>
          <w:rFonts w:ascii="Arial" w:hAnsi="Arial" w:cs="Arial"/>
          <w:color w:val="000000" w:themeColor="text1"/>
          <w:sz w:val="22"/>
          <w:szCs w:val="22"/>
        </w:rPr>
        <w:t xml:space="preserve">      Předat faktury lze i elektronicky na adresu: </w:t>
      </w:r>
      <w:hyperlink r:id="rId10" w:history="1">
        <w:r w:rsidRPr="000957F1">
          <w:rPr>
            <w:rStyle w:val="Hypertextovodkaz"/>
            <w:rFonts w:ascii="Arial" w:hAnsi="Arial" w:cs="Arial"/>
            <w:bCs/>
            <w:color w:val="000000" w:themeColor="text1"/>
            <w:sz w:val="22"/>
            <w:szCs w:val="22"/>
          </w:rPr>
          <w:t>faktury-zcv@poh.cz</w:t>
        </w:r>
      </w:hyperlink>
      <w:r w:rsidRPr="000957F1">
        <w:rPr>
          <w:rFonts w:ascii="Arial" w:hAnsi="Arial" w:cs="Arial"/>
          <w:color w:val="000000" w:themeColor="text1"/>
          <w:sz w:val="22"/>
          <w:szCs w:val="22"/>
        </w:rPr>
        <w:t xml:space="preserve">.   </w:t>
      </w:r>
    </w:p>
    <w:p w:rsidR="0056375B" w:rsidRDefault="0056375B" w:rsidP="0056375B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:rsidR="0056375B" w:rsidRPr="000957F1" w:rsidRDefault="0056375B" w:rsidP="0056375B">
      <w:pPr>
        <w:pStyle w:val="Zkladntext"/>
        <w:widowControl/>
        <w:spacing w:after="240"/>
        <w:jc w:val="center"/>
        <w:rPr>
          <w:rFonts w:cs="Arial"/>
          <w:b/>
          <w:color w:val="000000" w:themeColor="text1"/>
          <w:sz w:val="22"/>
          <w:szCs w:val="22"/>
          <w:u w:val="single"/>
        </w:rPr>
      </w:pPr>
      <w:r w:rsidRPr="000957F1">
        <w:rPr>
          <w:rFonts w:cs="Arial"/>
          <w:b/>
          <w:color w:val="000000" w:themeColor="text1"/>
          <w:sz w:val="22"/>
          <w:szCs w:val="22"/>
          <w:u w:val="single"/>
        </w:rPr>
        <w:t>Čl. IV. PLATEBNÍ PODMÍNKY</w:t>
      </w:r>
    </w:p>
    <w:p w:rsidR="0056375B" w:rsidRPr="00477D1B" w:rsidRDefault="0056375B" w:rsidP="00477D1B">
      <w:pPr>
        <w:pStyle w:val="Citace1"/>
        <w:numPr>
          <w:ilvl w:val="0"/>
          <w:numId w:val="13"/>
        </w:numPr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7D1B">
        <w:rPr>
          <w:rFonts w:ascii="Arial" w:hAnsi="Arial" w:cs="Arial"/>
          <w:i w:val="0"/>
          <w:color w:val="000000" w:themeColor="text1"/>
          <w:sz w:val="22"/>
          <w:szCs w:val="22"/>
        </w:rPr>
        <w:t>Objednatel neposkytne zhotoviteli zálohu.</w:t>
      </w:r>
    </w:p>
    <w:p w:rsidR="00477D1B" w:rsidRPr="00477D1B" w:rsidRDefault="00477D1B" w:rsidP="00477D1B">
      <w:pPr>
        <w:pStyle w:val="Odstavecseseznamem"/>
        <w:numPr>
          <w:ilvl w:val="0"/>
          <w:numId w:val="13"/>
        </w:numPr>
        <w:spacing w:after="240" w:line="24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7D1B">
        <w:rPr>
          <w:rFonts w:ascii="Arial" w:hAnsi="Arial" w:cs="Arial"/>
          <w:color w:val="000000" w:themeColor="text1"/>
          <w:sz w:val="22"/>
          <w:szCs w:val="22"/>
        </w:rPr>
        <w:t>Cena díla bude hrazena po předání a převzetí každého samostatného dílčího plnění uceleně provedených a objednatelem odsouhlasených prací ve zjišťovacím protokole a po dokončení díla bez vad a nedodělků. Fakturu je zhotovitel povinen prokazatelně doručit objednateli nejpozději do 7 pracovních dnů ode dne uskutečnění plnění včetně potvrzeného soupisu provedených prací.</w:t>
      </w:r>
    </w:p>
    <w:p w:rsidR="00477D1B" w:rsidRDefault="00477D1B" w:rsidP="00477D1B">
      <w:pPr>
        <w:pStyle w:val="Odstavecseseznamem"/>
        <w:numPr>
          <w:ilvl w:val="0"/>
          <w:numId w:val="13"/>
        </w:numPr>
        <w:spacing w:after="240" w:line="24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7D1B">
        <w:rPr>
          <w:rFonts w:ascii="Arial" w:hAnsi="Arial" w:cs="Arial"/>
          <w:color w:val="000000" w:themeColor="text1"/>
          <w:sz w:val="22"/>
          <w:szCs w:val="22"/>
        </w:rPr>
        <w:t>Datem uskutečnění zdanitelného plnění bude den předání a převzetí každého samostatného dílčího plnění uceleně provedených a objednatelem odsouhlasených prací ve zjišťovacím protokole a po dokončení díla dnem předání a převzetí díla. Protokol bude nedílnou součástí faktury.</w:t>
      </w:r>
    </w:p>
    <w:p w:rsidR="00477D1B" w:rsidRPr="00477D1B" w:rsidRDefault="00477D1B" w:rsidP="00477D1B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7D1B" w:rsidRPr="00477D1B" w:rsidRDefault="00477D1B" w:rsidP="00477D1B">
      <w:pPr>
        <w:pStyle w:val="Odstavecseseznamem"/>
        <w:numPr>
          <w:ilvl w:val="0"/>
          <w:numId w:val="13"/>
        </w:numPr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7D1B">
        <w:rPr>
          <w:rFonts w:ascii="Arial" w:hAnsi="Arial" w:cs="Arial"/>
          <w:color w:val="000000" w:themeColor="text1"/>
          <w:sz w:val="22"/>
          <w:szCs w:val="22"/>
        </w:rPr>
        <w:lastRenderedPageBreak/>
        <w:t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zhotovitel fakturoval. Přílohou konečné faktury bude protokol o předání a převzetí díla bez vad a nedodělků.</w:t>
      </w:r>
    </w:p>
    <w:p w:rsidR="0056375B" w:rsidRPr="00477D1B" w:rsidRDefault="0056375B" w:rsidP="00477D1B">
      <w:pPr>
        <w:pStyle w:val="Odstavecseseznamem"/>
        <w:numPr>
          <w:ilvl w:val="0"/>
          <w:numId w:val="13"/>
        </w:numPr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7D1B">
        <w:rPr>
          <w:rFonts w:ascii="Arial" w:hAnsi="Arial" w:cs="Arial"/>
          <w:color w:val="000000" w:themeColor="text1"/>
          <w:sz w:val="22"/>
          <w:szCs w:val="22"/>
        </w:rPr>
        <w:t>Faktura musí splňovat náležitosti ve smyslu daňových a účetních předpisů platných na území České republiky, zejména zákona č. 563/91 Sb., o účetnictví a zákona 235/2004 Sb., o DPH v platném znění a dále náležitosti stanovené smlouvou a těmito obchodními podmínkami. V případě chybějících nebo chybných náležitostí vrátí objednatel zhotoviteli fakturu k opravě. Lhůta pro zaplacení pak počíná běžet od doby vrácení opravené faktury.</w:t>
      </w:r>
      <w:r w:rsidR="00477D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77D1B">
        <w:rPr>
          <w:rFonts w:ascii="Arial" w:hAnsi="Arial" w:cs="Arial"/>
          <w:color w:val="000000" w:themeColor="text1"/>
          <w:sz w:val="22"/>
          <w:szCs w:val="22"/>
        </w:rPr>
        <w:t xml:space="preserve">Předat faktury lze i elektronicky na adresu: </w:t>
      </w:r>
      <w:hyperlink r:id="rId11" w:history="1">
        <w:r w:rsidRPr="00477D1B">
          <w:rPr>
            <w:rStyle w:val="Hypertextovodkaz"/>
            <w:rFonts w:ascii="Arial" w:hAnsi="Arial" w:cs="Arial"/>
            <w:bCs/>
            <w:color w:val="000000" w:themeColor="text1"/>
            <w:sz w:val="22"/>
            <w:szCs w:val="22"/>
          </w:rPr>
          <w:t>faktury-zcv@poh.cz</w:t>
        </w:r>
      </w:hyperlink>
      <w:r w:rsidRPr="00477D1B">
        <w:rPr>
          <w:rFonts w:ascii="Arial" w:hAnsi="Arial" w:cs="Arial"/>
          <w:color w:val="000000" w:themeColor="text1"/>
          <w:sz w:val="22"/>
          <w:szCs w:val="22"/>
        </w:rPr>
        <w:t xml:space="preserve">.   </w:t>
      </w:r>
    </w:p>
    <w:p w:rsidR="0056375B" w:rsidRPr="001A08F1" w:rsidRDefault="0056375B" w:rsidP="002D7282">
      <w:pPr>
        <w:overflowPunct/>
        <w:spacing w:after="240"/>
        <w:ind w:left="709"/>
        <w:jc w:val="both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61EDA" w:rsidRDefault="00661EDA" w:rsidP="00E23859">
      <w:pPr>
        <w:overflowPunct/>
        <w:autoSpaceDE/>
        <w:autoSpaceDN/>
        <w:adjustRightInd/>
        <w:ind w:left="851" w:hanging="426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E23859">
        <w:rPr>
          <w:rFonts w:ascii="Arial" w:hAnsi="Arial" w:cs="Arial"/>
          <w:b/>
          <w:sz w:val="22"/>
          <w:szCs w:val="22"/>
          <w:u w:val="single"/>
        </w:rPr>
        <w:t>Čl. X</w:t>
      </w:r>
      <w:r w:rsidR="00576552" w:rsidRPr="00E23859">
        <w:rPr>
          <w:rFonts w:ascii="Arial" w:hAnsi="Arial" w:cs="Arial"/>
          <w:b/>
          <w:sz w:val="22"/>
          <w:szCs w:val="22"/>
          <w:u w:val="single"/>
        </w:rPr>
        <w:t>I</w:t>
      </w:r>
      <w:r w:rsidRPr="00E23859">
        <w:rPr>
          <w:rFonts w:ascii="Arial" w:hAnsi="Arial" w:cs="Arial"/>
          <w:b/>
          <w:sz w:val="22"/>
          <w:szCs w:val="22"/>
          <w:u w:val="single"/>
        </w:rPr>
        <w:t>. ZÁVĚREČNÁ USTANOVENÍ</w:t>
      </w:r>
    </w:p>
    <w:p w:rsidR="000A4160" w:rsidRPr="00E23859" w:rsidRDefault="000A4160" w:rsidP="00E23859">
      <w:pPr>
        <w:overflowPunct/>
        <w:autoSpaceDE/>
        <w:autoSpaceDN/>
        <w:adjustRightInd/>
        <w:ind w:left="851" w:hanging="426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311BC6" w:rsidRDefault="00311BC6" w:rsidP="0022088B">
      <w:pPr>
        <w:pStyle w:val="Zkladntext"/>
        <w:widowControl/>
        <w:numPr>
          <w:ilvl w:val="0"/>
          <w:numId w:val="2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Ostatní ustanovení smlouvy o dílo č. </w:t>
      </w:r>
      <w:r w:rsidR="002D7282">
        <w:rPr>
          <w:rFonts w:cs="Arial"/>
          <w:color w:val="auto"/>
          <w:sz w:val="22"/>
          <w:szCs w:val="22"/>
        </w:rPr>
        <w:t>10</w:t>
      </w:r>
      <w:r w:rsidR="00477D1B">
        <w:rPr>
          <w:rFonts w:cs="Arial"/>
          <w:color w:val="auto"/>
          <w:sz w:val="22"/>
          <w:szCs w:val="22"/>
        </w:rPr>
        <w:t>48</w:t>
      </w:r>
      <w:r>
        <w:rPr>
          <w:rFonts w:cs="Arial"/>
          <w:color w:val="auto"/>
          <w:sz w:val="22"/>
          <w:szCs w:val="22"/>
        </w:rPr>
        <w:t>/20</w:t>
      </w:r>
      <w:r w:rsidR="004863B5">
        <w:rPr>
          <w:rFonts w:cs="Arial"/>
          <w:color w:val="auto"/>
          <w:sz w:val="22"/>
          <w:szCs w:val="22"/>
        </w:rPr>
        <w:t>2</w:t>
      </w:r>
      <w:r w:rsidR="00E23859">
        <w:rPr>
          <w:rFonts w:cs="Arial"/>
          <w:color w:val="auto"/>
          <w:sz w:val="22"/>
          <w:szCs w:val="22"/>
        </w:rPr>
        <w:t>3</w:t>
      </w:r>
      <w:r w:rsidR="00902EFB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se tímto dodatkem nemění a zůstávají v platnosti.</w:t>
      </w:r>
    </w:p>
    <w:p w:rsidR="00311BC6" w:rsidRPr="00EF5FB9" w:rsidRDefault="00311BC6" w:rsidP="0022088B">
      <w:pPr>
        <w:widowControl w:val="0"/>
        <w:numPr>
          <w:ilvl w:val="0"/>
          <w:numId w:val="2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11BC6" w:rsidRDefault="00311BC6" w:rsidP="0022088B">
      <w:pPr>
        <w:pStyle w:val="Zkladntext"/>
        <w:widowControl/>
        <w:numPr>
          <w:ilvl w:val="0"/>
          <w:numId w:val="2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</w:t>
      </w:r>
      <w:r w:rsidR="00E81A0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1F754E" w:rsidRPr="00477D1B" w:rsidRDefault="00311BC6" w:rsidP="001F754E">
      <w:pPr>
        <w:pStyle w:val="Odstavecseseznamem"/>
        <w:numPr>
          <w:ilvl w:val="0"/>
          <w:numId w:val="2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E81A00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</w:t>
      </w:r>
      <w:r w:rsidR="00E81A00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311BC6" w:rsidRPr="00A40B40" w:rsidRDefault="00311BC6" w:rsidP="0022088B">
      <w:pPr>
        <w:pStyle w:val="Zkladntext"/>
        <w:widowControl/>
        <w:numPr>
          <w:ilvl w:val="0"/>
          <w:numId w:val="2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t xml:space="preserve">Na svědectví tohoto smluvní strany tímto podepisují dodatek č. </w:t>
      </w:r>
      <w:r w:rsidR="00E81A00">
        <w:rPr>
          <w:rFonts w:cs="Arial"/>
          <w:sz w:val="22"/>
          <w:szCs w:val="22"/>
        </w:rPr>
        <w:t>1</w:t>
      </w:r>
      <w:r w:rsidRPr="00A40B40">
        <w:rPr>
          <w:rFonts w:cs="Arial"/>
          <w:sz w:val="22"/>
          <w:szCs w:val="22"/>
        </w:rPr>
        <w:t xml:space="preserve"> smlouvy o dílo. Dodatek č. </w:t>
      </w:r>
      <w:r w:rsidR="00E81A00">
        <w:rPr>
          <w:rFonts w:cs="Arial"/>
          <w:sz w:val="22"/>
          <w:szCs w:val="22"/>
        </w:rPr>
        <w:t>1</w:t>
      </w:r>
      <w:r w:rsidRPr="00A40B40">
        <w:rPr>
          <w:rFonts w:cs="Arial"/>
          <w:sz w:val="22"/>
          <w:szCs w:val="22"/>
        </w:rPr>
        <w:t xml:space="preserve">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</w:t>
      </w:r>
      <w:r w:rsidR="00E81A00">
        <w:rPr>
          <w:rFonts w:cs="Arial"/>
          <w:bCs/>
          <w:sz w:val="22"/>
          <w:szCs w:val="22"/>
        </w:rPr>
        <w:t>1</w:t>
      </w:r>
      <w:r w:rsidRPr="00A40B40">
        <w:rPr>
          <w:rFonts w:cs="Arial"/>
          <w:bCs/>
          <w:sz w:val="22"/>
          <w:szCs w:val="22"/>
        </w:rPr>
        <w:t xml:space="preserve"> smlouvy o dílo.</w:t>
      </w:r>
    </w:p>
    <w:p w:rsidR="00311BC6" w:rsidRDefault="00311BC6" w:rsidP="00311BC6">
      <w:pPr>
        <w:keepNext/>
        <w:jc w:val="both"/>
        <w:rPr>
          <w:rFonts w:ascii="Arial" w:hAnsi="Arial" w:cs="Arial"/>
          <w:sz w:val="22"/>
          <w:szCs w:val="22"/>
        </w:rPr>
      </w:pPr>
    </w:p>
    <w:p w:rsidR="00311BC6" w:rsidRDefault="00311BC6" w:rsidP="00311BC6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3B6A48" w:rsidRPr="00386410" w:rsidRDefault="003B6A48" w:rsidP="003B6A48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3B6A48" w:rsidRPr="00386410" w:rsidRDefault="003B6A48" w:rsidP="003B6A48">
      <w:pPr>
        <w:keepNext/>
        <w:jc w:val="both"/>
        <w:rPr>
          <w:rFonts w:ascii="Arial" w:hAnsi="Arial" w:cs="Arial"/>
          <w:sz w:val="22"/>
          <w:szCs w:val="22"/>
        </w:rPr>
      </w:pPr>
    </w:p>
    <w:p w:rsidR="003B6A48" w:rsidRPr="00386410" w:rsidRDefault="003B6A48" w:rsidP="003B6A48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3B6A48" w:rsidRDefault="003B6A48" w:rsidP="003B6A48">
      <w:pPr>
        <w:keepNext/>
        <w:jc w:val="both"/>
        <w:rPr>
          <w:rFonts w:ascii="Arial" w:hAnsi="Arial" w:cs="Arial"/>
          <w:sz w:val="22"/>
          <w:szCs w:val="22"/>
        </w:rPr>
      </w:pPr>
    </w:p>
    <w:p w:rsidR="003B6A48" w:rsidRDefault="003B6A48" w:rsidP="003B6A48">
      <w:pPr>
        <w:keepNext/>
        <w:jc w:val="both"/>
        <w:rPr>
          <w:rFonts w:ascii="Arial" w:hAnsi="Arial" w:cs="Arial"/>
          <w:sz w:val="22"/>
          <w:szCs w:val="22"/>
        </w:rPr>
      </w:pPr>
    </w:p>
    <w:p w:rsidR="002D7282" w:rsidRPr="001A08F1" w:rsidRDefault="002D7282" w:rsidP="002D72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GoBack"/>
      <w:bookmarkEnd w:id="2"/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2D7282" w:rsidRPr="001A08F1" w:rsidRDefault="002D7282" w:rsidP="002D72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 xml:space="preserve">ředitel závodu Chomutov </w:t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  <w:t>jednatel společnosti</w:t>
      </w:r>
    </w:p>
    <w:p w:rsidR="001F754E" w:rsidRPr="00BA12FF" w:rsidRDefault="002D7282" w:rsidP="00BA12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08F1">
        <w:rPr>
          <w:rFonts w:ascii="Arial" w:hAnsi="Arial" w:cs="Arial"/>
          <w:color w:val="000000" w:themeColor="text1"/>
          <w:sz w:val="22"/>
          <w:szCs w:val="22"/>
        </w:rPr>
        <w:t>Povodí Ohře, státní podnik</w:t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</w:r>
      <w:r w:rsidRPr="001A08F1">
        <w:rPr>
          <w:rFonts w:ascii="Arial" w:hAnsi="Arial" w:cs="Arial"/>
          <w:color w:val="000000" w:themeColor="text1"/>
          <w:sz w:val="22"/>
          <w:szCs w:val="22"/>
        </w:rPr>
        <w:tab/>
        <w:t>TEBA montáže s.r.o.</w:t>
      </w:r>
    </w:p>
    <w:sectPr w:rsidR="001F754E" w:rsidRPr="00BA12FF" w:rsidSect="007F044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19" w:rsidRDefault="00F82119">
      <w:r>
        <w:separator/>
      </w:r>
    </w:p>
  </w:endnote>
  <w:endnote w:type="continuationSeparator" w:id="0">
    <w:p w:rsidR="00F82119" w:rsidRDefault="00F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A57142" w:rsidRPr="007F486B" w:rsidRDefault="00A57142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7F501D" w:rsidRPr="007F501D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A57142" w:rsidRPr="0068009D" w:rsidRDefault="00A57142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19" w:rsidRDefault="00F82119">
      <w:r>
        <w:separator/>
      </w:r>
    </w:p>
  </w:footnote>
  <w:footnote w:type="continuationSeparator" w:id="0">
    <w:p w:rsidR="00F82119" w:rsidRDefault="00F8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42" w:rsidRPr="005B2F97" w:rsidRDefault="00A57142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A57142" w:rsidRDefault="00A571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142" w:rsidRPr="005B2F97" w:rsidRDefault="00A57142" w:rsidP="009A6F49">
    <w:pPr>
      <w:pStyle w:val="Zhlav"/>
      <w:rPr>
        <w:rFonts w:ascii="Arial" w:hAnsi="Arial" w:cs="Arial"/>
        <w:sz w:val="20"/>
      </w:rPr>
    </w:pPr>
  </w:p>
  <w:p w:rsidR="00A57142" w:rsidRDefault="00A571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9379D"/>
    <w:multiLevelType w:val="hybridMultilevel"/>
    <w:tmpl w:val="0F9C5A66"/>
    <w:lvl w:ilvl="0" w:tplc="82CE9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27C7"/>
    <w:multiLevelType w:val="hybridMultilevel"/>
    <w:tmpl w:val="53AECD86"/>
    <w:lvl w:ilvl="0" w:tplc="EF2E6FD8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26EE33B2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4" w15:restartNumberingAfterBreak="0">
    <w:nsid w:val="2C044C4F"/>
    <w:multiLevelType w:val="hybridMultilevel"/>
    <w:tmpl w:val="5C188640"/>
    <w:lvl w:ilvl="0" w:tplc="D32E1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EE5076B"/>
    <w:multiLevelType w:val="hybridMultilevel"/>
    <w:tmpl w:val="C16CD4EE"/>
    <w:lvl w:ilvl="0" w:tplc="31FE6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4131"/>
    <w:multiLevelType w:val="multilevel"/>
    <w:tmpl w:val="4E4636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9" w15:restartNumberingAfterBreak="0">
    <w:nsid w:val="4E5306C1"/>
    <w:multiLevelType w:val="hybridMultilevel"/>
    <w:tmpl w:val="7598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3DE"/>
    <w:multiLevelType w:val="hybridMultilevel"/>
    <w:tmpl w:val="5C188640"/>
    <w:lvl w:ilvl="0" w:tplc="D32E1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1DA"/>
    <w:multiLevelType w:val="multilevel"/>
    <w:tmpl w:val="6A3041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79C542CF"/>
    <w:multiLevelType w:val="hybridMultilevel"/>
    <w:tmpl w:val="36C20778"/>
    <w:lvl w:ilvl="0" w:tplc="C2C6D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59CB"/>
    <w:rsid w:val="00006D90"/>
    <w:rsid w:val="0001739A"/>
    <w:rsid w:val="0002005A"/>
    <w:rsid w:val="000270DF"/>
    <w:rsid w:val="00027761"/>
    <w:rsid w:val="00031B36"/>
    <w:rsid w:val="00032AD0"/>
    <w:rsid w:val="000456A7"/>
    <w:rsid w:val="00051F75"/>
    <w:rsid w:val="00053346"/>
    <w:rsid w:val="0005646F"/>
    <w:rsid w:val="000903EA"/>
    <w:rsid w:val="00091338"/>
    <w:rsid w:val="000914C6"/>
    <w:rsid w:val="000927E7"/>
    <w:rsid w:val="00093AD2"/>
    <w:rsid w:val="000A10CD"/>
    <w:rsid w:val="000A4160"/>
    <w:rsid w:val="000A6BD5"/>
    <w:rsid w:val="000B0E7E"/>
    <w:rsid w:val="000B1EB9"/>
    <w:rsid w:val="000B2E4B"/>
    <w:rsid w:val="000C0B96"/>
    <w:rsid w:val="000E61A3"/>
    <w:rsid w:val="000F0CD6"/>
    <w:rsid w:val="000F7037"/>
    <w:rsid w:val="001046F7"/>
    <w:rsid w:val="00104D42"/>
    <w:rsid w:val="001059B7"/>
    <w:rsid w:val="0011076F"/>
    <w:rsid w:val="0011390C"/>
    <w:rsid w:val="00114CFD"/>
    <w:rsid w:val="00123974"/>
    <w:rsid w:val="00127276"/>
    <w:rsid w:val="00140C3A"/>
    <w:rsid w:val="00141A45"/>
    <w:rsid w:val="00145445"/>
    <w:rsid w:val="00150913"/>
    <w:rsid w:val="00151C33"/>
    <w:rsid w:val="001556E2"/>
    <w:rsid w:val="00184888"/>
    <w:rsid w:val="00191A3B"/>
    <w:rsid w:val="001C04BD"/>
    <w:rsid w:val="001D3524"/>
    <w:rsid w:val="001D6A35"/>
    <w:rsid w:val="001D6BE7"/>
    <w:rsid w:val="001E416A"/>
    <w:rsid w:val="001F6793"/>
    <w:rsid w:val="001F754E"/>
    <w:rsid w:val="001F7612"/>
    <w:rsid w:val="0020184F"/>
    <w:rsid w:val="002039CD"/>
    <w:rsid w:val="002044E5"/>
    <w:rsid w:val="00207531"/>
    <w:rsid w:val="002113D7"/>
    <w:rsid w:val="002157FE"/>
    <w:rsid w:val="0022088B"/>
    <w:rsid w:val="0022222B"/>
    <w:rsid w:val="00241CC6"/>
    <w:rsid w:val="002430D8"/>
    <w:rsid w:val="00255B29"/>
    <w:rsid w:val="00266BE7"/>
    <w:rsid w:val="00271C67"/>
    <w:rsid w:val="002768CC"/>
    <w:rsid w:val="00280051"/>
    <w:rsid w:val="002841E7"/>
    <w:rsid w:val="00287DE7"/>
    <w:rsid w:val="00294428"/>
    <w:rsid w:val="00297B6A"/>
    <w:rsid w:val="002A43BA"/>
    <w:rsid w:val="002A59FE"/>
    <w:rsid w:val="002B32CB"/>
    <w:rsid w:val="002B4360"/>
    <w:rsid w:val="002C454D"/>
    <w:rsid w:val="002C50E0"/>
    <w:rsid w:val="002D1039"/>
    <w:rsid w:val="002D299B"/>
    <w:rsid w:val="002D7282"/>
    <w:rsid w:val="002E73A1"/>
    <w:rsid w:val="002F6A7D"/>
    <w:rsid w:val="00302394"/>
    <w:rsid w:val="00302DD8"/>
    <w:rsid w:val="00311BC6"/>
    <w:rsid w:val="00312227"/>
    <w:rsid w:val="00312AFD"/>
    <w:rsid w:val="00312BF9"/>
    <w:rsid w:val="00316474"/>
    <w:rsid w:val="003200F8"/>
    <w:rsid w:val="00321D5C"/>
    <w:rsid w:val="0032245B"/>
    <w:rsid w:val="00327DB4"/>
    <w:rsid w:val="00343E31"/>
    <w:rsid w:val="00346C0D"/>
    <w:rsid w:val="00353A3F"/>
    <w:rsid w:val="003541EC"/>
    <w:rsid w:val="00354B11"/>
    <w:rsid w:val="0035651C"/>
    <w:rsid w:val="003755DC"/>
    <w:rsid w:val="00386410"/>
    <w:rsid w:val="003A15B7"/>
    <w:rsid w:val="003A7BC6"/>
    <w:rsid w:val="003B2A08"/>
    <w:rsid w:val="003B3562"/>
    <w:rsid w:val="003B6A48"/>
    <w:rsid w:val="003C0CAD"/>
    <w:rsid w:val="003D38EF"/>
    <w:rsid w:val="003F1C8E"/>
    <w:rsid w:val="0040604C"/>
    <w:rsid w:val="00410CB9"/>
    <w:rsid w:val="004129F5"/>
    <w:rsid w:val="004167CE"/>
    <w:rsid w:val="004236AA"/>
    <w:rsid w:val="004237EB"/>
    <w:rsid w:val="00423DE0"/>
    <w:rsid w:val="004258CF"/>
    <w:rsid w:val="004279F7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736F3"/>
    <w:rsid w:val="00477D1B"/>
    <w:rsid w:val="00480209"/>
    <w:rsid w:val="00485AAD"/>
    <w:rsid w:val="004863B5"/>
    <w:rsid w:val="00486B7F"/>
    <w:rsid w:val="004971DC"/>
    <w:rsid w:val="004A2984"/>
    <w:rsid w:val="004B373A"/>
    <w:rsid w:val="004C4CB4"/>
    <w:rsid w:val="004D36BC"/>
    <w:rsid w:val="004E7D23"/>
    <w:rsid w:val="004F1EDB"/>
    <w:rsid w:val="004F32B3"/>
    <w:rsid w:val="00510AC7"/>
    <w:rsid w:val="00512F40"/>
    <w:rsid w:val="0051317C"/>
    <w:rsid w:val="00516E1F"/>
    <w:rsid w:val="00520647"/>
    <w:rsid w:val="005247CA"/>
    <w:rsid w:val="005302CD"/>
    <w:rsid w:val="005303FF"/>
    <w:rsid w:val="005323F9"/>
    <w:rsid w:val="005338F0"/>
    <w:rsid w:val="00547B4B"/>
    <w:rsid w:val="00563146"/>
    <w:rsid w:val="0056375B"/>
    <w:rsid w:val="005668D0"/>
    <w:rsid w:val="00576552"/>
    <w:rsid w:val="0058168C"/>
    <w:rsid w:val="00595DCE"/>
    <w:rsid w:val="005B1728"/>
    <w:rsid w:val="005B2F97"/>
    <w:rsid w:val="005B36E4"/>
    <w:rsid w:val="005B4233"/>
    <w:rsid w:val="005B53AA"/>
    <w:rsid w:val="005C10DB"/>
    <w:rsid w:val="005C1C2D"/>
    <w:rsid w:val="005C2FD1"/>
    <w:rsid w:val="005C6983"/>
    <w:rsid w:val="005E3866"/>
    <w:rsid w:val="005F217B"/>
    <w:rsid w:val="005F2ACD"/>
    <w:rsid w:val="005F34D9"/>
    <w:rsid w:val="00602394"/>
    <w:rsid w:val="0060531F"/>
    <w:rsid w:val="00611812"/>
    <w:rsid w:val="00660099"/>
    <w:rsid w:val="00661EDA"/>
    <w:rsid w:val="0067189F"/>
    <w:rsid w:val="006727B3"/>
    <w:rsid w:val="0068009D"/>
    <w:rsid w:val="00687E88"/>
    <w:rsid w:val="00695521"/>
    <w:rsid w:val="006A302C"/>
    <w:rsid w:val="006B4040"/>
    <w:rsid w:val="006B4596"/>
    <w:rsid w:val="006C0EF7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1D80"/>
    <w:rsid w:val="00734FF3"/>
    <w:rsid w:val="007455E1"/>
    <w:rsid w:val="0074616E"/>
    <w:rsid w:val="00756019"/>
    <w:rsid w:val="00771122"/>
    <w:rsid w:val="00790434"/>
    <w:rsid w:val="007A75A7"/>
    <w:rsid w:val="007D5107"/>
    <w:rsid w:val="007E0B56"/>
    <w:rsid w:val="007F044D"/>
    <w:rsid w:val="007F12DC"/>
    <w:rsid w:val="007F14CA"/>
    <w:rsid w:val="007F1936"/>
    <w:rsid w:val="007F486B"/>
    <w:rsid w:val="007F501D"/>
    <w:rsid w:val="007F5319"/>
    <w:rsid w:val="007F60BA"/>
    <w:rsid w:val="007F7071"/>
    <w:rsid w:val="00810F3F"/>
    <w:rsid w:val="00811B43"/>
    <w:rsid w:val="008156E1"/>
    <w:rsid w:val="00817C0B"/>
    <w:rsid w:val="00824E46"/>
    <w:rsid w:val="00830AC2"/>
    <w:rsid w:val="008347C2"/>
    <w:rsid w:val="00840DAB"/>
    <w:rsid w:val="0084172E"/>
    <w:rsid w:val="0084398F"/>
    <w:rsid w:val="00844FF1"/>
    <w:rsid w:val="00855A6C"/>
    <w:rsid w:val="00856705"/>
    <w:rsid w:val="00860849"/>
    <w:rsid w:val="0086126A"/>
    <w:rsid w:val="00863475"/>
    <w:rsid w:val="008646BF"/>
    <w:rsid w:val="00866049"/>
    <w:rsid w:val="00867535"/>
    <w:rsid w:val="00872CA3"/>
    <w:rsid w:val="00883D67"/>
    <w:rsid w:val="00883DBA"/>
    <w:rsid w:val="0088678E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3EFA"/>
    <w:rsid w:val="008F3FE3"/>
    <w:rsid w:val="008F5DBB"/>
    <w:rsid w:val="008F6D2E"/>
    <w:rsid w:val="00902EFB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1195"/>
    <w:rsid w:val="00947371"/>
    <w:rsid w:val="00947CB1"/>
    <w:rsid w:val="009505E5"/>
    <w:rsid w:val="00950948"/>
    <w:rsid w:val="0095255A"/>
    <w:rsid w:val="009526C4"/>
    <w:rsid w:val="0095748D"/>
    <w:rsid w:val="00960A5B"/>
    <w:rsid w:val="0096148E"/>
    <w:rsid w:val="00963F3F"/>
    <w:rsid w:val="009660D4"/>
    <w:rsid w:val="009753C1"/>
    <w:rsid w:val="0098025D"/>
    <w:rsid w:val="009843E0"/>
    <w:rsid w:val="00984678"/>
    <w:rsid w:val="00985B9D"/>
    <w:rsid w:val="00991B86"/>
    <w:rsid w:val="009958F7"/>
    <w:rsid w:val="00995E3E"/>
    <w:rsid w:val="00996588"/>
    <w:rsid w:val="00997C7F"/>
    <w:rsid w:val="009A120B"/>
    <w:rsid w:val="009A39F9"/>
    <w:rsid w:val="009A6F49"/>
    <w:rsid w:val="009A73CF"/>
    <w:rsid w:val="009B05CD"/>
    <w:rsid w:val="009C3FAB"/>
    <w:rsid w:val="009D2E1E"/>
    <w:rsid w:val="009D5612"/>
    <w:rsid w:val="009D56C1"/>
    <w:rsid w:val="009F1A3D"/>
    <w:rsid w:val="009F46E9"/>
    <w:rsid w:val="009F5C41"/>
    <w:rsid w:val="00A10E83"/>
    <w:rsid w:val="00A1328C"/>
    <w:rsid w:val="00A231E1"/>
    <w:rsid w:val="00A43B3A"/>
    <w:rsid w:val="00A57142"/>
    <w:rsid w:val="00A66D73"/>
    <w:rsid w:val="00A71E04"/>
    <w:rsid w:val="00A72B4B"/>
    <w:rsid w:val="00A77589"/>
    <w:rsid w:val="00A80EB8"/>
    <w:rsid w:val="00A8568B"/>
    <w:rsid w:val="00A903B8"/>
    <w:rsid w:val="00A90E22"/>
    <w:rsid w:val="00A9214F"/>
    <w:rsid w:val="00A930F6"/>
    <w:rsid w:val="00AA0137"/>
    <w:rsid w:val="00AA34D6"/>
    <w:rsid w:val="00AB1358"/>
    <w:rsid w:val="00AB19E2"/>
    <w:rsid w:val="00AB3ADF"/>
    <w:rsid w:val="00AB507D"/>
    <w:rsid w:val="00AD1BFF"/>
    <w:rsid w:val="00AD1CF0"/>
    <w:rsid w:val="00AD4C10"/>
    <w:rsid w:val="00AE6E47"/>
    <w:rsid w:val="00AF0244"/>
    <w:rsid w:val="00AF4E2F"/>
    <w:rsid w:val="00B015A5"/>
    <w:rsid w:val="00B051A1"/>
    <w:rsid w:val="00B10B2F"/>
    <w:rsid w:val="00B20BC3"/>
    <w:rsid w:val="00B20CF7"/>
    <w:rsid w:val="00B24021"/>
    <w:rsid w:val="00B40642"/>
    <w:rsid w:val="00B43B3C"/>
    <w:rsid w:val="00B607DF"/>
    <w:rsid w:val="00B619E9"/>
    <w:rsid w:val="00B63BF5"/>
    <w:rsid w:val="00B640F3"/>
    <w:rsid w:val="00B74808"/>
    <w:rsid w:val="00B756CB"/>
    <w:rsid w:val="00B76C65"/>
    <w:rsid w:val="00B83EB6"/>
    <w:rsid w:val="00B85804"/>
    <w:rsid w:val="00B90F61"/>
    <w:rsid w:val="00B92AF5"/>
    <w:rsid w:val="00BA00D6"/>
    <w:rsid w:val="00BA12FF"/>
    <w:rsid w:val="00BA6C30"/>
    <w:rsid w:val="00BB77F0"/>
    <w:rsid w:val="00BB7FCC"/>
    <w:rsid w:val="00BC6B58"/>
    <w:rsid w:val="00BD0D06"/>
    <w:rsid w:val="00BD5E01"/>
    <w:rsid w:val="00BE20A7"/>
    <w:rsid w:val="00BF3D9B"/>
    <w:rsid w:val="00BF4CCC"/>
    <w:rsid w:val="00C1154C"/>
    <w:rsid w:val="00C16025"/>
    <w:rsid w:val="00C20C4F"/>
    <w:rsid w:val="00C516BF"/>
    <w:rsid w:val="00C53AB1"/>
    <w:rsid w:val="00C56345"/>
    <w:rsid w:val="00C60709"/>
    <w:rsid w:val="00C66556"/>
    <w:rsid w:val="00C85BA5"/>
    <w:rsid w:val="00C9156E"/>
    <w:rsid w:val="00C96F6D"/>
    <w:rsid w:val="00CB7B50"/>
    <w:rsid w:val="00CD3F11"/>
    <w:rsid w:val="00CE0AAC"/>
    <w:rsid w:val="00CE7937"/>
    <w:rsid w:val="00D015DF"/>
    <w:rsid w:val="00D055EE"/>
    <w:rsid w:val="00D21589"/>
    <w:rsid w:val="00D27267"/>
    <w:rsid w:val="00D276F7"/>
    <w:rsid w:val="00D41B2F"/>
    <w:rsid w:val="00D42100"/>
    <w:rsid w:val="00D4284A"/>
    <w:rsid w:val="00D533AF"/>
    <w:rsid w:val="00D7581A"/>
    <w:rsid w:val="00D75EBF"/>
    <w:rsid w:val="00D85DC2"/>
    <w:rsid w:val="00D87104"/>
    <w:rsid w:val="00D90AD2"/>
    <w:rsid w:val="00D94469"/>
    <w:rsid w:val="00D968F8"/>
    <w:rsid w:val="00DA1280"/>
    <w:rsid w:val="00DC10D8"/>
    <w:rsid w:val="00DD0E1B"/>
    <w:rsid w:val="00DD77CC"/>
    <w:rsid w:val="00DE2E32"/>
    <w:rsid w:val="00DE3DEC"/>
    <w:rsid w:val="00DE5B97"/>
    <w:rsid w:val="00DE675A"/>
    <w:rsid w:val="00DF41F7"/>
    <w:rsid w:val="00E10428"/>
    <w:rsid w:val="00E132E9"/>
    <w:rsid w:val="00E15728"/>
    <w:rsid w:val="00E23859"/>
    <w:rsid w:val="00E31C83"/>
    <w:rsid w:val="00E327CE"/>
    <w:rsid w:val="00E610AD"/>
    <w:rsid w:val="00E705B8"/>
    <w:rsid w:val="00E751B4"/>
    <w:rsid w:val="00E760A0"/>
    <w:rsid w:val="00E773E3"/>
    <w:rsid w:val="00E81A00"/>
    <w:rsid w:val="00E83DA6"/>
    <w:rsid w:val="00E8418F"/>
    <w:rsid w:val="00E8734A"/>
    <w:rsid w:val="00E90C35"/>
    <w:rsid w:val="00E97587"/>
    <w:rsid w:val="00EB418C"/>
    <w:rsid w:val="00EB6A5C"/>
    <w:rsid w:val="00ED1285"/>
    <w:rsid w:val="00ED1664"/>
    <w:rsid w:val="00ED2006"/>
    <w:rsid w:val="00ED33E2"/>
    <w:rsid w:val="00ED6F90"/>
    <w:rsid w:val="00EE43D6"/>
    <w:rsid w:val="00EE4466"/>
    <w:rsid w:val="00EF1E4B"/>
    <w:rsid w:val="00EF4213"/>
    <w:rsid w:val="00EF744B"/>
    <w:rsid w:val="00F063A6"/>
    <w:rsid w:val="00F14075"/>
    <w:rsid w:val="00F14630"/>
    <w:rsid w:val="00F22DC0"/>
    <w:rsid w:val="00F25381"/>
    <w:rsid w:val="00F25697"/>
    <w:rsid w:val="00F328A6"/>
    <w:rsid w:val="00F352E0"/>
    <w:rsid w:val="00F3570B"/>
    <w:rsid w:val="00F362F8"/>
    <w:rsid w:val="00F473ED"/>
    <w:rsid w:val="00F503E9"/>
    <w:rsid w:val="00F52D0A"/>
    <w:rsid w:val="00F54D46"/>
    <w:rsid w:val="00F5552E"/>
    <w:rsid w:val="00F67B02"/>
    <w:rsid w:val="00F70F94"/>
    <w:rsid w:val="00F71BB9"/>
    <w:rsid w:val="00F72329"/>
    <w:rsid w:val="00F73E42"/>
    <w:rsid w:val="00F82119"/>
    <w:rsid w:val="00F827CA"/>
    <w:rsid w:val="00F90ABF"/>
    <w:rsid w:val="00F94ACC"/>
    <w:rsid w:val="00FA775D"/>
    <w:rsid w:val="00FC43D3"/>
    <w:rsid w:val="00FC51E1"/>
    <w:rsid w:val="00FC7DB7"/>
    <w:rsid w:val="00FD3464"/>
    <w:rsid w:val="00FD3470"/>
    <w:rsid w:val="00FE1CDE"/>
    <w:rsid w:val="00FE1ED0"/>
    <w:rsid w:val="00FE5990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E92FC"/>
  <w15:docId w15:val="{8DBF6BE3-7659-4701-B416-F8C8696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3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  <w:style w:type="character" w:customStyle="1" w:styleId="TextnormlnPVLChar">
    <w:name w:val="Text normální (PVL) Char"/>
    <w:link w:val="TextnormlnPVL"/>
    <w:locked/>
    <w:rsid w:val="002D7282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2D7282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SmluvnstrananzevChar">
    <w:name w:val="Smluvní strana název Char"/>
    <w:link w:val="Smluvnstrananzev"/>
    <w:locked/>
    <w:rsid w:val="002D7282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2D7282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2D7282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2D7282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2D7282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2D7282"/>
    <w:pPr>
      <w:tabs>
        <w:tab w:val="left" w:pos="4253"/>
      </w:tabs>
      <w:ind w:left="4253" w:hanging="42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-zcv@po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ktury-zcv@poh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8F29-C27D-4200-AEF7-13DF3BB2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393</TotalTime>
  <Pages>1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Faja Petr</cp:lastModifiedBy>
  <cp:revision>30</cp:revision>
  <cp:lastPrinted>2023-10-26T04:57:00Z</cp:lastPrinted>
  <dcterms:created xsi:type="dcterms:W3CDTF">2020-03-06T11:42:00Z</dcterms:created>
  <dcterms:modified xsi:type="dcterms:W3CDTF">2023-12-18T07:55:00Z</dcterms:modified>
</cp:coreProperties>
</file>