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KUPNÍ SMLOUVA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</w:t>
      </w:r>
      <w:proofErr w:type="gramStart"/>
      <w:r w:rsidR="00EF4752" w:rsidRPr="00531D96">
        <w:t>armády</w:t>
      </w:r>
      <w:proofErr w:type="gramEnd"/>
      <w:r w:rsidR="00EF4752" w:rsidRPr="00531D96">
        <w:t xml:space="preserve">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>Ing. Jana Vacková-ředitelka školy</w:t>
      </w:r>
      <w:r w:rsidR="003020EB" w:rsidRPr="00531D96">
        <w:br/>
      </w:r>
      <w:r w:rsidR="00451F04" w:rsidRPr="00531D96">
        <w:t>tel.: 412 513 136, e-mail: jana.vackova@prumkadc.cz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r w:rsidR="00E47143">
        <w:t>RC společnost s r.o. přístroje pro vědu a vzdělání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IČ:</w:t>
      </w:r>
      <w:r w:rsidRPr="00531D96">
        <w:tab/>
      </w:r>
      <w:r w:rsidR="00E47143">
        <w:t>00542083</w:t>
      </w:r>
    </w:p>
    <w:p w:rsidR="00EF4752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DIČ:</w:t>
      </w:r>
      <w:r w:rsidRPr="00531D96">
        <w:tab/>
      </w:r>
      <w:r w:rsidR="00E47143">
        <w:t>CZ00542083</w:t>
      </w:r>
    </w:p>
    <w:p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sídlo:</w:t>
      </w:r>
      <w:r>
        <w:tab/>
      </w:r>
      <w:r w:rsidR="00E47143">
        <w:t>Cholupická 997/38 142 00 Praha 4 - Lhotka</w:t>
      </w:r>
    </w:p>
    <w:p w:rsidR="0074323F" w:rsidRPr="00531D96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>
        <w:t>pobočka</w:t>
      </w:r>
      <w:r w:rsidR="0066006E" w:rsidRPr="00531D96">
        <w:t>:</w:t>
      </w:r>
      <w:r w:rsidR="0066006E" w:rsidRPr="00531D96">
        <w:tab/>
      </w:r>
    </w:p>
    <w:p w:rsidR="00EF4752" w:rsidRPr="00531D96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47143">
        <w:t>Ing. Václav Černoch</w:t>
      </w:r>
      <w:r w:rsidR="003020EB" w:rsidRPr="00531D96">
        <w:br/>
      </w:r>
      <w:r w:rsidR="00A31401">
        <w:t xml:space="preserve">tel. </w:t>
      </w:r>
      <w:r w:rsidR="00E47143">
        <w:t>241722979</w:t>
      </w:r>
      <w:r w:rsidR="00451F04" w:rsidRPr="00531D96">
        <w:t xml:space="preserve">, e-mail: </w:t>
      </w:r>
      <w:r w:rsidR="00E47143">
        <w:t>info@rcdidactic.cz</w:t>
      </w: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E37F1A">
        <w:rPr>
          <w:rFonts w:ascii="Times New Roman" w:hAnsi="Times New Roman" w:cs="Times New Roman"/>
        </w:rPr>
        <w:t xml:space="preserve">do </w:t>
      </w:r>
      <w:r w:rsidR="00B30699">
        <w:rPr>
          <w:rFonts w:ascii="Times New Roman" w:hAnsi="Times New Roman" w:cs="Times New Roman"/>
        </w:rPr>
        <w:t>31. 12. 2023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="00E47143">
        <w:rPr>
          <w:rFonts w:ascii="Times New Roman" w:hAnsi="Times New Roman" w:cs="Times New Roman"/>
        </w:rPr>
        <w:t>Děčín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:rsidR="00317C7F" w:rsidRDefault="00E47143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Modul výukového systému rc2000 - µLAB</w:t>
      </w:r>
      <w:r w:rsidR="00202CF2">
        <w:t xml:space="preserve"> na základě nabídky č. </w:t>
      </w:r>
      <w:r>
        <w:t>Na241-1/23</w:t>
      </w:r>
      <w:r w:rsidR="00202CF2">
        <w:t xml:space="preserve"> ze dne </w:t>
      </w:r>
      <w:r w:rsidR="00B30699">
        <w:t>22. 11. 2023</w:t>
      </w:r>
      <w:r>
        <w:t>.</w:t>
      </w:r>
    </w:p>
    <w:p w:rsidR="00202CF2" w:rsidRDefault="00202CF2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1560"/>
      </w:tblGrid>
      <w:tr w:rsidR="006D7F18" w:rsidRPr="006D7F18" w:rsidTr="008A60A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84B" w:rsidRPr="006D7F18" w:rsidRDefault="00E47143" w:rsidP="00C9284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87 080,00 Kč</w:t>
            </w:r>
          </w:p>
        </w:tc>
      </w:tr>
      <w:tr w:rsidR="006D7F18" w:rsidRPr="006D7F18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DPH 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6D7F18" w:rsidRDefault="00E47143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18 286,80 Kč</w:t>
            </w:r>
          </w:p>
        </w:tc>
      </w:tr>
      <w:tr w:rsidR="006D7F18" w:rsidRPr="006D7F18" w:rsidTr="008A60A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F18" w:rsidRPr="006D7F18" w:rsidRDefault="00E47143" w:rsidP="0038624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 xml:space="preserve">105 366,80 Kč </w:t>
            </w:r>
          </w:p>
        </w:tc>
      </w:tr>
    </w:tbl>
    <w:p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 xml:space="preserve">et od doručení daňového dokladu obsahujícího veškeré </w:t>
      </w:r>
      <w:r w:rsidRPr="00531D96">
        <w:lastRenderedPageBreak/>
        <w:t>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533E99" w:rsidRPr="00533E99" w:rsidRDefault="00533E99" w:rsidP="00533E99">
      <w:pPr>
        <w:pStyle w:val="Normlnweb"/>
        <w:tabs>
          <w:tab w:val="left" w:pos="0"/>
        </w:tabs>
        <w:spacing w:after="0" w:afterAutospacing="0"/>
        <w:jc w:val="both"/>
        <w:rPr>
          <w:u w:val="single"/>
        </w:rPr>
      </w:pPr>
      <w:r w:rsidRPr="00533E99">
        <w:rPr>
          <w:u w:val="single"/>
        </w:rPr>
        <w:t>Příloha</w:t>
      </w:r>
    </w:p>
    <w:p w:rsidR="002A6AA2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  <w:r>
        <w:t xml:space="preserve">nabídka č. </w:t>
      </w:r>
      <w:r w:rsidR="00E47143">
        <w:t>Na241-1/23</w:t>
      </w:r>
      <w:r w:rsidR="00317C7F">
        <w:t xml:space="preserve"> </w:t>
      </w:r>
      <w:r w:rsidR="00C9284B">
        <w:t xml:space="preserve">ze dne </w:t>
      </w:r>
      <w:r w:rsidR="00E47143">
        <w:t>22. 11. 2023</w:t>
      </w:r>
    </w:p>
    <w:p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B30699">
        <w:t>28. 11. 20</w:t>
      </w:r>
      <w:r w:rsidR="00B30699">
        <w:rPr>
          <w:rFonts w:hint="eastAsia"/>
        </w:rPr>
        <w:t>23</w:t>
      </w:r>
      <w:r w:rsidR="00531D96">
        <w:rPr>
          <w:rFonts w:ascii="Times New Roman" w:hAnsi="Times New Roman" w:cs="Times New Roman"/>
        </w:rPr>
        <w:tab/>
        <w:t xml:space="preserve">V 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1D022C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1D022C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1D022C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1D022C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3AF4519D" wp14:editId="49EBC3E9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C78D3F" wp14:editId="26828E4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3020EB" w:rsidRDefault="003020EB" w:rsidP="0038624A">
    <w:pPr>
      <w:pStyle w:val="Zhlav"/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77A9B"/>
    <w:rsid w:val="000D7E52"/>
    <w:rsid w:val="000F7964"/>
    <w:rsid w:val="00101925"/>
    <w:rsid w:val="00102B5C"/>
    <w:rsid w:val="0011028F"/>
    <w:rsid w:val="00146B4C"/>
    <w:rsid w:val="00163DE7"/>
    <w:rsid w:val="001869DF"/>
    <w:rsid w:val="001C7D7B"/>
    <w:rsid w:val="001D022C"/>
    <w:rsid w:val="001D1A66"/>
    <w:rsid w:val="00202CF2"/>
    <w:rsid w:val="002531FC"/>
    <w:rsid w:val="00292F4D"/>
    <w:rsid w:val="002A6AA2"/>
    <w:rsid w:val="003020EB"/>
    <w:rsid w:val="00305692"/>
    <w:rsid w:val="00317C7F"/>
    <w:rsid w:val="003664C1"/>
    <w:rsid w:val="00381755"/>
    <w:rsid w:val="0038624A"/>
    <w:rsid w:val="00395377"/>
    <w:rsid w:val="0041223C"/>
    <w:rsid w:val="00451F04"/>
    <w:rsid w:val="00456028"/>
    <w:rsid w:val="00466CE2"/>
    <w:rsid w:val="00494A92"/>
    <w:rsid w:val="004C1438"/>
    <w:rsid w:val="004D7A1B"/>
    <w:rsid w:val="004E52DA"/>
    <w:rsid w:val="00531D96"/>
    <w:rsid w:val="00533E99"/>
    <w:rsid w:val="005673C7"/>
    <w:rsid w:val="005D673B"/>
    <w:rsid w:val="005F6F0D"/>
    <w:rsid w:val="00610807"/>
    <w:rsid w:val="0066006E"/>
    <w:rsid w:val="006704C7"/>
    <w:rsid w:val="00682CD3"/>
    <w:rsid w:val="00692DEE"/>
    <w:rsid w:val="006D17E8"/>
    <w:rsid w:val="006D7F18"/>
    <w:rsid w:val="006E4D55"/>
    <w:rsid w:val="0074323F"/>
    <w:rsid w:val="007A1CA3"/>
    <w:rsid w:val="008178FC"/>
    <w:rsid w:val="00837860"/>
    <w:rsid w:val="008546AE"/>
    <w:rsid w:val="00891E9C"/>
    <w:rsid w:val="008A60A8"/>
    <w:rsid w:val="008E24D2"/>
    <w:rsid w:val="008E583B"/>
    <w:rsid w:val="00907FB0"/>
    <w:rsid w:val="00987F3A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30699"/>
    <w:rsid w:val="00B451D3"/>
    <w:rsid w:val="00B91A98"/>
    <w:rsid w:val="00BD3A60"/>
    <w:rsid w:val="00C205E7"/>
    <w:rsid w:val="00C4431D"/>
    <w:rsid w:val="00C46535"/>
    <w:rsid w:val="00C51038"/>
    <w:rsid w:val="00C715AD"/>
    <w:rsid w:val="00C9284B"/>
    <w:rsid w:val="00D450DE"/>
    <w:rsid w:val="00D773A8"/>
    <w:rsid w:val="00D8079E"/>
    <w:rsid w:val="00D8211B"/>
    <w:rsid w:val="00DC3828"/>
    <w:rsid w:val="00DE5A2A"/>
    <w:rsid w:val="00E02BE9"/>
    <w:rsid w:val="00E37F1A"/>
    <w:rsid w:val="00E47143"/>
    <w:rsid w:val="00E53D61"/>
    <w:rsid w:val="00E65C38"/>
    <w:rsid w:val="00EC65B8"/>
    <w:rsid w:val="00ED07F3"/>
    <w:rsid w:val="00EF2F78"/>
    <w:rsid w:val="00EF4752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2</cp:revision>
  <cp:lastPrinted>2019-11-05T07:18:00Z</cp:lastPrinted>
  <dcterms:created xsi:type="dcterms:W3CDTF">2023-12-18T11:33:00Z</dcterms:created>
  <dcterms:modified xsi:type="dcterms:W3CDTF">2023-12-18T11:33:00Z</dcterms:modified>
</cp:coreProperties>
</file>