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679FE195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590024">
        <w:rPr>
          <w:rFonts w:ascii="Arial" w:hAnsi="Arial"/>
          <w:spacing w:val="0"/>
          <w:kern w:val="0"/>
          <w:sz w:val="24"/>
          <w:szCs w:val="24"/>
        </w:rPr>
        <w:t>5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6D0ED6BC" w:rsidR="00C9449A" w:rsidRPr="00A16B28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="00AB0302" w:rsidRPr="00AB0302">
        <w:rPr>
          <w:rFonts w:ascii="Arial" w:hAnsi="Arial" w:cs="Arial"/>
          <w:b/>
          <w:bCs/>
          <w:sz w:val="20"/>
          <w:szCs w:val="22"/>
        </w:rPr>
        <w:t xml:space="preserve">Ernst &amp; </w:t>
      </w:r>
      <w:proofErr w:type="spellStart"/>
      <w:r w:rsidR="00AB0302" w:rsidRPr="00AB0302">
        <w:rPr>
          <w:rFonts w:ascii="Arial" w:hAnsi="Arial" w:cs="Arial"/>
          <w:b/>
          <w:bCs/>
          <w:sz w:val="20"/>
          <w:szCs w:val="22"/>
        </w:rPr>
        <w:t>Young</w:t>
      </w:r>
      <w:proofErr w:type="spellEnd"/>
      <w:r w:rsidR="00AB0302" w:rsidRPr="00AB0302">
        <w:rPr>
          <w:rFonts w:ascii="Arial" w:hAnsi="Arial" w:cs="Arial"/>
          <w:b/>
          <w:bCs/>
          <w:sz w:val="20"/>
          <w:szCs w:val="22"/>
        </w:rPr>
        <w:t>, s.r.o.</w:t>
      </w:r>
    </w:p>
    <w:p w14:paraId="1C6C10FC" w14:textId="5FAAD465" w:rsidR="00C9449A" w:rsidRPr="00A16B28" w:rsidRDefault="00C9449A" w:rsidP="00C9449A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A16B28">
        <w:rPr>
          <w:rStyle w:val="platne1"/>
          <w:rFonts w:ascii="Arial" w:hAnsi="Arial" w:cs="Arial"/>
          <w:sz w:val="20"/>
          <w:szCs w:val="20"/>
        </w:rPr>
        <w:t>se sídlem: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="00AB0302">
        <w:rPr>
          <w:rFonts w:ascii="Arial" w:hAnsi="Arial" w:cs="Arial"/>
          <w:sz w:val="20"/>
          <w:szCs w:val="22"/>
        </w:rPr>
        <w:t>Na Florenci2116/15, 110 00 Praha 1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</w:p>
    <w:p w14:paraId="78D4437F" w14:textId="08D09027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IČO: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="00AB0302">
        <w:rPr>
          <w:rFonts w:ascii="Arial" w:hAnsi="Arial" w:cs="Arial"/>
          <w:sz w:val="20"/>
          <w:szCs w:val="22"/>
        </w:rPr>
        <w:t>26705338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</w:p>
    <w:p w14:paraId="022E68EF" w14:textId="201D69D2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="00AB0302">
        <w:rPr>
          <w:rFonts w:ascii="Arial" w:hAnsi="Arial" w:cs="Arial"/>
          <w:bCs/>
          <w:color w:val="000000"/>
          <w:sz w:val="20"/>
          <w:szCs w:val="20"/>
        </w:rPr>
        <w:t>CZ</w:t>
      </w:r>
      <w:r w:rsidR="00AB0302">
        <w:rPr>
          <w:rFonts w:ascii="Arial" w:hAnsi="Arial" w:cs="Arial"/>
          <w:sz w:val="20"/>
          <w:szCs w:val="22"/>
        </w:rPr>
        <w:t>26705338</w:t>
      </w:r>
    </w:p>
    <w:p w14:paraId="497C4DCC" w14:textId="248B42D7" w:rsidR="00C9449A" w:rsidRPr="00A16B28" w:rsidRDefault="00C9449A" w:rsidP="00C9449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sz w:val="20"/>
          <w:szCs w:val="20"/>
        </w:rPr>
        <w:tab/>
      </w:r>
      <w:r w:rsidR="00AB0302" w:rsidRPr="00AB0302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0C17510" w14:textId="3DD91F1D" w:rsidR="00C9449A" w:rsidRPr="00A16B28" w:rsidRDefault="00C9449A" w:rsidP="00C9449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="00AB0302">
        <w:rPr>
          <w:rFonts w:ascii="Arial" w:hAnsi="Arial" w:cs="Arial"/>
          <w:sz w:val="20"/>
          <w:szCs w:val="22"/>
        </w:rPr>
        <w:t>Ing. Petrem Plecháčkem, na základě plné moci</w:t>
      </w:r>
    </w:p>
    <w:p w14:paraId="58B4AB25" w14:textId="1F4C490F" w:rsidR="00C9449A" w:rsidRPr="00A16B28" w:rsidRDefault="00C9449A" w:rsidP="00C9449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="00AB0302">
        <w:rPr>
          <w:rFonts w:ascii="Arial" w:hAnsi="Arial" w:cs="Arial"/>
          <w:sz w:val="20"/>
          <w:szCs w:val="22"/>
        </w:rPr>
        <w:t>Městským</w:t>
      </w:r>
      <w:r w:rsidRPr="00A16B28">
        <w:rPr>
          <w:rFonts w:ascii="Arial" w:hAnsi="Arial" w:cs="Arial"/>
          <w:bCs/>
          <w:sz w:val="20"/>
          <w:szCs w:val="20"/>
        </w:rPr>
        <w:t xml:space="preserve"> 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>soudem v</w:t>
      </w:r>
      <w:r w:rsidR="00AB0302">
        <w:rPr>
          <w:rFonts w:ascii="Arial" w:hAnsi="Arial" w:cs="Arial"/>
          <w:bCs/>
          <w:color w:val="000000"/>
          <w:sz w:val="20"/>
          <w:szCs w:val="20"/>
        </w:rPr>
        <w:t xml:space="preserve"> Praze</w:t>
      </w:r>
      <w:r w:rsidRPr="00487EF0">
        <w:rPr>
          <w:rFonts w:ascii="Arial" w:hAnsi="Arial" w:cs="Arial"/>
          <w:bCs/>
          <w:color w:val="000000"/>
          <w:sz w:val="20"/>
          <w:szCs w:val="20"/>
        </w:rPr>
        <w:t>,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 oddíl</w:t>
      </w:r>
      <w:r w:rsidR="00AB0302">
        <w:rPr>
          <w:rFonts w:ascii="Arial" w:hAnsi="Arial" w:cs="Arial"/>
          <w:bCs/>
          <w:color w:val="000000"/>
          <w:sz w:val="20"/>
          <w:szCs w:val="20"/>
        </w:rPr>
        <w:t xml:space="preserve"> C,</w:t>
      </w:r>
      <w:r w:rsidRPr="00A16B28">
        <w:rPr>
          <w:rFonts w:ascii="Arial" w:hAnsi="Arial" w:cs="Arial"/>
          <w:sz w:val="20"/>
          <w:szCs w:val="20"/>
        </w:rPr>
        <w:t xml:space="preserve"> vložka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B0302">
        <w:rPr>
          <w:rFonts w:ascii="Arial" w:hAnsi="Arial" w:cs="Arial"/>
          <w:sz w:val="20"/>
          <w:szCs w:val="22"/>
        </w:rPr>
        <w:t>108716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6F87253A" w14:textId="29848E63" w:rsidR="00E470A8" w:rsidRDefault="00F06FC1" w:rsidP="00511241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="00511241">
        <w:rPr>
          <w:rFonts w:ascii="Arial" w:hAnsi="Arial" w:cs="Arial"/>
          <w:sz w:val="20"/>
          <w:szCs w:val="20"/>
        </w:rPr>
        <w:t xml:space="preserve">spočívající v zajištění </w:t>
      </w:r>
      <w:r w:rsidR="00511241" w:rsidRPr="00511241">
        <w:rPr>
          <w:rFonts w:ascii="Arial" w:hAnsi="Arial" w:cs="Arial"/>
          <w:sz w:val="20"/>
          <w:szCs w:val="20"/>
        </w:rPr>
        <w:t xml:space="preserve">kapacit IT odborníků </w:t>
      </w:r>
      <w:r w:rsidR="00F24A5C" w:rsidRPr="00F24A5C">
        <w:rPr>
          <w:rFonts w:ascii="Arial" w:hAnsi="Arial" w:cs="Arial"/>
          <w:sz w:val="20"/>
          <w:szCs w:val="20"/>
        </w:rPr>
        <w:t xml:space="preserve">na poskytování odborných poradenských služeb pro projekt </w:t>
      </w:r>
      <w:r w:rsidR="00590024" w:rsidRPr="00590024">
        <w:rPr>
          <w:rFonts w:ascii="Arial" w:hAnsi="Arial" w:cs="Arial"/>
          <w:sz w:val="20"/>
          <w:szCs w:val="20"/>
        </w:rPr>
        <w:t>Komponenty business architektury digitální transformace</w:t>
      </w:r>
      <w:r w:rsidR="00CE29AB">
        <w:rPr>
          <w:rFonts w:ascii="Arial" w:hAnsi="Arial" w:cs="Arial"/>
          <w:sz w:val="20"/>
          <w:szCs w:val="20"/>
        </w:rPr>
        <w:t>.</w:t>
      </w:r>
    </w:p>
    <w:p w14:paraId="6CE9DD1D" w14:textId="26A3380F" w:rsidR="00F24A5C" w:rsidRPr="00590024" w:rsidRDefault="00590024" w:rsidP="00C773EF">
      <w:pPr>
        <w:pStyle w:val="RLTextlnkuslovan"/>
        <w:widowControl w:val="0"/>
        <w:numPr>
          <w:ilvl w:val="0"/>
          <w:numId w:val="0"/>
        </w:numPr>
        <w:tabs>
          <w:tab w:val="num" w:pos="567"/>
          <w:tab w:val="left" w:pos="6804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 w:rsidRPr="00590024">
        <w:rPr>
          <w:rFonts w:ascii="Arial" w:hAnsi="Arial" w:cs="Arial"/>
          <w:sz w:val="20"/>
          <w:szCs w:val="20"/>
        </w:rPr>
        <w:t xml:space="preserve">Projekt bude přispívat ke konzistentnímu naplňování cílů Informační koncepce MPSV ve strategických oblastech Digitalizace pro klienta, Strategie Úřadu práce, Efektivní úřad. V rámci projektu vznikne stálý a udržovaný design komponent byznys architektury, které </w:t>
      </w:r>
      <w:proofErr w:type="gramStart"/>
      <w:r w:rsidRPr="00590024">
        <w:rPr>
          <w:rFonts w:ascii="Arial" w:hAnsi="Arial" w:cs="Arial"/>
          <w:sz w:val="20"/>
          <w:szCs w:val="20"/>
        </w:rPr>
        <w:t>tvoří</w:t>
      </w:r>
      <w:proofErr w:type="gramEnd"/>
      <w:r w:rsidRPr="00590024">
        <w:rPr>
          <w:rFonts w:ascii="Arial" w:hAnsi="Arial" w:cs="Arial"/>
          <w:sz w:val="20"/>
          <w:szCs w:val="20"/>
        </w:rPr>
        <w:t xml:space="preserve"> stavební bloky digitální transformace MPSV, přispěje ke zlepšení a zrychlení přípravy OHA formulářů v části Byznys architektura.</w:t>
      </w:r>
      <w:r>
        <w:rPr>
          <w:rFonts w:ascii="Arial" w:hAnsi="Arial" w:cs="Arial"/>
          <w:sz w:val="20"/>
          <w:szCs w:val="20"/>
        </w:rPr>
        <w:t xml:space="preserve"> </w:t>
      </w:r>
      <w:r w:rsidRPr="00590024">
        <w:rPr>
          <w:rFonts w:ascii="Arial" w:hAnsi="Arial" w:cs="Arial"/>
          <w:sz w:val="20"/>
          <w:szCs w:val="20"/>
        </w:rPr>
        <w:t xml:space="preserve">V projektu vznikne báze znalostí a modelů, která bude podporovat konsolidaci a zjednodušování služeb, úkonů a procesů. Podstatným výstupem je také revize vhodnosti úkonů agend pro digitalizaci dle § 4 odst. 1, písm. d) zákona č. 12/2020 Sb., o právu na digitální služby a vznikne podklad pro doplnění kap. </w:t>
      </w:r>
      <w:proofErr w:type="spellStart"/>
      <w:r w:rsidRPr="00590024">
        <w:rPr>
          <w:rFonts w:ascii="Arial" w:hAnsi="Arial" w:cs="Arial"/>
          <w:sz w:val="20"/>
          <w:szCs w:val="20"/>
        </w:rPr>
        <w:t>Enterprise</w:t>
      </w:r>
      <w:proofErr w:type="spellEnd"/>
      <w:r w:rsidRPr="00590024">
        <w:rPr>
          <w:rFonts w:ascii="Arial" w:hAnsi="Arial" w:cs="Arial"/>
          <w:sz w:val="20"/>
          <w:szCs w:val="20"/>
        </w:rPr>
        <w:t xml:space="preserve"> architektura v příští verzi Informační koncepce MPSV</w:t>
      </w:r>
      <w:r w:rsidR="00F24A5C" w:rsidRPr="00590024">
        <w:rPr>
          <w:rFonts w:ascii="Arial" w:hAnsi="Arial" w:cs="Arial"/>
          <w:sz w:val="20"/>
          <w:szCs w:val="20"/>
        </w:rPr>
        <w:t>.</w:t>
      </w:r>
    </w:p>
    <w:p w14:paraId="03897486" w14:textId="144CF027" w:rsidR="00E470A8" w:rsidRDefault="00E470A8" w:rsidP="00E470A8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 xml:space="preserve">spočívající v plnění osob pro výše uvedené plnění na následujících pozicích s následujícím </w:t>
      </w:r>
      <w:r w:rsidR="00793B3D">
        <w:rPr>
          <w:rFonts w:ascii="Arial" w:hAnsi="Arial" w:cs="Arial"/>
          <w:sz w:val="20"/>
          <w:szCs w:val="20"/>
        </w:rPr>
        <w:t>předpokládaným rozsahem člověkodnů (MD) pro jednotlivé pozice:</w:t>
      </w:r>
    </w:p>
    <w:p w14:paraId="16CC7B38" w14:textId="3E8ABA9E" w:rsidR="00E470A8" w:rsidRDefault="00590024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Subject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matter</w:t>
      </w:r>
      <w:proofErr w:type="spellEnd"/>
      <w:r>
        <w:rPr>
          <w:rFonts w:ascii="Arial" w:hAnsi="Arial" w:cs="Arial"/>
          <w:sz w:val="20"/>
          <w:szCs w:val="20"/>
        </w:rPr>
        <w:t xml:space="preserve"> expert I.</w:t>
      </w:r>
      <w:r w:rsidR="00D2241A">
        <w:rPr>
          <w:rFonts w:ascii="Arial" w:hAnsi="Arial" w:cs="Arial"/>
          <w:sz w:val="20"/>
          <w:szCs w:val="20"/>
        </w:rPr>
        <w:t xml:space="preserve"> </w:t>
      </w:r>
      <w:r w:rsidR="00793B3D">
        <w:rPr>
          <w:rFonts w:ascii="Arial" w:hAnsi="Arial" w:cs="Arial"/>
          <w:sz w:val="20"/>
          <w:szCs w:val="20"/>
        </w:rPr>
        <w:t xml:space="preserve">– předpokládaný rozsah je </w:t>
      </w:r>
      <w:r>
        <w:rPr>
          <w:rFonts w:ascii="Arial" w:hAnsi="Arial" w:cs="Arial"/>
          <w:sz w:val="20"/>
          <w:szCs w:val="20"/>
        </w:rPr>
        <w:t>240</w:t>
      </w:r>
      <w:r w:rsidR="00793B3D">
        <w:rPr>
          <w:rFonts w:ascii="Arial" w:hAnsi="Arial" w:cs="Arial"/>
          <w:sz w:val="20"/>
          <w:szCs w:val="20"/>
        </w:rPr>
        <w:t xml:space="preserve"> MD</w:t>
      </w:r>
    </w:p>
    <w:p w14:paraId="5B9E543D" w14:textId="6B260335" w:rsidR="00E470A8" w:rsidRDefault="00590024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Subject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matter</w:t>
      </w:r>
      <w:proofErr w:type="spellEnd"/>
      <w:r>
        <w:rPr>
          <w:rFonts w:ascii="Arial" w:hAnsi="Arial" w:cs="Arial"/>
          <w:sz w:val="20"/>
          <w:szCs w:val="20"/>
        </w:rPr>
        <w:t xml:space="preserve"> expert II. – předpokládaný rozsah je 240 MD</w:t>
      </w:r>
    </w:p>
    <w:p w14:paraId="4072543D" w14:textId="0711D1AC" w:rsidR="00793B3D" w:rsidRDefault="00793B3D" w:rsidP="00793B3D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</w:t>
      </w:r>
      <w:r w:rsidR="00D45DE7">
        <w:rPr>
          <w:rFonts w:ascii="Arial" w:hAnsi="Arial" w:cs="Arial"/>
          <w:sz w:val="20"/>
          <w:szCs w:val="20"/>
        </w:rPr>
        <w:t>.</w:t>
      </w:r>
    </w:p>
    <w:p w14:paraId="649E8FA4" w14:textId="620C2791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63218D67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>se 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8"/>
      <w:bookmarkEnd w:id="9"/>
    </w:p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8CA5C0D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BC2669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26FC24D9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465EA2">
        <w:rPr>
          <w:rFonts w:ascii="Arial" w:hAnsi="Arial" w:cs="Arial"/>
          <w:sz w:val="20"/>
          <w:szCs w:val="20"/>
        </w:rPr>
        <w:t>6 720 000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4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7FE941FD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844D1B">
        <w:rPr>
          <w:rFonts w:ascii="Arial" w:hAnsi="Arial" w:cs="Arial"/>
          <w:sz w:val="20"/>
          <w:szCs w:val="20"/>
          <w:lang w:eastAsia="en-US"/>
        </w:rPr>
        <w:t>na dobu 12 měsíců ode dne nabytí účinnosti této Dílčí smlouvy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32AF28FC" w14:textId="52DBBCA2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53D3FF49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465EA2"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3D49DDF6" w14:textId="250658ED" w:rsidR="001227A2" w:rsidRPr="00A16B28" w:rsidRDefault="001227A2" w:rsidP="00F67D0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3990D6F" w14:textId="05443733" w:rsidR="001227A2" w:rsidRPr="00A16B28" w:rsidRDefault="00465E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B030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Ernst &amp; </w:t>
            </w:r>
            <w:proofErr w:type="spellStart"/>
            <w:r w:rsidRPr="00AB0302">
              <w:rPr>
                <w:rFonts w:ascii="Arial" w:hAnsi="Arial" w:cs="Arial"/>
                <w:b/>
                <w:bCs/>
                <w:sz w:val="20"/>
                <w:szCs w:val="22"/>
              </w:rPr>
              <w:t>Young</w:t>
            </w:r>
            <w:proofErr w:type="spellEnd"/>
            <w:r w:rsidRPr="00AB0302">
              <w:rPr>
                <w:rFonts w:ascii="Arial" w:hAnsi="Arial" w:cs="Arial"/>
                <w:b/>
                <w:bCs/>
                <w:sz w:val="20"/>
                <w:szCs w:val="22"/>
              </w:rPr>
              <w:t>, s.r.o.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4788F651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230A26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87" w:type="dxa"/>
        <w:tblLook w:val="04A0" w:firstRow="1" w:lastRow="0" w:firstColumn="1" w:lastColumn="0" w:noHBand="0" w:noVBand="1"/>
      </w:tblPr>
      <w:tblGrid>
        <w:gridCol w:w="2381"/>
        <w:gridCol w:w="2977"/>
        <w:gridCol w:w="1631"/>
        <w:gridCol w:w="2098"/>
      </w:tblGrid>
      <w:tr w:rsidR="00DF5402" w:rsidRPr="00A5360B" w14:paraId="67EB180C" w14:textId="11127166" w:rsidTr="00856DB6">
        <w:trPr>
          <w:trHeight w:val="5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856DB6" w:rsidRPr="00A5360B" w14:paraId="6F4CF446" w14:textId="6FB2770A" w:rsidTr="00593A6D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1068037" w14:textId="6B6370B5" w:rsidR="00856DB6" w:rsidRPr="00856DB6" w:rsidRDefault="00856DB6" w:rsidP="00856D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6DB6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8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6DB6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856DB6">
              <w:rPr>
                <w:rFonts w:ascii="Arial" w:hAnsi="Arial" w:cs="Arial"/>
                <w:sz w:val="20"/>
                <w:szCs w:val="20"/>
              </w:rPr>
              <w:t xml:space="preserve"> expert 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71A17D" w14:textId="3642468C" w:rsidR="00856DB6" w:rsidRPr="00DF5402" w:rsidRDefault="00465EA2" w:rsidP="00593A6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302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1880A6FA" w14:textId="183173C5" w:rsidR="00856DB6" w:rsidRPr="00796AF1" w:rsidRDefault="00856DB6" w:rsidP="00856DB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8DBFC8" w14:textId="24A8E1CA" w:rsidR="00856DB6" w:rsidRPr="00796AF1" w:rsidRDefault="00465EA2" w:rsidP="00593A6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14 000,-</w:t>
            </w:r>
          </w:p>
        </w:tc>
      </w:tr>
      <w:tr w:rsidR="00856DB6" w:rsidRPr="00A5360B" w14:paraId="44A413DB" w14:textId="55032CF4" w:rsidTr="00593A6D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6209C55" w14:textId="34D781B8" w:rsidR="00856DB6" w:rsidRPr="00856DB6" w:rsidRDefault="00856DB6" w:rsidP="00856D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6DB6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8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6DB6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856DB6">
              <w:rPr>
                <w:rFonts w:ascii="Arial" w:hAnsi="Arial" w:cs="Arial"/>
                <w:sz w:val="20"/>
                <w:szCs w:val="20"/>
              </w:rPr>
              <w:t xml:space="preserve"> expert II.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1A365A" w14:textId="47F67628" w:rsidR="00856DB6" w:rsidRPr="00796AF1" w:rsidRDefault="00465EA2" w:rsidP="00593A6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302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856DB6" w:rsidRPr="00796AF1" w:rsidRDefault="00856DB6" w:rsidP="00856DB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0698C" w14:textId="64745972" w:rsidR="00856DB6" w:rsidRPr="00796AF1" w:rsidRDefault="00465EA2" w:rsidP="00593A6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14 000,-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36.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"/>
      </v:shape>
    </w:pict>
  </w:numPicBullet>
  <w:numPicBullet w:numPicBulletId="2">
    <w:pict>
      <v:shape id="_x0000_i1028" type="#_x0000_t75" style="width:7.5pt;height:7.5pt" o:bullet="t">
        <v:imagedata r:id="rId3" o:title=""/>
      </v:shape>
    </w:pict>
  </w:numPicBullet>
  <w:numPicBullet w:numPicBulletId="3">
    <w:pict>
      <v:shape id="_x0000_i1029" type="#_x0000_t75" style="width:7.5pt;height:7.5pt" o:bullet="t">
        <v:imagedata r:id="rId4" o:title=""/>
      </v:shape>
    </w:pict>
  </w:numPicBullet>
  <w:numPicBullet w:numPicBulletId="4">
    <w:pict>
      <v:shape id="_x0000_i1030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7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8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9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2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4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5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6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8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9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1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4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5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5"/>
  </w:num>
  <w:num w:numId="2" w16cid:durableId="2507420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3"/>
  </w:num>
  <w:num w:numId="5" w16cid:durableId="1600867120">
    <w:abstractNumId w:val="17"/>
  </w:num>
  <w:num w:numId="6" w16cid:durableId="949317791">
    <w:abstractNumId w:val="13"/>
  </w:num>
  <w:num w:numId="7" w16cid:durableId="294872119">
    <w:abstractNumId w:val="41"/>
  </w:num>
  <w:num w:numId="8" w16cid:durableId="2060742888">
    <w:abstractNumId w:val="53"/>
  </w:num>
  <w:num w:numId="9" w16cid:durableId="745686164">
    <w:abstractNumId w:val="35"/>
  </w:num>
  <w:num w:numId="10" w16cid:durableId="1645768299">
    <w:abstractNumId w:val="27"/>
  </w:num>
  <w:num w:numId="11" w16cid:durableId="10037740">
    <w:abstractNumId w:val="23"/>
  </w:num>
  <w:num w:numId="12" w16cid:durableId="409543295">
    <w:abstractNumId w:val="38"/>
  </w:num>
  <w:num w:numId="13" w16cid:durableId="654459808">
    <w:abstractNumId w:val="37"/>
  </w:num>
  <w:num w:numId="14" w16cid:durableId="463155709">
    <w:abstractNumId w:val="10"/>
  </w:num>
  <w:num w:numId="15" w16cid:durableId="2120103895">
    <w:abstractNumId w:val="47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4"/>
  </w:num>
  <w:num w:numId="21" w16cid:durableId="106316517">
    <w:abstractNumId w:val="42"/>
  </w:num>
  <w:num w:numId="22" w16cid:durableId="1418865306">
    <w:abstractNumId w:val="46"/>
  </w:num>
  <w:num w:numId="23" w16cid:durableId="7706645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8"/>
  </w:num>
  <w:num w:numId="27" w16cid:durableId="173426749">
    <w:abstractNumId w:val="45"/>
  </w:num>
  <w:num w:numId="28" w16cid:durableId="758210841">
    <w:abstractNumId w:val="51"/>
  </w:num>
  <w:num w:numId="29" w16cid:durableId="359165940">
    <w:abstractNumId w:val="52"/>
  </w:num>
  <w:num w:numId="30" w16cid:durableId="2027823902">
    <w:abstractNumId w:val="28"/>
  </w:num>
  <w:num w:numId="31" w16cid:durableId="1480613658">
    <w:abstractNumId w:val="40"/>
  </w:num>
  <w:num w:numId="32" w16cid:durableId="112411444">
    <w:abstractNumId w:val="49"/>
  </w:num>
  <w:num w:numId="33" w16cid:durableId="1384864722">
    <w:abstractNumId w:val="39"/>
  </w:num>
  <w:num w:numId="34" w16cid:durableId="1364398714">
    <w:abstractNumId w:val="33"/>
  </w:num>
  <w:num w:numId="35" w16cid:durableId="1414161201">
    <w:abstractNumId w:val="6"/>
  </w:num>
  <w:num w:numId="36" w16cid:durableId="900405738">
    <w:abstractNumId w:val="19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1"/>
  </w:num>
  <w:num w:numId="40" w16cid:durableId="121701034">
    <w:abstractNumId w:val="7"/>
  </w:num>
  <w:num w:numId="41" w16cid:durableId="782190033">
    <w:abstractNumId w:val="29"/>
  </w:num>
  <w:num w:numId="42" w16cid:durableId="79330020">
    <w:abstractNumId w:val="24"/>
  </w:num>
  <w:num w:numId="43" w16cid:durableId="936643173">
    <w:abstractNumId w:val="56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0"/>
  </w:num>
  <w:num w:numId="47" w16cid:durableId="1609387607">
    <w:abstractNumId w:val="44"/>
  </w:num>
  <w:num w:numId="48" w16cid:durableId="1553732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6"/>
  </w:num>
  <w:num w:numId="51" w16cid:durableId="510222785">
    <w:abstractNumId w:val="36"/>
  </w:num>
  <w:num w:numId="52" w16cid:durableId="908535363">
    <w:abstractNumId w:val="11"/>
  </w:num>
  <w:num w:numId="53" w16cid:durableId="2147159868">
    <w:abstractNumId w:val="31"/>
  </w:num>
  <w:num w:numId="54" w16cid:durableId="1777947227">
    <w:abstractNumId w:val="55"/>
  </w:num>
  <w:num w:numId="55" w16cid:durableId="823737311">
    <w:abstractNumId w:val="22"/>
  </w:num>
  <w:num w:numId="56" w16cid:durableId="15195379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33795523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5EA2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302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1115</Words>
  <Characters>6506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22</cp:revision>
  <cp:lastPrinted>2022-11-22T11:37:00Z</cp:lastPrinted>
  <dcterms:created xsi:type="dcterms:W3CDTF">2023-08-14T19:38:00Z</dcterms:created>
  <dcterms:modified xsi:type="dcterms:W3CDTF">2023-12-13T16:17:00Z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