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6003" w14:textId="77777777" w:rsidR="00B0527A" w:rsidRPr="00B0527A" w:rsidRDefault="00B0527A" w:rsidP="00B0527A">
      <w:pPr>
        <w:spacing w:after="0"/>
        <w:jc w:val="center"/>
        <w:rPr>
          <w:b/>
          <w:bCs/>
        </w:rPr>
      </w:pPr>
      <w:r w:rsidRPr="00B0527A">
        <w:rPr>
          <w:b/>
          <w:bCs/>
        </w:rPr>
        <w:t>DODATEK Č. 2</w:t>
      </w:r>
    </w:p>
    <w:p w14:paraId="18FD419D" w14:textId="77777777" w:rsidR="00B0527A" w:rsidRDefault="00B0527A" w:rsidP="00B0527A">
      <w:pPr>
        <w:spacing w:after="0"/>
        <w:jc w:val="center"/>
        <w:rPr>
          <w:b/>
          <w:bCs/>
        </w:rPr>
      </w:pPr>
      <w:r w:rsidRPr="00B0527A">
        <w:rPr>
          <w:b/>
          <w:bCs/>
        </w:rPr>
        <w:t>KE KUPNÍ SMLOUVĚ</w:t>
      </w:r>
    </w:p>
    <w:p w14:paraId="2D5FC9C6" w14:textId="77777777" w:rsidR="00B0527A" w:rsidRPr="00B0527A" w:rsidRDefault="00B0527A" w:rsidP="00B0527A">
      <w:pPr>
        <w:spacing w:after="0"/>
        <w:jc w:val="center"/>
        <w:rPr>
          <w:b/>
          <w:bCs/>
        </w:rPr>
      </w:pPr>
    </w:p>
    <w:p w14:paraId="46CAD484" w14:textId="77777777" w:rsidR="00B0527A" w:rsidRDefault="00B0527A" w:rsidP="00B0527A">
      <w:pPr>
        <w:spacing w:after="0"/>
        <w:jc w:val="both"/>
      </w:pPr>
      <w:r>
        <w:t>Tento dodatek č. 2 ke kupní smlouvě („dodatek”), uzavírají níže uvedeného dne, měsíce a roku,</w:t>
      </w:r>
    </w:p>
    <w:p w14:paraId="6E47936F" w14:textId="77777777" w:rsidR="00B0527A" w:rsidRDefault="00B0527A" w:rsidP="00B0527A">
      <w:pPr>
        <w:spacing w:after="0"/>
        <w:jc w:val="both"/>
      </w:pPr>
      <w:r>
        <w:t>tyto smluvní strany:</w:t>
      </w:r>
    </w:p>
    <w:p w14:paraId="6B13A5CC" w14:textId="77777777" w:rsidR="00B0527A" w:rsidRDefault="00B0527A" w:rsidP="00B0527A">
      <w:pPr>
        <w:spacing w:after="0"/>
        <w:jc w:val="both"/>
      </w:pPr>
    </w:p>
    <w:p w14:paraId="718E411F" w14:textId="7461D6B5" w:rsidR="00B0527A" w:rsidRDefault="00B0527A" w:rsidP="00B0527A">
      <w:pPr>
        <w:spacing w:after="0"/>
        <w:jc w:val="both"/>
      </w:pPr>
      <w:r>
        <w:t xml:space="preserve">1) </w:t>
      </w:r>
      <w:r w:rsidRPr="00B0527A">
        <w:rPr>
          <w:b/>
          <w:bCs/>
        </w:rPr>
        <w:t>Karlovarská krajská nemocnice a.s.</w:t>
      </w:r>
      <w:r>
        <w:t>, se sídlem Bezručova 1190/19, 360 01 Karlovy Vary,</w:t>
      </w:r>
      <w:r>
        <w:t xml:space="preserve"> </w:t>
      </w:r>
      <w:r>
        <w:t xml:space="preserve">IČO: 263 65 804, zapsaná v obchodním rejstříku Krajského soudu v Plzni, </w:t>
      </w:r>
      <w:proofErr w:type="spellStart"/>
      <w:r>
        <w:t>sp</w:t>
      </w:r>
      <w:proofErr w:type="spellEnd"/>
      <w:r>
        <w:t>. zn. B 1205</w:t>
      </w:r>
    </w:p>
    <w:p w14:paraId="79652EC1" w14:textId="77777777" w:rsidR="00B0527A" w:rsidRDefault="00B0527A" w:rsidP="00B0527A">
      <w:pPr>
        <w:spacing w:after="0"/>
        <w:jc w:val="both"/>
      </w:pPr>
      <w:r>
        <w:t>(„</w:t>
      </w:r>
      <w:r w:rsidRPr="00B0527A">
        <w:rPr>
          <w:b/>
          <w:bCs/>
        </w:rPr>
        <w:t>kupující</w:t>
      </w:r>
      <w:r>
        <w:t>“), a</w:t>
      </w:r>
    </w:p>
    <w:p w14:paraId="1E217978" w14:textId="77777777" w:rsidR="00B0527A" w:rsidRDefault="00B0527A" w:rsidP="00B0527A">
      <w:pPr>
        <w:spacing w:after="0"/>
        <w:jc w:val="both"/>
      </w:pPr>
    </w:p>
    <w:p w14:paraId="49C5FA78" w14:textId="20530248" w:rsidR="00B0527A" w:rsidRDefault="00B0527A" w:rsidP="00B0527A">
      <w:pPr>
        <w:spacing w:after="0"/>
        <w:jc w:val="both"/>
      </w:pPr>
      <w:r>
        <w:t>2)</w:t>
      </w:r>
      <w:r>
        <w:t xml:space="preserve"> </w:t>
      </w:r>
      <w:proofErr w:type="spellStart"/>
      <w:r w:rsidRPr="00B0527A">
        <w:rPr>
          <w:b/>
          <w:bCs/>
        </w:rPr>
        <w:t>Olympus</w:t>
      </w:r>
      <w:proofErr w:type="spellEnd"/>
      <w:r w:rsidRPr="00B0527A">
        <w:rPr>
          <w:b/>
          <w:bCs/>
        </w:rPr>
        <w:t xml:space="preserve"> Czech Group, s.r.o., člen koncernu</w:t>
      </w:r>
      <w:r>
        <w:t xml:space="preserve">, se sídlem </w:t>
      </w:r>
      <w:proofErr w:type="gramStart"/>
      <w:r>
        <w:t>Praha - Praha</w:t>
      </w:r>
      <w:proofErr w:type="gramEnd"/>
      <w:r>
        <w:t xml:space="preserve"> 6, Evropská 176,</w:t>
      </w:r>
      <w:r>
        <w:t xml:space="preserve"> </w:t>
      </w:r>
      <w:r>
        <w:t xml:space="preserve">PSČ 16041, IČO: 270 68 641, zapsaná v obchodním rejstříku Městského soudu v Praze, </w:t>
      </w:r>
      <w:proofErr w:type="spellStart"/>
      <w:r>
        <w:t>sp</w:t>
      </w:r>
      <w:proofErr w:type="spellEnd"/>
      <w:r>
        <w:t>.</w:t>
      </w:r>
      <w:r>
        <w:t xml:space="preserve"> </w:t>
      </w:r>
      <w:r>
        <w:t>zn. C 93921 („</w:t>
      </w:r>
      <w:r w:rsidRPr="00B0527A">
        <w:rPr>
          <w:b/>
          <w:bCs/>
        </w:rPr>
        <w:t>prodávající</w:t>
      </w:r>
      <w:r>
        <w:t>“),</w:t>
      </w:r>
    </w:p>
    <w:p w14:paraId="2BABF71B" w14:textId="77777777" w:rsidR="00B0527A" w:rsidRDefault="00B0527A" w:rsidP="00B0527A">
      <w:pPr>
        <w:spacing w:after="0"/>
        <w:jc w:val="both"/>
      </w:pPr>
    </w:p>
    <w:p w14:paraId="230974FC" w14:textId="188B8063" w:rsidR="00B0527A" w:rsidRDefault="00B0527A" w:rsidP="00B0527A">
      <w:pPr>
        <w:spacing w:after="0"/>
        <w:jc w:val="both"/>
      </w:pPr>
      <w:r>
        <w:t>(kupující a prodávající společně dále také jako „</w:t>
      </w:r>
      <w:r w:rsidRPr="00B0527A">
        <w:rPr>
          <w:b/>
          <w:bCs/>
        </w:rPr>
        <w:t>smluvní strany</w:t>
      </w:r>
      <w:r>
        <w:t>“ a každý jednotlivě jako „</w:t>
      </w:r>
      <w:r w:rsidRPr="00B0527A">
        <w:rPr>
          <w:b/>
          <w:bCs/>
        </w:rPr>
        <w:t>smluvní</w:t>
      </w:r>
      <w:r>
        <w:rPr>
          <w:b/>
          <w:bCs/>
        </w:rPr>
        <w:t xml:space="preserve"> </w:t>
      </w:r>
      <w:r w:rsidRPr="00B0527A">
        <w:rPr>
          <w:b/>
          <w:bCs/>
        </w:rPr>
        <w:t>strana</w:t>
      </w:r>
      <w:r>
        <w:t>“)</w:t>
      </w:r>
    </w:p>
    <w:p w14:paraId="4E003FC6" w14:textId="77777777" w:rsidR="00B0527A" w:rsidRPr="00B0527A" w:rsidRDefault="00B0527A" w:rsidP="00B0527A">
      <w:pPr>
        <w:spacing w:after="0"/>
        <w:jc w:val="both"/>
        <w:rPr>
          <w:b/>
          <w:bCs/>
        </w:rPr>
      </w:pPr>
    </w:p>
    <w:p w14:paraId="3CD9A49D" w14:textId="77777777" w:rsidR="00B0527A" w:rsidRDefault="00B0527A" w:rsidP="00B0527A">
      <w:pPr>
        <w:spacing w:after="0"/>
        <w:jc w:val="both"/>
        <w:rPr>
          <w:b/>
          <w:bCs/>
        </w:rPr>
      </w:pPr>
      <w:r w:rsidRPr="00B0527A">
        <w:rPr>
          <w:b/>
          <w:bCs/>
        </w:rPr>
        <w:t>VZHLEDEM K TOMU, ŽE:</w:t>
      </w:r>
    </w:p>
    <w:p w14:paraId="37541C23" w14:textId="77777777" w:rsidR="00B0527A" w:rsidRPr="00B0527A" w:rsidRDefault="00B0527A" w:rsidP="00B0527A">
      <w:pPr>
        <w:spacing w:after="0"/>
        <w:jc w:val="both"/>
        <w:rPr>
          <w:b/>
          <w:bCs/>
        </w:rPr>
      </w:pPr>
    </w:p>
    <w:p w14:paraId="47861F9A" w14:textId="4B3F93F9" w:rsidR="00B0527A" w:rsidRDefault="00B0527A" w:rsidP="00B0527A">
      <w:pPr>
        <w:spacing w:after="0"/>
        <w:jc w:val="both"/>
      </w:pPr>
      <w:r>
        <w:t>(A) dne 31. srpna 2023 uzavřely smluvní strany v rámci veřejné zakázky s názvem „ReactEU-98-KV_ICG věž pro laparoskopickou operativu” kupní smlouvu („smlouva“), jejímž</w:t>
      </w:r>
      <w:r>
        <w:t xml:space="preserve"> </w:t>
      </w:r>
      <w:r>
        <w:t>předmětem je závazek prodávajícího dodat kupujícímu předmět smlouvy, jak je tento pojem</w:t>
      </w:r>
      <w:r>
        <w:t xml:space="preserve"> </w:t>
      </w:r>
      <w:r>
        <w:t>definován ve smlouvě, a převést na něj vlastnické právo k předmětu smlouvy, a tomu</w:t>
      </w:r>
      <w:r>
        <w:t xml:space="preserve"> </w:t>
      </w:r>
      <w:r>
        <w:t>odpovídající závazek kupujícího předmět smlouvy převzít a zaplatit za něj prodávajícímu</w:t>
      </w:r>
      <w:r>
        <w:t xml:space="preserve"> </w:t>
      </w:r>
      <w:r>
        <w:t>kupní cenu; a</w:t>
      </w:r>
    </w:p>
    <w:p w14:paraId="0A9C740F" w14:textId="77777777" w:rsidR="00B0527A" w:rsidRDefault="00B0527A" w:rsidP="00B0527A">
      <w:pPr>
        <w:spacing w:after="0"/>
        <w:jc w:val="both"/>
      </w:pPr>
    </w:p>
    <w:p w14:paraId="62FA5FB8" w14:textId="65D12250" w:rsidR="00B0527A" w:rsidRDefault="00B0527A" w:rsidP="00B0527A">
      <w:pPr>
        <w:spacing w:after="0"/>
        <w:jc w:val="both"/>
      </w:pPr>
      <w:r>
        <w:t>(B) smluvní strany potvrzují, že ke kompletnímu předání předmětu smlouvy prodávajícím a</w:t>
      </w:r>
      <w:r>
        <w:t xml:space="preserve"> </w:t>
      </w:r>
      <w:r>
        <w:t>převzetí předmětu smlouvy kupujícím do dnešního dne nedošlo, respektive prodávající dodal</w:t>
      </w:r>
      <w:r>
        <w:t xml:space="preserve"> </w:t>
      </w:r>
      <w:r>
        <w:t>kupujícímu do místa plnění veškeré jednotlivé položky tvořící předmět smlouvy, s</w:t>
      </w:r>
      <w:r>
        <w:t> </w:t>
      </w:r>
      <w:r>
        <w:t>výjimkou</w:t>
      </w:r>
      <w:r>
        <w:t xml:space="preserve"> </w:t>
      </w:r>
      <w:r>
        <w:t>položky označené jako</w:t>
      </w:r>
      <w:r>
        <w:t xml:space="preserve"> </w:t>
      </w:r>
      <w:proofErr w:type="spellStart"/>
      <w:r>
        <w:t>Insuflátor</w:t>
      </w:r>
      <w:proofErr w:type="spellEnd"/>
      <w:r>
        <w:t xml:space="preserve"> (</w:t>
      </w:r>
      <w:proofErr w:type="spellStart"/>
      <w:r>
        <w:t>Olympus</w:t>
      </w:r>
      <w:proofErr w:type="spellEnd"/>
      <w:r>
        <w:t xml:space="preserve"> UHI-4) v Příloze č. 1 smlouvy („</w:t>
      </w:r>
      <w:proofErr w:type="spellStart"/>
      <w:r>
        <w:t>insuflátor</w:t>
      </w:r>
      <w:proofErr w:type="spellEnd"/>
      <w:r>
        <w:t>“),</w:t>
      </w:r>
      <w:r>
        <w:t xml:space="preserve"> </w:t>
      </w:r>
      <w:r>
        <w:t>tedy jednoho z dílčích předmětů smlouvy; a</w:t>
      </w:r>
    </w:p>
    <w:p w14:paraId="597A71C0" w14:textId="77777777" w:rsidR="00B0527A" w:rsidRDefault="00B0527A" w:rsidP="00B0527A">
      <w:pPr>
        <w:spacing w:after="0"/>
        <w:jc w:val="both"/>
      </w:pPr>
    </w:p>
    <w:p w14:paraId="6EF35374" w14:textId="0B0D42F1" w:rsidR="00B0527A" w:rsidRDefault="00B0527A" w:rsidP="00B0527A">
      <w:pPr>
        <w:spacing w:after="0"/>
        <w:jc w:val="both"/>
      </w:pPr>
      <w:r>
        <w:t>(C) prodávající informoval v samostatném vyjádření kupujícího o konkrétních důvodech neúplné</w:t>
      </w:r>
      <w:r>
        <w:t xml:space="preserve"> </w:t>
      </w:r>
      <w:r>
        <w:t>dodávky uvedené v písmenu (B) výše, tedy že se vyskytl problém se vstupním komponentem</w:t>
      </w:r>
      <w:r>
        <w:t xml:space="preserve"> </w:t>
      </w:r>
      <w:r>
        <w:t>v technologickém řetězci, a na základě rozhodnutí výrobce z listopadu 2023 o pozastavení</w:t>
      </w:r>
      <w:r>
        <w:t xml:space="preserve"> </w:t>
      </w:r>
      <w:r>
        <w:t xml:space="preserve">dodávek </w:t>
      </w:r>
      <w:proofErr w:type="spellStart"/>
      <w:r>
        <w:t>insuflátoru</w:t>
      </w:r>
      <w:proofErr w:type="spellEnd"/>
      <w:r>
        <w:t>, které bylo poskytnuto kupujícímu, tak došlo k celosvětovému výpadku</w:t>
      </w:r>
      <w:r>
        <w:t xml:space="preserve"> </w:t>
      </w:r>
      <w:r>
        <w:t xml:space="preserve">(pozastavení dodávek) </w:t>
      </w:r>
      <w:proofErr w:type="spellStart"/>
      <w:r>
        <w:t>insuflátoru</w:t>
      </w:r>
      <w:proofErr w:type="spellEnd"/>
      <w:r>
        <w:t>; z tohoto důvodu není prodávající do doby vyřešení</w:t>
      </w:r>
      <w:r>
        <w:t xml:space="preserve"> </w:t>
      </w:r>
      <w:r>
        <w:t xml:space="preserve">nastalé situace, tj. do doby, než bude odstraněna příčina pozastavení a </w:t>
      </w:r>
      <w:proofErr w:type="spellStart"/>
      <w:r>
        <w:t>insuflátor</w:t>
      </w:r>
      <w:proofErr w:type="spellEnd"/>
      <w:r>
        <w:t xml:space="preserve"> bude opět</w:t>
      </w:r>
      <w:r>
        <w:t xml:space="preserve"> </w:t>
      </w:r>
      <w:r>
        <w:t xml:space="preserve">k dodání, nebo do doby, kdy příčina odstraněna nebude a </w:t>
      </w:r>
      <w:proofErr w:type="spellStart"/>
      <w:r>
        <w:t>insuflátor</w:t>
      </w:r>
      <w:proofErr w:type="spellEnd"/>
      <w:r>
        <w:t xml:space="preserve"> bude nahrazen jiným</w:t>
      </w:r>
      <w:r>
        <w:t xml:space="preserve"> </w:t>
      </w:r>
      <w:r>
        <w:t xml:space="preserve">(srovnatelným) zdravotnickým prostředkem, schopen kupujícímu </w:t>
      </w:r>
      <w:proofErr w:type="spellStart"/>
      <w:r>
        <w:t>insuflátor</w:t>
      </w:r>
      <w:proofErr w:type="spellEnd"/>
      <w:r>
        <w:t xml:space="preserve"> dodat; a</w:t>
      </w:r>
    </w:p>
    <w:p w14:paraId="1F432DCF" w14:textId="77777777" w:rsidR="00B0527A" w:rsidRDefault="00B0527A" w:rsidP="00B0527A">
      <w:pPr>
        <w:spacing w:after="0"/>
        <w:jc w:val="both"/>
      </w:pPr>
    </w:p>
    <w:p w14:paraId="219ED936" w14:textId="72BB7D24" w:rsidR="00B0527A" w:rsidRDefault="00B0527A" w:rsidP="00B0527A">
      <w:pPr>
        <w:spacing w:after="0"/>
        <w:jc w:val="both"/>
      </w:pPr>
      <w:r>
        <w:t>(D) smluvní strany mají zájem na vyřešení této situace především ku prospěchu a zdraví pacientů</w:t>
      </w:r>
      <w:r>
        <w:t xml:space="preserve"> </w:t>
      </w:r>
      <w:r>
        <w:t>tak, aby bylo možné předmět smlouvy užívat v plném rozsahu; a</w:t>
      </w:r>
    </w:p>
    <w:p w14:paraId="32F8D5DA" w14:textId="77777777" w:rsidR="00B0527A" w:rsidRDefault="00B0527A" w:rsidP="00B0527A">
      <w:pPr>
        <w:spacing w:after="0"/>
        <w:jc w:val="both"/>
      </w:pPr>
    </w:p>
    <w:p w14:paraId="6D4B7572" w14:textId="736DDB79" w:rsidR="00B0527A" w:rsidRDefault="00B0527A" w:rsidP="00B0527A">
      <w:pPr>
        <w:spacing w:after="0"/>
        <w:jc w:val="both"/>
      </w:pPr>
      <w:r>
        <w:t xml:space="preserve">(E) prodávající kupujícímu nabídl možnost nahrazení </w:t>
      </w:r>
      <w:proofErr w:type="spellStart"/>
      <w:r>
        <w:t>insuflátoru</w:t>
      </w:r>
      <w:proofErr w:type="spellEnd"/>
      <w:r>
        <w:t xml:space="preserve"> srovnatelným zdravotnickým</w:t>
      </w:r>
      <w:r>
        <w:t xml:space="preserve"> </w:t>
      </w:r>
      <w:r>
        <w:t>prostředkem od jiného výrobce (konkrétně se jedná o zdravotnický prostředek označený jako</w:t>
      </w:r>
      <w:r>
        <w:t xml:space="preserve"> </w:t>
      </w:r>
      <w:r>
        <w:t xml:space="preserve">„WOM FM134-N01“ výrobce W.O.M.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GmbH</w:t>
      </w:r>
      <w:proofErr w:type="spellEnd"/>
      <w:r>
        <w:t>), o němž prodávající</w:t>
      </w:r>
      <w:r>
        <w:t xml:space="preserve"> </w:t>
      </w:r>
      <w:r>
        <w:t>prohlašuje, že svými vlastnostmi plně odpovídá technickým a funkčním požadavkům</w:t>
      </w:r>
      <w:r>
        <w:t xml:space="preserve"> </w:t>
      </w:r>
      <w:r>
        <w:t>uvedeným v zadávací dokumentaci vztahující se k veřejné zakázce ohledně smlouvy; a</w:t>
      </w:r>
    </w:p>
    <w:p w14:paraId="02E57CB2" w14:textId="77777777" w:rsidR="00B0527A" w:rsidRDefault="00B0527A" w:rsidP="00B0527A">
      <w:pPr>
        <w:spacing w:after="0"/>
        <w:jc w:val="both"/>
      </w:pPr>
      <w:r>
        <w:lastRenderedPageBreak/>
        <w:t>(F) kupující s nahrazením podle písmene (E) výše souhlasí; a</w:t>
      </w:r>
    </w:p>
    <w:p w14:paraId="31FD0AA5" w14:textId="77777777" w:rsidR="00B0527A" w:rsidRDefault="00B0527A" w:rsidP="00B0527A">
      <w:pPr>
        <w:spacing w:after="0"/>
        <w:jc w:val="both"/>
      </w:pPr>
    </w:p>
    <w:p w14:paraId="0807996A" w14:textId="62D4805A" w:rsidR="00B0527A" w:rsidRDefault="00B0527A" w:rsidP="00B0527A">
      <w:pPr>
        <w:spacing w:after="0"/>
        <w:jc w:val="both"/>
      </w:pPr>
      <w:r>
        <w:t>(G) smluvní strany prohlašují, že uzavření tohoto dodatku nijak nemění povahu plnění smlouvy</w:t>
      </w:r>
      <w:r>
        <w:t xml:space="preserve"> </w:t>
      </w:r>
      <w:r>
        <w:t>a je vyvoláno pouze okolnostmi, které ani jedna ze smluvních stran v době uzavření smlouvy</w:t>
      </w:r>
      <w:r>
        <w:t xml:space="preserve"> </w:t>
      </w:r>
      <w:r>
        <w:t>nepředpokládala, ani předpokládat nemohla, a to ani při vynaložení veškeré náležité péče.</w:t>
      </w:r>
      <w:r>
        <w:t xml:space="preserve"> </w:t>
      </w:r>
      <w:r>
        <w:t>Smluvní strany současně prohlašují, že s ohledem na původní hodnotu závazků ze smlouvy</w:t>
      </w:r>
      <w:r>
        <w:t xml:space="preserve"> </w:t>
      </w:r>
      <w:r>
        <w:t>a hodnotu plnění,</w:t>
      </w:r>
      <w:r>
        <w:t xml:space="preserve"> </w:t>
      </w:r>
      <w:r>
        <w:t>dotčeného důvodem dle písm. (C) výše představuje tento dodatek změnu</w:t>
      </w:r>
      <w:r>
        <w:t xml:space="preserve"> </w:t>
      </w:r>
      <w:r>
        <w:t>de minimis dle § 222 odst. 6 zákona č. 134/2016 Sb., o zadávání veřejných zakázek, ve</w:t>
      </w:r>
      <w:r>
        <w:t xml:space="preserve"> </w:t>
      </w:r>
      <w:r>
        <w:t>znění pozdějších předpisů („ZZVZ“), neboť</w:t>
      </w:r>
    </w:p>
    <w:p w14:paraId="589B2E42" w14:textId="77777777" w:rsidR="00B0527A" w:rsidRDefault="00B0527A" w:rsidP="00B0527A">
      <w:pPr>
        <w:spacing w:after="0"/>
        <w:jc w:val="both"/>
      </w:pPr>
    </w:p>
    <w:p w14:paraId="421DA88C" w14:textId="24651257" w:rsidR="00B0527A" w:rsidRDefault="00B0527A" w:rsidP="00B0527A">
      <w:pPr>
        <w:pStyle w:val="Odstavecseseznamem"/>
        <w:numPr>
          <w:ilvl w:val="0"/>
          <w:numId w:val="1"/>
        </w:numPr>
        <w:spacing w:after="0"/>
        <w:jc w:val="both"/>
      </w:pPr>
      <w:r>
        <w:t>se jedná o změnu, která nemění celkovou povahu veřejné zakázky, a</w:t>
      </w:r>
    </w:p>
    <w:p w14:paraId="246DF75A" w14:textId="0D6DAB4B" w:rsidR="00B0527A" w:rsidRDefault="00B0527A" w:rsidP="00B0527A">
      <w:pPr>
        <w:pStyle w:val="Odstavecseseznamem"/>
        <w:numPr>
          <w:ilvl w:val="0"/>
          <w:numId w:val="1"/>
        </w:numPr>
        <w:spacing w:after="0"/>
        <w:jc w:val="both"/>
      </w:pPr>
      <w:r>
        <w:t>se jedná o změnu, jejíž potřeba vznikla v důsledku okolností, které zadavatel –</w:t>
      </w:r>
      <w:r>
        <w:t xml:space="preserve"> </w:t>
      </w:r>
      <w:r>
        <w:t>kupující jednající s náležitou péčí nemohl předvídat, a</w:t>
      </w:r>
    </w:p>
    <w:p w14:paraId="6EC6CAD6" w14:textId="48572B62" w:rsidR="00B0527A" w:rsidRDefault="00B0527A" w:rsidP="00B0527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hodnota </w:t>
      </w:r>
      <w:proofErr w:type="spellStart"/>
      <w:r>
        <w:t>insuflátoru</w:t>
      </w:r>
      <w:proofErr w:type="spellEnd"/>
      <w:r>
        <w:t xml:space="preserve"> odpovídá přibližně 5,9 % původní hodnoty závazku, tedy celková</w:t>
      </w:r>
      <w:r>
        <w:t xml:space="preserve"> </w:t>
      </w:r>
      <w:r>
        <w:t>hodnota změny odpovídá přibližně 11,8 % původní změny závazku; a</w:t>
      </w:r>
    </w:p>
    <w:p w14:paraId="5B606628" w14:textId="535A2BFF" w:rsidR="00B0527A" w:rsidRDefault="00B0527A" w:rsidP="00B0527A">
      <w:pPr>
        <w:pStyle w:val="Odstavecseseznamem"/>
        <w:numPr>
          <w:ilvl w:val="0"/>
          <w:numId w:val="1"/>
        </w:numPr>
        <w:spacing w:after="0"/>
        <w:jc w:val="both"/>
      </w:pPr>
      <w:r>
        <w:t>ke změně kupní ceny stanovené ve smlouvě nedochází;</w:t>
      </w:r>
    </w:p>
    <w:p w14:paraId="44CCDDEF" w14:textId="77777777" w:rsidR="00B0527A" w:rsidRDefault="00B0527A" w:rsidP="00B0527A">
      <w:pPr>
        <w:pStyle w:val="Odstavecseseznamem"/>
        <w:spacing w:after="0"/>
        <w:ind w:left="770"/>
        <w:jc w:val="both"/>
      </w:pPr>
    </w:p>
    <w:p w14:paraId="1C3BF476" w14:textId="77777777" w:rsidR="00B0527A" w:rsidRDefault="00B0527A" w:rsidP="00B0527A">
      <w:pPr>
        <w:spacing w:after="0"/>
        <w:jc w:val="both"/>
      </w:pPr>
      <w:r>
        <w:t>a dále se v souladu s ustanovením § 222 odst. 3 ZZVZ nejedná o podstatnou změnu, neboť</w:t>
      </w:r>
    </w:p>
    <w:p w14:paraId="431E03DF" w14:textId="77777777" w:rsidR="00B0527A" w:rsidRDefault="00B0527A" w:rsidP="00B0527A">
      <w:pPr>
        <w:spacing w:after="0"/>
        <w:jc w:val="both"/>
      </w:pPr>
      <w:r>
        <w:t>tato změna</w:t>
      </w:r>
    </w:p>
    <w:p w14:paraId="59CDEC8D" w14:textId="77777777" w:rsidR="00B0527A" w:rsidRDefault="00B0527A" w:rsidP="00B0527A">
      <w:pPr>
        <w:spacing w:after="0"/>
        <w:jc w:val="both"/>
      </w:pPr>
    </w:p>
    <w:p w14:paraId="5F74B46E" w14:textId="6878050E" w:rsidR="00B0527A" w:rsidRDefault="00B0527A" w:rsidP="00B0527A">
      <w:pPr>
        <w:pStyle w:val="Odstavecseseznamem"/>
        <w:numPr>
          <w:ilvl w:val="0"/>
          <w:numId w:val="2"/>
        </w:numPr>
        <w:spacing w:after="0"/>
        <w:jc w:val="both"/>
      </w:pPr>
      <w:r>
        <w:t>nemá vliv na zadávací podmínky původního zadávacího řízení</w:t>
      </w:r>
      <w:r>
        <w:t>,</w:t>
      </w:r>
      <w:r>
        <w:t xml:space="preserve"> a tudíž by i přes tuto</w:t>
      </w:r>
      <w:r>
        <w:t xml:space="preserve"> </w:t>
      </w:r>
      <w:r>
        <w:t>změnu nebyla umožněna účast jiných dodavatelů ani by nemohla ovlivnit výběr</w:t>
      </w:r>
      <w:r>
        <w:t xml:space="preserve"> </w:t>
      </w:r>
      <w:r>
        <w:t xml:space="preserve">dodavatele v původním zadávacím řízení (nahrazením </w:t>
      </w:r>
      <w:proofErr w:type="spellStart"/>
      <w:r>
        <w:t>insuflátoru</w:t>
      </w:r>
      <w:proofErr w:type="spellEnd"/>
      <w:r>
        <w:t xml:space="preserve"> jiným</w:t>
      </w:r>
      <w:r>
        <w:t xml:space="preserve"> </w:t>
      </w:r>
      <w:r>
        <w:t>zdravotnickým prostředkem v souladu s písmenem (E) výše nedochází ke změně</w:t>
      </w:r>
      <w:r>
        <w:t xml:space="preserve"> </w:t>
      </w:r>
      <w:r>
        <w:t>technických parametrů), a</w:t>
      </w:r>
    </w:p>
    <w:p w14:paraId="388639CF" w14:textId="6DD32D50" w:rsidR="00B0527A" w:rsidRDefault="00B0527A" w:rsidP="00B0527A">
      <w:pPr>
        <w:pStyle w:val="Odstavecseseznamem"/>
        <w:numPr>
          <w:ilvl w:val="0"/>
          <w:numId w:val="2"/>
        </w:numPr>
        <w:spacing w:after="0"/>
        <w:jc w:val="both"/>
      </w:pPr>
      <w:r>
        <w:t>nemění ekonomickou rovnováhu závazku ze smlouvy ve prospěch vybraného</w:t>
      </w:r>
      <w:r>
        <w:t xml:space="preserve"> </w:t>
      </w:r>
      <w:r>
        <w:t>dodavatele (jakékoliv náklady nad rámec původního závazku dodat jako součást</w:t>
      </w:r>
      <w:r>
        <w:t xml:space="preserve"> </w:t>
      </w:r>
      <w:r>
        <w:t xml:space="preserve">předmětu smlouvy </w:t>
      </w:r>
      <w:proofErr w:type="spellStart"/>
      <w:r>
        <w:t>insuflátor</w:t>
      </w:r>
      <w:proofErr w:type="spellEnd"/>
      <w:r>
        <w:t xml:space="preserve"> ponese prodávající), a</w:t>
      </w:r>
    </w:p>
    <w:p w14:paraId="5894B786" w14:textId="29ECA8B6" w:rsidR="00B0527A" w:rsidRDefault="00B0527A" w:rsidP="00B0527A">
      <w:pPr>
        <w:pStyle w:val="Odstavecseseznamem"/>
        <w:numPr>
          <w:ilvl w:val="0"/>
          <w:numId w:val="2"/>
        </w:numPr>
        <w:spacing w:after="0"/>
        <w:jc w:val="both"/>
      </w:pPr>
      <w:r>
        <w:t>nevede k významnému rozšíření rozsahu plnění veřejné zakázky (plnění nadále</w:t>
      </w:r>
      <w:r>
        <w:t xml:space="preserve"> </w:t>
      </w:r>
      <w:r>
        <w:t>spočívá v dodání ks ICG věže pro laparoskopickou operativu pro nemocnici v</w:t>
      </w:r>
      <w:r>
        <w:t xml:space="preserve"> </w:t>
      </w:r>
      <w:r>
        <w:t>Karlových Varech, jak je stanoveno ve smlouvě); a</w:t>
      </w:r>
    </w:p>
    <w:p w14:paraId="64C43B60" w14:textId="77777777" w:rsidR="00B0527A" w:rsidRDefault="00B0527A" w:rsidP="00B0527A">
      <w:pPr>
        <w:pStyle w:val="Odstavecseseznamem"/>
        <w:spacing w:after="0"/>
        <w:jc w:val="both"/>
      </w:pPr>
    </w:p>
    <w:p w14:paraId="5C516206" w14:textId="77777777" w:rsidR="00B0527A" w:rsidRDefault="00B0527A" w:rsidP="00B0527A">
      <w:pPr>
        <w:spacing w:after="0"/>
        <w:jc w:val="both"/>
      </w:pPr>
      <w:r>
        <w:t>(H) Smluvní strany tedy mají zájem upravit některá ustanovení Smlouvy;</w:t>
      </w:r>
    </w:p>
    <w:p w14:paraId="07281D03" w14:textId="77777777" w:rsidR="00B0527A" w:rsidRDefault="00B0527A" w:rsidP="00B0527A">
      <w:pPr>
        <w:spacing w:after="0"/>
        <w:jc w:val="both"/>
      </w:pPr>
    </w:p>
    <w:p w14:paraId="392A71EC" w14:textId="77777777" w:rsidR="00B0527A" w:rsidRDefault="00B0527A" w:rsidP="00B0527A">
      <w:pPr>
        <w:spacing w:after="0"/>
        <w:jc w:val="both"/>
        <w:rPr>
          <w:b/>
          <w:bCs/>
        </w:rPr>
      </w:pPr>
      <w:r w:rsidRPr="00B0527A">
        <w:rPr>
          <w:b/>
          <w:bCs/>
        </w:rPr>
        <w:t>DOHODLY SE SMLUVNÍ STRANY NÁSLEDOVNĚ:</w:t>
      </w:r>
    </w:p>
    <w:p w14:paraId="3FC5F2BF" w14:textId="77777777" w:rsidR="00B0527A" w:rsidRPr="00B0527A" w:rsidRDefault="00B0527A" w:rsidP="00B0527A">
      <w:pPr>
        <w:spacing w:after="0"/>
        <w:jc w:val="both"/>
        <w:rPr>
          <w:b/>
          <w:bCs/>
        </w:rPr>
      </w:pPr>
    </w:p>
    <w:p w14:paraId="2C613A3C" w14:textId="77777777" w:rsidR="00B0527A" w:rsidRDefault="00B0527A" w:rsidP="00B0527A">
      <w:pPr>
        <w:spacing w:after="0"/>
        <w:jc w:val="both"/>
        <w:rPr>
          <w:b/>
          <w:bCs/>
        </w:rPr>
      </w:pPr>
      <w:r w:rsidRPr="00B0527A">
        <w:rPr>
          <w:b/>
          <w:bCs/>
        </w:rPr>
        <w:t>1. ZMĚNY SMLOUVY</w:t>
      </w:r>
    </w:p>
    <w:p w14:paraId="287B6120" w14:textId="77777777" w:rsidR="00B0527A" w:rsidRPr="00B0527A" w:rsidRDefault="00B0527A" w:rsidP="00B0527A">
      <w:pPr>
        <w:spacing w:after="0"/>
        <w:jc w:val="both"/>
        <w:rPr>
          <w:b/>
          <w:bCs/>
        </w:rPr>
      </w:pPr>
    </w:p>
    <w:p w14:paraId="53AC2E7D" w14:textId="48A216E8" w:rsidR="00B0527A" w:rsidRDefault="00B0527A" w:rsidP="00B0527A">
      <w:pPr>
        <w:spacing w:after="0"/>
        <w:jc w:val="both"/>
      </w:pPr>
      <w:r>
        <w:t>1.1 Smluvní strany se dohodly, že smlouva se tímto dodatkem mění tak, že položky uvedené pod</w:t>
      </w:r>
      <w:r>
        <w:t xml:space="preserve"> </w:t>
      </w:r>
      <w:r>
        <w:t>označením „</w:t>
      </w:r>
      <w:proofErr w:type="spellStart"/>
      <w:r>
        <w:t>Insuflátor</w:t>
      </w:r>
      <w:proofErr w:type="spellEnd"/>
      <w:r>
        <w:t>“ v Příloze č. 1 – Technická specifikace dodávky zboží se ruší v</w:t>
      </w:r>
      <w:r>
        <w:t> </w:t>
      </w:r>
      <w:r>
        <w:t>plném</w:t>
      </w:r>
      <w:r>
        <w:t xml:space="preserve"> </w:t>
      </w:r>
      <w:r>
        <w:t>rozsahu a nahrazují se novou specifikací v následujícím znění:</w:t>
      </w:r>
    </w:p>
    <w:p w14:paraId="65C6F304" w14:textId="77777777" w:rsidR="00B0527A" w:rsidRDefault="00B0527A" w:rsidP="00B0527A">
      <w:pPr>
        <w:spacing w:after="0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527A" w14:paraId="70964B12" w14:textId="77777777" w:rsidTr="00C679A3">
        <w:trPr>
          <w:jc w:val="center"/>
        </w:trPr>
        <w:tc>
          <w:tcPr>
            <w:tcW w:w="3020" w:type="dxa"/>
            <w:shd w:val="clear" w:color="auto" w:fill="FFFEA0"/>
          </w:tcPr>
          <w:p w14:paraId="59AF9D5F" w14:textId="06B20F4F" w:rsidR="00B0527A" w:rsidRPr="00C679A3" w:rsidRDefault="00B0527A" w:rsidP="00B0527A">
            <w:pPr>
              <w:jc w:val="both"/>
              <w:rPr>
                <w:b/>
                <w:bCs/>
              </w:rPr>
            </w:pPr>
            <w:proofErr w:type="spellStart"/>
            <w:r w:rsidRPr="00C679A3">
              <w:rPr>
                <w:b/>
                <w:bCs/>
              </w:rPr>
              <w:t>Insuflátor</w:t>
            </w:r>
            <w:proofErr w:type="spellEnd"/>
            <w:r w:rsidRPr="00C679A3">
              <w:rPr>
                <w:b/>
                <w:bCs/>
              </w:rPr>
              <w:t>:</w:t>
            </w:r>
          </w:p>
        </w:tc>
        <w:tc>
          <w:tcPr>
            <w:tcW w:w="3021" w:type="dxa"/>
            <w:shd w:val="clear" w:color="auto" w:fill="FFFEA0"/>
            <w:vAlign w:val="center"/>
          </w:tcPr>
          <w:p w14:paraId="41352319" w14:textId="7ABC2A01" w:rsidR="00B0527A" w:rsidRDefault="00B0527A" w:rsidP="00C679A3">
            <w:pPr>
              <w:jc w:val="center"/>
            </w:pPr>
            <w:r>
              <w:t>1 ks</w:t>
            </w:r>
          </w:p>
        </w:tc>
        <w:tc>
          <w:tcPr>
            <w:tcW w:w="3021" w:type="dxa"/>
            <w:shd w:val="clear" w:color="auto" w:fill="FFFEA0"/>
            <w:vAlign w:val="center"/>
          </w:tcPr>
          <w:p w14:paraId="2E904AE7" w14:textId="25756FF3" w:rsidR="00B0527A" w:rsidRDefault="00B0527A" w:rsidP="00C679A3">
            <w:pPr>
              <w:spacing w:line="259" w:lineRule="auto"/>
              <w:jc w:val="center"/>
            </w:pPr>
            <w:r>
              <w:t>WOM FM134-N01</w:t>
            </w:r>
          </w:p>
        </w:tc>
      </w:tr>
      <w:tr w:rsidR="00B0527A" w14:paraId="1BD8938B" w14:textId="77777777" w:rsidTr="00C679A3">
        <w:trPr>
          <w:jc w:val="center"/>
        </w:trPr>
        <w:tc>
          <w:tcPr>
            <w:tcW w:w="3020" w:type="dxa"/>
          </w:tcPr>
          <w:p w14:paraId="50CAD27F" w14:textId="33B083CF" w:rsidR="00B0527A" w:rsidRDefault="00C679A3" w:rsidP="00B0527A">
            <w:pPr>
              <w:jc w:val="both"/>
            </w:pPr>
            <w:r>
              <w:t>Maximální průtok min. 45 l/min</w:t>
            </w:r>
          </w:p>
        </w:tc>
        <w:tc>
          <w:tcPr>
            <w:tcW w:w="3021" w:type="dxa"/>
            <w:vAlign w:val="center"/>
          </w:tcPr>
          <w:p w14:paraId="0FFA2DC7" w14:textId="3FA5A2A9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0BBAE464" w14:textId="26C3F864" w:rsidR="00B0527A" w:rsidRDefault="00C679A3" w:rsidP="00C679A3">
            <w:pPr>
              <w:jc w:val="center"/>
            </w:pPr>
            <w:r>
              <w:t>ANO 50 l/min</w:t>
            </w:r>
          </w:p>
        </w:tc>
      </w:tr>
      <w:tr w:rsidR="00B0527A" w14:paraId="19D0775F" w14:textId="77777777" w:rsidTr="00C679A3">
        <w:trPr>
          <w:jc w:val="center"/>
        </w:trPr>
        <w:tc>
          <w:tcPr>
            <w:tcW w:w="3020" w:type="dxa"/>
          </w:tcPr>
          <w:p w14:paraId="5EA0EC59" w14:textId="1D11B863" w:rsidR="00B0527A" w:rsidRDefault="00C679A3" w:rsidP="00C679A3">
            <w:pPr>
              <w:spacing w:line="259" w:lineRule="auto"/>
              <w:jc w:val="both"/>
            </w:pPr>
            <w:r>
              <w:t>Nutnost automatické kontroly a regulace insuflace k</w:t>
            </w:r>
            <w:r>
              <w:t xml:space="preserve"> </w:t>
            </w:r>
            <w:r>
              <w:t>nastavené hodnotě tlaku média (ochrana proti přeplnění</w:t>
            </w:r>
            <w:r>
              <w:t xml:space="preserve"> </w:t>
            </w:r>
            <w:r>
              <w:t>pacienta)</w:t>
            </w:r>
          </w:p>
        </w:tc>
        <w:tc>
          <w:tcPr>
            <w:tcW w:w="3021" w:type="dxa"/>
            <w:vAlign w:val="center"/>
          </w:tcPr>
          <w:p w14:paraId="5E97FCA7" w14:textId="6144CB61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0B9140E3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07C48935" w14:textId="77777777" w:rsidR="00B0527A" w:rsidRDefault="00B0527A" w:rsidP="00C679A3">
            <w:pPr>
              <w:jc w:val="center"/>
            </w:pPr>
          </w:p>
        </w:tc>
      </w:tr>
      <w:tr w:rsidR="00B0527A" w14:paraId="6140DA64" w14:textId="77777777" w:rsidTr="00C679A3">
        <w:trPr>
          <w:jc w:val="center"/>
        </w:trPr>
        <w:tc>
          <w:tcPr>
            <w:tcW w:w="3020" w:type="dxa"/>
          </w:tcPr>
          <w:p w14:paraId="6D802511" w14:textId="3A2436C7" w:rsidR="00B0527A" w:rsidRDefault="00C679A3" w:rsidP="00B0527A">
            <w:pPr>
              <w:jc w:val="both"/>
            </w:pPr>
            <w:r>
              <w:t>Indikátor stavu láhve s CO2</w:t>
            </w:r>
          </w:p>
        </w:tc>
        <w:tc>
          <w:tcPr>
            <w:tcW w:w="3021" w:type="dxa"/>
            <w:vAlign w:val="center"/>
          </w:tcPr>
          <w:p w14:paraId="681AE7CC" w14:textId="6BFF3EBB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6B3B693B" w14:textId="7F837251" w:rsidR="00B0527A" w:rsidRDefault="00C679A3" w:rsidP="00C679A3">
            <w:pPr>
              <w:spacing w:line="259" w:lineRule="auto"/>
              <w:jc w:val="center"/>
            </w:pPr>
            <w:r>
              <w:t>ANO</w:t>
            </w:r>
          </w:p>
        </w:tc>
      </w:tr>
      <w:tr w:rsidR="00B0527A" w14:paraId="0B604DA0" w14:textId="77777777" w:rsidTr="00C679A3">
        <w:trPr>
          <w:jc w:val="center"/>
        </w:trPr>
        <w:tc>
          <w:tcPr>
            <w:tcW w:w="3020" w:type="dxa"/>
          </w:tcPr>
          <w:p w14:paraId="10072624" w14:textId="5CD77FB4" w:rsidR="00B0527A" w:rsidRDefault="00C679A3" w:rsidP="00B0527A">
            <w:pPr>
              <w:jc w:val="both"/>
            </w:pPr>
            <w:r>
              <w:t xml:space="preserve">Rozsah tlaku min. </w:t>
            </w:r>
            <w:proofErr w:type="gramStart"/>
            <w:r>
              <w:t>3 - 25</w:t>
            </w:r>
            <w:proofErr w:type="gramEnd"/>
            <w:r>
              <w:t xml:space="preserve"> mm </w:t>
            </w:r>
            <w:proofErr w:type="spellStart"/>
            <w:r>
              <w:t>Hg</w:t>
            </w:r>
            <w:proofErr w:type="spellEnd"/>
          </w:p>
        </w:tc>
        <w:tc>
          <w:tcPr>
            <w:tcW w:w="3021" w:type="dxa"/>
            <w:vAlign w:val="center"/>
          </w:tcPr>
          <w:p w14:paraId="7D4EF78F" w14:textId="65614A63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597C29E6" w14:textId="35330AEB" w:rsidR="00B0527A" w:rsidRDefault="00C679A3" w:rsidP="00C679A3">
            <w:pPr>
              <w:spacing w:line="259" w:lineRule="auto"/>
              <w:jc w:val="center"/>
            </w:pPr>
            <w:r>
              <w:t xml:space="preserve">ANO </w:t>
            </w:r>
            <w:proofErr w:type="gramStart"/>
            <w:r>
              <w:t>0 - 25</w:t>
            </w:r>
            <w:proofErr w:type="gramEnd"/>
            <w:r>
              <w:t xml:space="preserve"> mm </w:t>
            </w:r>
            <w:proofErr w:type="spellStart"/>
            <w:r>
              <w:t>Hg</w:t>
            </w:r>
            <w:proofErr w:type="spellEnd"/>
          </w:p>
        </w:tc>
      </w:tr>
      <w:tr w:rsidR="00B0527A" w14:paraId="1DA8268C" w14:textId="77777777" w:rsidTr="00C679A3">
        <w:trPr>
          <w:jc w:val="center"/>
        </w:trPr>
        <w:tc>
          <w:tcPr>
            <w:tcW w:w="3020" w:type="dxa"/>
          </w:tcPr>
          <w:p w14:paraId="088EAA47" w14:textId="36F02B42" w:rsidR="00B0527A" w:rsidRDefault="00C679A3" w:rsidP="00B0527A">
            <w:pPr>
              <w:jc w:val="both"/>
            </w:pPr>
            <w:r>
              <w:t>Volitelná rychlost průtoku – min. 3 nastavené rychlosti</w:t>
            </w:r>
          </w:p>
        </w:tc>
        <w:tc>
          <w:tcPr>
            <w:tcW w:w="3021" w:type="dxa"/>
            <w:vAlign w:val="center"/>
          </w:tcPr>
          <w:p w14:paraId="64270D47" w14:textId="507963CD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4935526E" w14:textId="24EBF253" w:rsidR="00B0527A" w:rsidRDefault="00C679A3" w:rsidP="00C679A3">
            <w:pPr>
              <w:jc w:val="center"/>
            </w:pPr>
            <w:r>
              <w:t>ANO 3 nastavitelné rychlosti</w:t>
            </w:r>
          </w:p>
        </w:tc>
      </w:tr>
      <w:tr w:rsidR="00B0527A" w14:paraId="680D7745" w14:textId="77777777" w:rsidTr="00C679A3">
        <w:trPr>
          <w:jc w:val="center"/>
        </w:trPr>
        <w:tc>
          <w:tcPr>
            <w:tcW w:w="3020" w:type="dxa"/>
          </w:tcPr>
          <w:p w14:paraId="56DB8181" w14:textId="11131197" w:rsidR="00B0527A" w:rsidRDefault="00C679A3" w:rsidP="00B0527A">
            <w:pPr>
              <w:jc w:val="both"/>
            </w:pPr>
            <w:r>
              <w:t xml:space="preserve">Přístroj má desuflační režim, kdy </w:t>
            </w:r>
            <w:proofErr w:type="spellStart"/>
            <w:r>
              <w:t>desuflace</w:t>
            </w:r>
            <w:proofErr w:type="spellEnd"/>
            <w:r>
              <w:t xml:space="preserve"> je automaticky spuštěna elektrochirurgickým generátorem při použití elektrochirurgického nástroje</w:t>
            </w:r>
          </w:p>
        </w:tc>
        <w:tc>
          <w:tcPr>
            <w:tcW w:w="3021" w:type="dxa"/>
            <w:vAlign w:val="center"/>
          </w:tcPr>
          <w:p w14:paraId="3E0417FE" w14:textId="7C01511F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17BB1E1E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3E1934DA" w14:textId="77777777" w:rsidR="00B0527A" w:rsidRDefault="00B0527A" w:rsidP="00C679A3">
            <w:pPr>
              <w:jc w:val="center"/>
            </w:pPr>
          </w:p>
        </w:tc>
      </w:tr>
      <w:tr w:rsidR="00B0527A" w14:paraId="61898627" w14:textId="77777777" w:rsidTr="00C679A3">
        <w:trPr>
          <w:jc w:val="center"/>
        </w:trPr>
        <w:tc>
          <w:tcPr>
            <w:tcW w:w="3020" w:type="dxa"/>
          </w:tcPr>
          <w:p w14:paraId="67A5775E" w14:textId="43CD859D" w:rsidR="00B0527A" w:rsidRDefault="00C679A3" w:rsidP="00B0527A">
            <w:pPr>
              <w:jc w:val="both"/>
            </w:pPr>
            <w:r>
              <w:t xml:space="preserve">Možnost také manuálního spuštění </w:t>
            </w:r>
            <w:proofErr w:type="spellStart"/>
            <w:r>
              <w:t>desuflace</w:t>
            </w:r>
            <w:proofErr w:type="spellEnd"/>
          </w:p>
        </w:tc>
        <w:tc>
          <w:tcPr>
            <w:tcW w:w="3021" w:type="dxa"/>
            <w:vAlign w:val="center"/>
          </w:tcPr>
          <w:p w14:paraId="51E1412A" w14:textId="225B494D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58F24DB3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498DD74D" w14:textId="77777777" w:rsidR="00B0527A" w:rsidRDefault="00B0527A" w:rsidP="00C679A3">
            <w:pPr>
              <w:jc w:val="center"/>
            </w:pPr>
          </w:p>
        </w:tc>
      </w:tr>
      <w:tr w:rsidR="00B0527A" w14:paraId="5F2FD88A" w14:textId="77777777" w:rsidTr="00C679A3">
        <w:trPr>
          <w:jc w:val="center"/>
        </w:trPr>
        <w:tc>
          <w:tcPr>
            <w:tcW w:w="3020" w:type="dxa"/>
          </w:tcPr>
          <w:p w14:paraId="73EC768F" w14:textId="0B51CF95" w:rsidR="00B0527A" w:rsidRDefault="00C679A3" w:rsidP="00B0527A">
            <w:pPr>
              <w:jc w:val="both"/>
            </w:pPr>
            <w:r>
              <w:t>Volitelná intenzita odsávání kouře a aerosolu</w:t>
            </w:r>
          </w:p>
        </w:tc>
        <w:tc>
          <w:tcPr>
            <w:tcW w:w="3021" w:type="dxa"/>
            <w:vAlign w:val="center"/>
          </w:tcPr>
          <w:p w14:paraId="518D3778" w14:textId="28D78A7A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31AF10A3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3195E99C" w14:textId="77777777" w:rsidR="00B0527A" w:rsidRDefault="00B0527A" w:rsidP="00C679A3">
            <w:pPr>
              <w:jc w:val="center"/>
            </w:pPr>
          </w:p>
        </w:tc>
      </w:tr>
      <w:tr w:rsidR="00B0527A" w14:paraId="2AC94055" w14:textId="77777777" w:rsidTr="00C679A3">
        <w:trPr>
          <w:jc w:val="center"/>
        </w:trPr>
        <w:tc>
          <w:tcPr>
            <w:tcW w:w="3020" w:type="dxa"/>
          </w:tcPr>
          <w:p w14:paraId="4993224A" w14:textId="636DE518" w:rsidR="00B0527A" w:rsidRDefault="00C679A3" w:rsidP="00B0527A">
            <w:pPr>
              <w:jc w:val="both"/>
            </w:pPr>
            <w:r>
              <w:t>Dětský režim pro insuflaci malých dutin</w:t>
            </w:r>
          </w:p>
        </w:tc>
        <w:tc>
          <w:tcPr>
            <w:tcW w:w="3021" w:type="dxa"/>
            <w:vAlign w:val="center"/>
          </w:tcPr>
          <w:p w14:paraId="2C9749E6" w14:textId="656B8C12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42FACE4D" w14:textId="3EEE4694" w:rsidR="00B0527A" w:rsidRDefault="00C679A3" w:rsidP="00C679A3">
            <w:pPr>
              <w:spacing w:line="259" w:lineRule="auto"/>
              <w:jc w:val="center"/>
            </w:pPr>
            <w:r>
              <w:t>ANO</w:t>
            </w:r>
          </w:p>
        </w:tc>
      </w:tr>
      <w:tr w:rsidR="00B0527A" w14:paraId="6788629C" w14:textId="77777777" w:rsidTr="00C679A3">
        <w:trPr>
          <w:jc w:val="center"/>
        </w:trPr>
        <w:tc>
          <w:tcPr>
            <w:tcW w:w="3020" w:type="dxa"/>
          </w:tcPr>
          <w:p w14:paraId="05B5C6FD" w14:textId="49C0696B" w:rsidR="00B0527A" w:rsidRDefault="00C679A3" w:rsidP="00B0527A">
            <w:pPr>
              <w:jc w:val="both"/>
            </w:pPr>
            <w:r>
              <w:t>Možnost připojení na centrální rozvod CO2</w:t>
            </w:r>
          </w:p>
        </w:tc>
        <w:tc>
          <w:tcPr>
            <w:tcW w:w="3021" w:type="dxa"/>
            <w:vAlign w:val="center"/>
          </w:tcPr>
          <w:p w14:paraId="299F7DAD" w14:textId="37F219BD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749813AD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66A51E4D" w14:textId="77777777" w:rsidR="00B0527A" w:rsidRDefault="00B0527A" w:rsidP="00C679A3">
            <w:pPr>
              <w:jc w:val="center"/>
            </w:pPr>
          </w:p>
        </w:tc>
      </w:tr>
      <w:tr w:rsidR="00B0527A" w14:paraId="3041B8B9" w14:textId="77777777" w:rsidTr="00C679A3">
        <w:trPr>
          <w:jc w:val="center"/>
        </w:trPr>
        <w:tc>
          <w:tcPr>
            <w:tcW w:w="3020" w:type="dxa"/>
          </w:tcPr>
          <w:p w14:paraId="1231A995" w14:textId="319F2A80" w:rsidR="00C679A3" w:rsidRDefault="00C679A3" w:rsidP="00C679A3">
            <w:pPr>
              <w:spacing w:after="0"/>
              <w:jc w:val="both"/>
            </w:pPr>
            <w:r>
              <w:t>Včetně základního příslušenství pro provoz (insuflační a</w:t>
            </w:r>
            <w:r>
              <w:t xml:space="preserve"> </w:t>
            </w:r>
            <w:proofErr w:type="spellStart"/>
            <w:r>
              <w:t>desuflační</w:t>
            </w:r>
            <w:proofErr w:type="spellEnd"/>
            <w:r>
              <w:t xml:space="preserve"> hadice, vysokotlaká hadice, filtr, hadice</w:t>
            </w:r>
            <w:r>
              <w:t xml:space="preserve"> </w:t>
            </w:r>
            <w:r>
              <w:t>k centrálnímu rozvodu CO2)</w:t>
            </w:r>
          </w:p>
          <w:p w14:paraId="763BF76D" w14:textId="77777777" w:rsidR="00B0527A" w:rsidRDefault="00B0527A" w:rsidP="00B0527A">
            <w:pPr>
              <w:jc w:val="both"/>
            </w:pPr>
          </w:p>
        </w:tc>
        <w:tc>
          <w:tcPr>
            <w:tcW w:w="3021" w:type="dxa"/>
            <w:vAlign w:val="center"/>
          </w:tcPr>
          <w:p w14:paraId="758FFAFE" w14:textId="3CB9DB7C" w:rsidR="00B0527A" w:rsidRDefault="00C679A3" w:rsidP="00C679A3">
            <w:pPr>
              <w:jc w:val="center"/>
            </w:pPr>
            <w:r>
              <w:t>ANO</w:t>
            </w:r>
          </w:p>
        </w:tc>
        <w:tc>
          <w:tcPr>
            <w:tcW w:w="3021" w:type="dxa"/>
            <w:vAlign w:val="center"/>
          </w:tcPr>
          <w:p w14:paraId="7095E6A5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2F9CDFC8" w14:textId="77777777" w:rsidR="00B0527A" w:rsidRDefault="00B0527A" w:rsidP="00C679A3">
            <w:pPr>
              <w:jc w:val="center"/>
            </w:pPr>
          </w:p>
        </w:tc>
      </w:tr>
      <w:tr w:rsidR="00B0527A" w14:paraId="6916A6AF" w14:textId="77777777" w:rsidTr="00C679A3">
        <w:trPr>
          <w:jc w:val="center"/>
        </w:trPr>
        <w:tc>
          <w:tcPr>
            <w:tcW w:w="3020" w:type="dxa"/>
          </w:tcPr>
          <w:p w14:paraId="724181DE" w14:textId="77777777" w:rsidR="00C679A3" w:rsidRDefault="00C679A3" w:rsidP="00C679A3">
            <w:pPr>
              <w:spacing w:after="0"/>
              <w:jc w:val="both"/>
            </w:pPr>
            <w:r>
              <w:t>Integrovaný, nebo samostatný modul předehřevu CO2 vč. 2</w:t>
            </w:r>
          </w:p>
          <w:p w14:paraId="64586C78" w14:textId="04DFF5E9" w:rsidR="00B0527A" w:rsidRDefault="00C679A3" w:rsidP="00C679A3">
            <w:pPr>
              <w:spacing w:line="259" w:lineRule="auto"/>
              <w:jc w:val="both"/>
            </w:pPr>
            <w:r>
              <w:t>ks insuflačních hadic s předehřevem,</w:t>
            </w:r>
            <w:r>
              <w:t xml:space="preserve"> </w:t>
            </w:r>
            <w:proofErr w:type="spellStart"/>
            <w:r>
              <w:t>resterilizovatelných</w:t>
            </w:r>
            <w:proofErr w:type="spellEnd"/>
            <w:r>
              <w:t xml:space="preserve"> na</w:t>
            </w:r>
            <w:r>
              <w:t xml:space="preserve"> </w:t>
            </w:r>
            <w:r>
              <w:t>neomezený počet sterilizací</w:t>
            </w:r>
          </w:p>
        </w:tc>
        <w:tc>
          <w:tcPr>
            <w:tcW w:w="3021" w:type="dxa"/>
            <w:vAlign w:val="center"/>
          </w:tcPr>
          <w:p w14:paraId="7C9AB501" w14:textId="77777777" w:rsidR="00C679A3" w:rsidRDefault="00C679A3" w:rsidP="00C679A3">
            <w:pPr>
              <w:spacing w:after="0"/>
              <w:jc w:val="center"/>
            </w:pPr>
            <w:r>
              <w:t>ANO</w:t>
            </w:r>
          </w:p>
          <w:p w14:paraId="2F461A93" w14:textId="77777777" w:rsidR="00B0527A" w:rsidRDefault="00B0527A" w:rsidP="00C679A3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5D7B9AD" w14:textId="3FA62FE1" w:rsidR="00C679A3" w:rsidRDefault="00C679A3" w:rsidP="00C679A3">
            <w:pPr>
              <w:spacing w:after="0"/>
              <w:jc w:val="center"/>
            </w:pPr>
            <w:r>
              <w:t>ANO integrovaný</w:t>
            </w:r>
            <w:r>
              <w:t xml:space="preserve"> </w:t>
            </w:r>
            <w:r>
              <w:t>modul, včetně 2 ks</w:t>
            </w:r>
            <w:r>
              <w:t xml:space="preserve"> </w:t>
            </w:r>
            <w:proofErr w:type="spellStart"/>
            <w:r>
              <w:t>resterilizovatelných</w:t>
            </w:r>
            <w:proofErr w:type="spellEnd"/>
          </w:p>
          <w:p w14:paraId="2F765138" w14:textId="6D8B20AD" w:rsidR="00B0527A" w:rsidRDefault="00C679A3" w:rsidP="00C679A3">
            <w:pPr>
              <w:spacing w:line="259" w:lineRule="auto"/>
              <w:jc w:val="center"/>
            </w:pPr>
            <w:r>
              <w:t>insuflačních hadic s</w:t>
            </w:r>
            <w:r>
              <w:t xml:space="preserve"> </w:t>
            </w:r>
            <w:r>
              <w:t>předehřevem (na</w:t>
            </w:r>
            <w:r>
              <w:t xml:space="preserve"> </w:t>
            </w:r>
            <w:r>
              <w:t>neomezený počet</w:t>
            </w:r>
            <w:r>
              <w:t xml:space="preserve"> </w:t>
            </w:r>
            <w:r>
              <w:t>sterilizací)</w:t>
            </w:r>
          </w:p>
        </w:tc>
      </w:tr>
    </w:tbl>
    <w:p w14:paraId="6429A20C" w14:textId="597851D4" w:rsidR="00B0527A" w:rsidRDefault="00B0527A" w:rsidP="00B0527A">
      <w:pPr>
        <w:spacing w:after="0"/>
        <w:jc w:val="both"/>
      </w:pPr>
    </w:p>
    <w:p w14:paraId="2C3A890B" w14:textId="77777777" w:rsidR="00B0527A" w:rsidRDefault="00B0527A" w:rsidP="00B0527A">
      <w:pPr>
        <w:spacing w:after="0"/>
        <w:jc w:val="both"/>
      </w:pPr>
      <w:r>
        <w:t>1.2 Všechna ostatní ustanovení Smlouvy zůstávají tímto Dodatkem nedotčena.</w:t>
      </w:r>
    </w:p>
    <w:p w14:paraId="1D66335C" w14:textId="77777777" w:rsidR="00C679A3" w:rsidRDefault="00C679A3" w:rsidP="00B0527A">
      <w:pPr>
        <w:spacing w:after="0"/>
        <w:jc w:val="both"/>
      </w:pPr>
    </w:p>
    <w:p w14:paraId="5CA826F0" w14:textId="77777777" w:rsidR="00B0527A" w:rsidRDefault="00B0527A" w:rsidP="00B0527A">
      <w:pPr>
        <w:spacing w:after="0"/>
        <w:jc w:val="both"/>
        <w:rPr>
          <w:b/>
          <w:bCs/>
        </w:rPr>
      </w:pPr>
      <w:r w:rsidRPr="00C679A3">
        <w:rPr>
          <w:b/>
          <w:bCs/>
        </w:rPr>
        <w:t>2. ZÁVĚREČNÁ USTANOVENÍ</w:t>
      </w:r>
    </w:p>
    <w:p w14:paraId="7BC47610" w14:textId="77777777" w:rsidR="00C679A3" w:rsidRPr="00C679A3" w:rsidRDefault="00C679A3" w:rsidP="00B0527A">
      <w:pPr>
        <w:spacing w:after="0"/>
        <w:jc w:val="both"/>
        <w:rPr>
          <w:b/>
          <w:bCs/>
        </w:rPr>
      </w:pPr>
    </w:p>
    <w:p w14:paraId="7FC56F52" w14:textId="1EE20755" w:rsidR="00B0527A" w:rsidRDefault="00B0527A" w:rsidP="00B0527A">
      <w:pPr>
        <w:spacing w:after="0"/>
        <w:jc w:val="both"/>
      </w:pPr>
      <w:r>
        <w:t>2.1 Smluvní strany berou na vědomí a souhlasí, že tento dodatek se uzavírá nezávisle na</w:t>
      </w:r>
      <w:r w:rsidR="00C679A3">
        <w:t xml:space="preserve"> </w:t>
      </w:r>
      <w:r>
        <w:t>jakýchkoliv dalších obchodních transakcích a na rozhodnutích ohledně dodávek nebo nákupu</w:t>
      </w:r>
      <w:r w:rsidR="00C679A3">
        <w:t xml:space="preserve"> </w:t>
      </w:r>
      <w:r>
        <w:t>zboží a služeb od prodávajícího, a že uzavření tohoto dodatku je pouhým narovnáním situace</w:t>
      </w:r>
      <w:r w:rsidR="00C679A3">
        <w:t xml:space="preserve"> </w:t>
      </w:r>
      <w:r>
        <w:t xml:space="preserve">vzniklé v důsledku nepředpokládaného a neočekávaného rozhodnutí výrobce </w:t>
      </w:r>
      <w:proofErr w:type="spellStart"/>
      <w:r>
        <w:t>insuflátoru</w:t>
      </w:r>
      <w:proofErr w:type="spellEnd"/>
      <w:r>
        <w:t>, jak</w:t>
      </w:r>
      <w:r w:rsidR="00C679A3">
        <w:t xml:space="preserve"> </w:t>
      </w:r>
      <w:r>
        <w:t>je uvedeno v písm. (C).</w:t>
      </w:r>
    </w:p>
    <w:p w14:paraId="7AFA2144" w14:textId="77777777" w:rsidR="00C679A3" w:rsidRDefault="00C679A3" w:rsidP="00B0527A">
      <w:pPr>
        <w:spacing w:after="0"/>
        <w:jc w:val="both"/>
      </w:pPr>
    </w:p>
    <w:p w14:paraId="5567FF84" w14:textId="02C6174C" w:rsidR="00B0527A" w:rsidRDefault="00B0527A" w:rsidP="00B0527A">
      <w:pPr>
        <w:spacing w:after="0"/>
        <w:jc w:val="both"/>
      </w:pPr>
      <w:r>
        <w:t>2.2 Smluvní strany berou na vědomí, že uzavření tohoto dodatku nemá vliv na povinnost</w:t>
      </w:r>
      <w:r w:rsidR="00C679A3">
        <w:t xml:space="preserve"> </w:t>
      </w:r>
      <w:r>
        <w:t>prodávajícího k úhradě smluvní pokuty dle smlouvy, týkající se prodlení s</w:t>
      </w:r>
      <w:r w:rsidR="00C679A3">
        <w:t> </w:t>
      </w:r>
      <w:r>
        <w:t>kompletním</w:t>
      </w:r>
      <w:r w:rsidR="00C679A3">
        <w:t xml:space="preserve"> </w:t>
      </w:r>
      <w:r>
        <w:t>dodáním předmětu plnění. Prodávající se zavazuje uhradit tuto smluvní pokutu ve výši, která</w:t>
      </w:r>
      <w:r w:rsidR="00C679A3">
        <w:t xml:space="preserve"> </w:t>
      </w:r>
      <w:r>
        <w:t>bude stanovena dle podmínek smlouvy ve výši, odpovídající době jeho prodlení až do</w:t>
      </w:r>
      <w:r w:rsidR="00C679A3">
        <w:t xml:space="preserve"> </w:t>
      </w:r>
      <w:r>
        <w:t>kompletního předání předmětu plnění.</w:t>
      </w:r>
    </w:p>
    <w:p w14:paraId="3AD9167A" w14:textId="77777777" w:rsidR="00C679A3" w:rsidRDefault="00C679A3" w:rsidP="00B0527A">
      <w:pPr>
        <w:spacing w:after="0"/>
        <w:jc w:val="both"/>
      </w:pPr>
    </w:p>
    <w:p w14:paraId="1403B065" w14:textId="7C2E286F" w:rsidR="00B0527A" w:rsidRDefault="00B0527A" w:rsidP="00B0527A">
      <w:pPr>
        <w:spacing w:after="0"/>
        <w:jc w:val="both"/>
      </w:pPr>
      <w:r>
        <w:t>2.3 Kupující si vyhrazuje právo uveřejnění dodatku v Registru smluv dle zákona č. 340/2015 Sb.,</w:t>
      </w:r>
      <w:r w:rsidR="00C679A3">
        <w:t xml:space="preserve"> </w:t>
      </w:r>
      <w:r>
        <w:t>o zvláštních podmínkách účinnosti některých smluv, uveřejňování těchto smluv a o registru</w:t>
      </w:r>
      <w:r w:rsidR="00C679A3">
        <w:t xml:space="preserve"> </w:t>
      </w:r>
      <w:r>
        <w:t>smluv, ve znění pozdějších předpisů.</w:t>
      </w:r>
    </w:p>
    <w:p w14:paraId="7519595A" w14:textId="77777777" w:rsidR="00C679A3" w:rsidRDefault="00C679A3" w:rsidP="00B0527A">
      <w:pPr>
        <w:spacing w:after="0"/>
        <w:jc w:val="both"/>
      </w:pPr>
    </w:p>
    <w:p w14:paraId="7934BE7D" w14:textId="47449D03" w:rsidR="00B0527A" w:rsidRDefault="00B0527A" w:rsidP="00B0527A">
      <w:pPr>
        <w:spacing w:after="0"/>
        <w:jc w:val="both"/>
      </w:pPr>
      <w:r>
        <w:t>2.4 Tento dodatek nabývá platnosti a účinnosti dnem podpisu poslední smluvní stranou. Tento</w:t>
      </w:r>
      <w:r w:rsidR="00C679A3">
        <w:t xml:space="preserve"> </w:t>
      </w:r>
      <w:r>
        <w:t>dodatek je vyhotoven ve dvou stejnopisech s platností originálu, přičemž prodávající a</w:t>
      </w:r>
      <w:r w:rsidR="00C679A3">
        <w:t xml:space="preserve"> </w:t>
      </w:r>
      <w:r>
        <w:t>kupující obdrží po jednom výtisku. V případě, že je dodatek uzavřen v elektronické podobě,</w:t>
      </w:r>
      <w:r w:rsidR="00C679A3">
        <w:t xml:space="preserve"> </w:t>
      </w:r>
      <w:r>
        <w:t>s připojením uznávaného elektronického podpisu oprávněných zástupců smluvních stran, je</w:t>
      </w:r>
      <w:r w:rsidR="00C679A3">
        <w:t xml:space="preserve"> </w:t>
      </w:r>
      <w:r>
        <w:t>vyhotoveno jedno provedení tohoto dodatku.</w:t>
      </w:r>
    </w:p>
    <w:p w14:paraId="28A516AB" w14:textId="77777777" w:rsidR="00C679A3" w:rsidRDefault="00C679A3" w:rsidP="00B0527A">
      <w:pPr>
        <w:spacing w:after="0"/>
        <w:jc w:val="both"/>
      </w:pPr>
    </w:p>
    <w:p w14:paraId="777CB4CC" w14:textId="3FB36A9D" w:rsidR="00B0527A" w:rsidRDefault="00B0527A" w:rsidP="00B0527A">
      <w:pPr>
        <w:jc w:val="both"/>
      </w:pPr>
      <w:r>
        <w:t xml:space="preserve">V ___________ dne: ______________ </w:t>
      </w:r>
      <w:r w:rsidR="00C679A3">
        <w:tab/>
      </w:r>
      <w:r w:rsidR="00C679A3">
        <w:tab/>
      </w:r>
      <w:r w:rsidR="00C679A3">
        <w:tab/>
      </w:r>
      <w:r>
        <w:t>V ___________ dne: ______________</w:t>
      </w:r>
    </w:p>
    <w:p w14:paraId="0630EBD3" w14:textId="5136D5C3" w:rsidR="00B0527A" w:rsidRDefault="00B0527A" w:rsidP="00B0527A">
      <w:pPr>
        <w:jc w:val="both"/>
      </w:pPr>
      <w:r>
        <w:t xml:space="preserve">Karlovarská krajská nemocnice a.s. </w:t>
      </w:r>
      <w:r w:rsidR="00C679A3">
        <w:tab/>
      </w:r>
      <w:r w:rsidR="00C679A3">
        <w:tab/>
      </w:r>
      <w:r w:rsidR="00C679A3">
        <w:tab/>
      </w:r>
      <w:proofErr w:type="spellStart"/>
      <w:r>
        <w:t>Olympus</w:t>
      </w:r>
      <w:proofErr w:type="spellEnd"/>
      <w:r>
        <w:t xml:space="preserve"> Czech Group, s.r.o., člen koncernu</w:t>
      </w:r>
    </w:p>
    <w:p w14:paraId="5E83FDCE" w14:textId="77777777" w:rsidR="00342974" w:rsidRDefault="00342974" w:rsidP="00B0527A">
      <w:pPr>
        <w:jc w:val="both"/>
      </w:pPr>
    </w:p>
    <w:p w14:paraId="63024D2A" w14:textId="77777777" w:rsidR="00342974" w:rsidRDefault="00342974" w:rsidP="00B0527A">
      <w:pPr>
        <w:jc w:val="both"/>
      </w:pPr>
    </w:p>
    <w:p w14:paraId="1DD3BEEB" w14:textId="6BABC9B8" w:rsidR="00B0527A" w:rsidRDefault="00B0527A" w:rsidP="00342974">
      <w:pPr>
        <w:spacing w:after="0"/>
        <w:jc w:val="both"/>
      </w:pPr>
      <w:r>
        <w:t xml:space="preserve">___________________________________ </w:t>
      </w:r>
      <w:r w:rsidR="00C679A3">
        <w:tab/>
      </w:r>
      <w:r w:rsidR="00C679A3">
        <w:tab/>
      </w:r>
      <w:r>
        <w:t>__________________________________</w:t>
      </w:r>
    </w:p>
    <w:p w14:paraId="28ED87F7" w14:textId="653502DB" w:rsidR="00C679A3" w:rsidRDefault="00B0527A" w:rsidP="00342974">
      <w:pPr>
        <w:spacing w:after="0"/>
        <w:jc w:val="both"/>
      </w:pPr>
      <w:r>
        <w:t xml:space="preserve">MUDr. Josef </w:t>
      </w:r>
      <w:proofErr w:type="spellStart"/>
      <w:r>
        <w:t>März</w:t>
      </w:r>
      <w:proofErr w:type="spellEnd"/>
      <w:r w:rsidR="00C679A3" w:rsidRPr="00C679A3">
        <w:t xml:space="preserve"> </w:t>
      </w:r>
      <w:r w:rsidR="00C679A3">
        <w:tab/>
      </w:r>
      <w:r w:rsidR="00C679A3">
        <w:tab/>
      </w:r>
      <w:r w:rsidR="00C679A3">
        <w:tab/>
      </w:r>
      <w:r w:rsidR="00C679A3">
        <w:tab/>
      </w:r>
      <w:r w:rsidR="00C679A3">
        <w:tab/>
      </w:r>
      <w:r w:rsidR="00C679A3">
        <w:t>Ing. Tomáš Jedlička</w:t>
      </w:r>
    </w:p>
    <w:p w14:paraId="2918D5D9" w14:textId="6015726A" w:rsidR="00C679A3" w:rsidRDefault="00B0527A" w:rsidP="00342974">
      <w:pPr>
        <w:spacing w:after="0"/>
        <w:jc w:val="both"/>
      </w:pPr>
      <w:r>
        <w:t>předseda představenstva</w:t>
      </w:r>
      <w:r w:rsidR="00C679A3" w:rsidRPr="00C679A3">
        <w:t xml:space="preserve"> </w:t>
      </w:r>
      <w:r w:rsidR="00C679A3">
        <w:tab/>
      </w:r>
      <w:r w:rsidR="00C679A3">
        <w:tab/>
      </w:r>
      <w:r w:rsidR="00C679A3">
        <w:tab/>
      </w:r>
      <w:r w:rsidR="00C679A3">
        <w:tab/>
      </w:r>
      <w:r w:rsidR="00C679A3">
        <w:t>prokurista</w:t>
      </w:r>
    </w:p>
    <w:p w14:paraId="1A0B18AB" w14:textId="38D0A380" w:rsidR="00B0527A" w:rsidRDefault="00B0527A" w:rsidP="00342974">
      <w:pPr>
        <w:spacing w:after="0"/>
        <w:jc w:val="both"/>
      </w:pPr>
    </w:p>
    <w:p w14:paraId="2B89527D" w14:textId="77777777" w:rsidR="00342974" w:rsidRDefault="00342974" w:rsidP="00342974">
      <w:pPr>
        <w:spacing w:after="0"/>
        <w:jc w:val="both"/>
      </w:pPr>
    </w:p>
    <w:p w14:paraId="60D5B0C7" w14:textId="77777777" w:rsidR="00342974" w:rsidRDefault="00342974" w:rsidP="00342974">
      <w:pPr>
        <w:spacing w:after="0"/>
        <w:jc w:val="both"/>
      </w:pPr>
    </w:p>
    <w:p w14:paraId="2FE4B276" w14:textId="77777777" w:rsidR="00342974" w:rsidRDefault="00342974" w:rsidP="00342974">
      <w:pPr>
        <w:spacing w:after="0"/>
        <w:jc w:val="both"/>
      </w:pPr>
    </w:p>
    <w:p w14:paraId="3F594357" w14:textId="112FFF6E" w:rsidR="00B0527A" w:rsidRDefault="00B0527A" w:rsidP="00342974">
      <w:pPr>
        <w:spacing w:after="0"/>
        <w:jc w:val="both"/>
      </w:pPr>
      <w:r>
        <w:t xml:space="preserve">___________________________________ </w:t>
      </w:r>
      <w:r w:rsidR="00C679A3">
        <w:tab/>
      </w:r>
      <w:r w:rsidR="00C679A3">
        <w:tab/>
      </w:r>
      <w:r>
        <w:t>__________________________________</w:t>
      </w:r>
    </w:p>
    <w:p w14:paraId="5E7940E3" w14:textId="4358F2FC" w:rsidR="00B0527A" w:rsidRDefault="00B0527A" w:rsidP="00342974">
      <w:pPr>
        <w:spacing w:after="0"/>
        <w:jc w:val="both"/>
      </w:pPr>
      <w:r>
        <w:t>Ing. Martin Čvančara, MBA</w:t>
      </w:r>
      <w:r w:rsidR="00C679A3" w:rsidRPr="00C679A3">
        <w:t xml:space="preserve"> </w:t>
      </w:r>
      <w:r w:rsidR="00C679A3">
        <w:tab/>
      </w:r>
      <w:r w:rsidR="00C679A3">
        <w:tab/>
      </w:r>
      <w:r w:rsidR="00C679A3">
        <w:tab/>
      </w:r>
      <w:r w:rsidR="00C679A3">
        <w:tab/>
      </w:r>
      <w:r w:rsidR="00C679A3">
        <w:t xml:space="preserve">Radek </w:t>
      </w:r>
      <w:proofErr w:type="spellStart"/>
      <w:r w:rsidR="00C679A3">
        <w:t>Šubotník</w:t>
      </w:r>
      <w:proofErr w:type="spellEnd"/>
    </w:p>
    <w:p w14:paraId="10CC3B52" w14:textId="0A99A4EE" w:rsidR="00C679A3" w:rsidRDefault="00B0527A" w:rsidP="00342974">
      <w:pPr>
        <w:spacing w:after="0"/>
        <w:jc w:val="both"/>
      </w:pPr>
      <w:r>
        <w:t>člen představenstva</w:t>
      </w:r>
      <w:r w:rsidR="00C679A3" w:rsidRPr="00C679A3">
        <w:t xml:space="preserve"> </w:t>
      </w:r>
      <w:r w:rsidR="00C679A3">
        <w:tab/>
      </w:r>
      <w:r w:rsidR="00C679A3">
        <w:tab/>
      </w:r>
      <w:r w:rsidR="00C679A3">
        <w:tab/>
      </w:r>
      <w:r w:rsidR="00C679A3">
        <w:tab/>
      </w:r>
      <w:r w:rsidR="00C679A3">
        <w:tab/>
      </w:r>
      <w:r w:rsidR="00C679A3">
        <w:t>prokurista</w:t>
      </w:r>
    </w:p>
    <w:p w14:paraId="6CBB2DF6" w14:textId="060C7124" w:rsidR="00B0527A" w:rsidRDefault="00B0527A" w:rsidP="00B0527A">
      <w:pPr>
        <w:jc w:val="both"/>
      </w:pPr>
    </w:p>
    <w:p w14:paraId="68EB421F" w14:textId="77777777" w:rsidR="00C679A3" w:rsidRDefault="00C679A3">
      <w:pPr>
        <w:jc w:val="both"/>
      </w:pPr>
    </w:p>
    <w:sectPr w:rsidR="00C6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0EC5"/>
    <w:multiLevelType w:val="hybridMultilevel"/>
    <w:tmpl w:val="B05646D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D442803"/>
    <w:multiLevelType w:val="hybridMultilevel"/>
    <w:tmpl w:val="747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3953">
    <w:abstractNumId w:val="0"/>
  </w:num>
  <w:num w:numId="2" w16cid:durableId="143301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7A"/>
    <w:rsid w:val="00342974"/>
    <w:rsid w:val="004D7A5E"/>
    <w:rsid w:val="00B0527A"/>
    <w:rsid w:val="00C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387E"/>
  <w15:chartTrackingRefBased/>
  <w15:docId w15:val="{0F682650-DF0B-4AF4-8C05-77C31C8F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27A"/>
    <w:pPr>
      <w:ind w:left="720"/>
      <w:contextualSpacing/>
    </w:pPr>
  </w:style>
  <w:style w:type="table" w:styleId="Mkatabulky">
    <w:name w:val="Table Grid"/>
    <w:basedOn w:val="Normlntabulka"/>
    <w:uiPriority w:val="39"/>
    <w:rsid w:val="00B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2023-12-18T07:38:00Z</dcterms:created>
  <dcterms:modified xsi:type="dcterms:W3CDTF">2023-12-18T08:00:00Z</dcterms:modified>
</cp:coreProperties>
</file>