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EEC" w14:textId="1BB3D667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650B6A9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C)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2E0C47A5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</w:t>
      </w:r>
      <w:r w:rsidR="00B712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5435277" w14:textId="4C6E6C89" w:rsidR="004C05F7" w:rsidRPr="000417F6" w:rsidRDefault="008A0FC4" w:rsidP="00312B5A">
      <w:pPr>
        <w:widowControl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</w:t>
      </w:r>
      <w:r w:rsidR="00CC7338" w:rsidRPr="00BA26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 názvem</w:t>
      </w:r>
      <w:r w:rsidR="00CC7338"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0F6D97">
        <w:rPr>
          <w:rFonts w:asciiTheme="minorHAnsi" w:hAnsiTheme="minorHAnsi" w:cstheme="minorHAnsi"/>
          <w:b/>
          <w:i/>
          <w:iCs/>
          <w:sz w:val="20"/>
          <w:szCs w:val="20"/>
        </w:rPr>
        <w:t>„</w:t>
      </w:r>
      <w:r w:rsidR="00D16125" w:rsidRPr="000F6D97">
        <w:rPr>
          <w:rFonts w:asciiTheme="minorHAnsi" w:hAnsiTheme="minorHAnsi" w:cstheme="minorHAnsi"/>
          <w:b/>
          <w:sz w:val="20"/>
          <w:szCs w:val="20"/>
        </w:rPr>
        <w:t>Rozšíření provozního zázemí rekreačního přístavu Petrov</w:t>
      </w:r>
      <w:r w:rsidR="004C05F7" w:rsidRPr="000F6D97">
        <w:rPr>
          <w:rFonts w:asciiTheme="minorHAnsi" w:hAnsiTheme="minorHAnsi" w:cstheme="minorHAnsi"/>
          <w:b/>
          <w:sz w:val="22"/>
          <w:szCs w:val="22"/>
        </w:rPr>
        <w:t>“</w:t>
      </w:r>
      <w:r w:rsidR="004C05F7" w:rsidRPr="000F6D9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37CFBB29" w14:textId="52BF69C9" w:rsidR="004C05F7" w:rsidRDefault="004C05F7" w:rsidP="004C05F7">
      <w:pPr>
        <w:ind w:left="50"/>
        <w:rPr>
          <w:rFonts w:asciiTheme="minorHAnsi" w:hAnsiTheme="minorHAnsi" w:cstheme="minorHAnsi"/>
          <w:b/>
          <w:bCs/>
          <w:sz w:val="20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A9B4862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</w:t>
      </w:r>
      <w:r w:rsidR="00B712C2">
        <w:rPr>
          <w:rFonts w:asciiTheme="minorHAnsi" w:hAnsiTheme="minorHAnsi" w:cstheme="minorHAnsi"/>
          <w:sz w:val="22"/>
          <w:szCs w:val="22"/>
        </w:rPr>
        <w:br/>
      </w:r>
      <w:r w:rsidRPr="00833228">
        <w:rPr>
          <w:rFonts w:asciiTheme="minorHAnsi" w:hAnsiTheme="minorHAnsi" w:cstheme="minorHAnsi"/>
          <w:sz w:val="22"/>
          <w:szCs w:val="22"/>
        </w:rPr>
        <w:t>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422183D3" w14:textId="77777777" w:rsidR="006725E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0B86BF97" w14:textId="7B012333" w:rsidR="004C05F7" w:rsidRPr="003A0765" w:rsidRDefault="00245A90" w:rsidP="004C05F7">
      <w:pPr>
        <w:ind w:left="50"/>
        <w:rPr>
          <w:rFonts w:asciiTheme="minorHAnsi" w:hAnsiTheme="minorHAnsi" w:cstheme="minorHAnsi"/>
          <w:b/>
          <w:bCs/>
          <w:sz w:val="22"/>
          <w:szCs w:val="22"/>
        </w:rPr>
      </w:pPr>
      <w:r w:rsidRPr="00D16125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D16125" w:rsidRPr="00D16125">
        <w:rPr>
          <w:rFonts w:asciiTheme="minorHAnsi" w:hAnsiTheme="minorHAnsi" w:cstheme="minorHAnsi"/>
          <w:sz w:val="22"/>
          <w:szCs w:val="22"/>
        </w:rPr>
        <w:t xml:space="preserve">Rozšíření provozního zázemí rekreačního přístavu Petrov </w:t>
      </w:r>
      <w:r w:rsidR="00312B5A">
        <w:rPr>
          <w:rFonts w:asciiTheme="minorHAnsi" w:hAnsiTheme="minorHAnsi" w:cstheme="minorHAnsi"/>
          <w:sz w:val="22"/>
          <w:szCs w:val="22"/>
        </w:rPr>
        <w:t xml:space="preserve">- </w:t>
      </w:r>
      <w:r w:rsidR="00D16125" w:rsidRPr="00D16125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D1612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12B5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D8CABB5" w14:textId="0ABAEAFE" w:rsidR="00CC7338" w:rsidRPr="005363B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5363B8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ev. č. </w:t>
      </w:r>
      <w:r w:rsidR="005363B8" w:rsidRPr="005363B8">
        <w:rPr>
          <w:rFonts w:asciiTheme="minorHAnsi" w:hAnsiTheme="minorHAnsi" w:cstheme="minorHAnsi"/>
          <w:sz w:val="20"/>
          <w:szCs w:val="20"/>
          <w:shd w:val="clear" w:color="auto" w:fill="FFFFFF"/>
        </w:rPr>
        <w:t>N006/23/V00026361</w:t>
      </w:r>
      <w:r w:rsidR="003D16CC" w:rsidRPr="005363B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12B5A" w:rsidRPr="005363B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 elektronickém nástroji NEN</w:t>
      </w:r>
      <w:r w:rsidRPr="005363B8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1D546A5" w14:textId="042C69DA" w:rsidR="00312B5A" w:rsidRDefault="00CC7338" w:rsidP="00D16125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312B5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názvem:</w:t>
      </w:r>
    </w:p>
    <w:p w14:paraId="08D4C825" w14:textId="208BFBD3" w:rsidR="00D16125" w:rsidRPr="00DD4AC1" w:rsidRDefault="003D77F7" w:rsidP="00D16125">
      <w:pPr>
        <w:ind w:left="50"/>
        <w:rPr>
          <w:rFonts w:asciiTheme="minorHAnsi" w:hAnsiTheme="minorHAnsi" w:cstheme="minorHAnsi"/>
          <w:b/>
          <w:bCs/>
        </w:rPr>
      </w:pP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16125" w:rsidRPr="00D16125">
        <w:rPr>
          <w:rFonts w:asciiTheme="minorHAnsi" w:hAnsiTheme="minorHAnsi" w:cstheme="minorHAnsi"/>
          <w:sz w:val="22"/>
          <w:szCs w:val="22"/>
        </w:rPr>
        <w:t xml:space="preserve">Rozšíření provozního zázemí rekreačního přístavu Petrov </w:t>
      </w:r>
      <w:r w:rsidR="00312B5A">
        <w:rPr>
          <w:rFonts w:asciiTheme="minorHAnsi" w:hAnsiTheme="minorHAnsi" w:cstheme="minorHAnsi"/>
          <w:sz w:val="22"/>
          <w:szCs w:val="22"/>
        </w:rPr>
        <w:t xml:space="preserve">- </w:t>
      </w:r>
      <w:r w:rsidR="00D16125" w:rsidRPr="00D16125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D1612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12B5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363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E8984B" w14:textId="6211A7A4" w:rsidR="00B50032" w:rsidRPr="005363B8" w:rsidRDefault="00B50032" w:rsidP="00B50032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5363B8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ev. č. </w:t>
      </w:r>
      <w:r w:rsidR="005363B8" w:rsidRPr="005363B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5363B8" w:rsidRPr="005363B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N006/23/V00026361</w:t>
      </w:r>
      <w:r w:rsidRPr="005363B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5363B8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312B5A" w:rsidRPr="005363B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elektronickém nástroji NEN.</w:t>
      </w:r>
    </w:p>
    <w:p w14:paraId="108B0BFD" w14:textId="79275B72" w:rsidR="00161791" w:rsidRDefault="00161791" w:rsidP="00161791">
      <w:pPr>
        <w:ind w:left="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541A3" w14:textId="77777777" w:rsidR="003A0765" w:rsidRDefault="003A0765" w:rsidP="00161791">
      <w:pPr>
        <w:ind w:left="50"/>
        <w:rPr>
          <w:rFonts w:asciiTheme="minorHAnsi" w:hAnsiTheme="minorHAnsi" w:cstheme="minorHAnsi"/>
          <w:b/>
          <w:bCs/>
          <w:sz w:val="20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2CE48456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ým složený </w:t>
      </w:r>
      <w:r w:rsidR="00493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br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632566C5" w:rsidR="003840D7" w:rsidRPr="000417F6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 w:rsidRPr="009E6302">
        <w:rPr>
          <w:rFonts w:asciiTheme="minorHAnsi" w:hAnsiTheme="minorHAnsi" w:cstheme="minorHAnsi"/>
          <w:sz w:val="20"/>
          <w:szCs w:val="20"/>
        </w:rPr>
        <w:t>„</w:t>
      </w:r>
      <w:r w:rsidR="00D16125" w:rsidRPr="00D16125">
        <w:rPr>
          <w:rFonts w:asciiTheme="minorHAnsi" w:hAnsiTheme="minorHAnsi" w:cstheme="minorHAnsi"/>
          <w:sz w:val="22"/>
          <w:szCs w:val="22"/>
        </w:rPr>
        <w:t>Rozšíření provozního zázemí rekreačního přístavu Petrov</w:t>
      </w:r>
      <w:r w:rsidR="004931D1">
        <w:rPr>
          <w:rFonts w:asciiTheme="minorHAnsi" w:hAnsiTheme="minorHAnsi" w:cstheme="minorHAnsi"/>
          <w:sz w:val="22"/>
          <w:szCs w:val="22"/>
        </w:rPr>
        <w:t xml:space="preserve"> - </w:t>
      </w:r>
      <w:r w:rsidR="00D16125" w:rsidRPr="00D16125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840D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4A32D6" w:rsidRPr="009E6302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59F2BDC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B52342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 xml:space="preserve"> 4</w:t>
      </w:r>
      <w:r w:rsidR="00B52342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2EDB0FC" w:rsidR="00CC7338" w:rsidRPr="00F52ED8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Jazyk pro komunikaci: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B5234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BF6A6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3714BFD6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Rozhodný jazyk: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EA67B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57A7A843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realizovat vlastními kapacitami, tj. nikoliv prostřednictvím poddodavatelů, minimálně následující rozsah Služeb, tj. výkon pozic</w:t>
      </w:r>
      <w:r w:rsidR="008C395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</w:p>
    <w:p w14:paraId="4B1CD3B2" w14:textId="4040DE5F" w:rsidR="00701F94" w:rsidRPr="0055287E" w:rsidRDefault="00701F94" w:rsidP="005B4046">
      <w:pPr>
        <w:widowControl/>
        <w:numPr>
          <w:ilvl w:val="0"/>
          <w:numId w:val="4"/>
        </w:numPr>
        <w:spacing w:after="360"/>
        <w:ind w:left="1423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5287E">
        <w:rPr>
          <w:rFonts w:asciiTheme="minorHAnsi" w:hAnsiTheme="minorHAnsi" w:cstheme="minorHAnsi"/>
          <w:b/>
          <w:bCs/>
          <w:sz w:val="22"/>
          <w:szCs w:val="22"/>
        </w:rPr>
        <w:t>Výkon technického dozoru stavebníka</w:t>
      </w:r>
      <w:r w:rsidR="009914FD" w:rsidRPr="005528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6125" w:rsidRPr="0055287E">
        <w:rPr>
          <w:rFonts w:asciiTheme="minorHAnsi" w:hAnsiTheme="minorHAnsi" w:cstheme="minorHAnsi"/>
          <w:b/>
          <w:bCs/>
          <w:sz w:val="22"/>
          <w:szCs w:val="22"/>
        </w:rPr>
        <w:t>TDS</w:t>
      </w:r>
    </w:p>
    <w:bookmarkEnd w:id="5"/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 w:rsidP="003117B1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 w:rsidP="00C72D52">
      <w:pPr>
        <w:autoSpaceDE w:val="0"/>
        <w:autoSpaceDN w:val="0"/>
        <w:adjustRightInd w:val="0"/>
        <w:spacing w:before="120" w:after="1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6B0C0911" w14:textId="7E500D7C" w:rsidR="00D660CA" w:rsidRDefault="00993AFD">
      <w:pPr>
        <w:widowControl/>
        <w:autoSpaceDE w:val="0"/>
        <w:autoSpaceDN w:val="0"/>
        <w:adjustRightInd w:val="0"/>
        <w:ind w:left="4248" w:hanging="35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1934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D660C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1934F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- </w:t>
      </w:r>
      <w:r w:rsidR="00301F0F" w:rsidRPr="00D660C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B6D312" w14:textId="74E75DF2" w:rsidR="00993AFD" w:rsidRPr="000417F6" w:rsidRDefault="00301F0F" w:rsidP="00D660CA">
      <w:pPr>
        <w:widowControl/>
        <w:autoSpaceDE w:val="0"/>
        <w:autoSpaceDN w:val="0"/>
        <w:adjustRightInd w:val="0"/>
        <w:ind w:left="424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43326C01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53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373737"/>
          <w:sz w:val="20"/>
          <w:szCs w:val="20"/>
          <w:shd w:val="clear" w:color="auto" w:fill="FFFFFF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>ndn5skh</w:t>
      </w:r>
    </w:p>
    <w:p w14:paraId="255559E2" w14:textId="169C4456" w:rsidR="00993AFD" w:rsidRPr="000417F6" w:rsidRDefault="003C60FE" w:rsidP="003C60F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>Telefon:</w:t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 w:rsidR="00153B0D">
        <w:rPr>
          <w:rFonts w:ascii="Tahoma" w:hAnsi="Tahoma" w:cs="Tahoma"/>
          <w:color w:val="373737"/>
          <w:sz w:val="20"/>
          <w:szCs w:val="20"/>
          <w:shd w:val="clear" w:color="auto" w:fill="FFFFFF"/>
        </w:rPr>
        <w:t>xxxx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993AF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452B5FE" w14:textId="77777777" w:rsidR="001934F6" w:rsidRDefault="00D660CA" w:rsidP="00D660CA">
      <w:pPr>
        <w:widowControl/>
        <w:autoSpaceDE w:val="0"/>
        <w:autoSpaceDN w:val="0"/>
        <w:adjustRightInd w:val="0"/>
        <w:spacing w:line="264" w:lineRule="auto"/>
        <w:ind w:left="709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934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934F6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Garnets Consulting a.s.</w:t>
      </w:r>
    </w:p>
    <w:p w14:paraId="4D1AEB86" w14:textId="3B2805D8" w:rsidR="001934F6" w:rsidRDefault="001934F6" w:rsidP="00153B0D">
      <w:pPr>
        <w:widowControl/>
        <w:autoSpaceDE w:val="0"/>
        <w:autoSpaceDN w:val="0"/>
        <w:adjustRightInd w:val="0"/>
        <w:ind w:left="3544"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4D01">
        <w:rPr>
          <w:rFonts w:asciiTheme="minorHAnsi" w:hAnsiTheme="minorHAnsi" w:cstheme="minorHAnsi"/>
          <w:color w:val="auto"/>
          <w:sz w:val="22"/>
          <w:szCs w:val="22"/>
        </w:rPr>
        <w:t xml:space="preserve">Československých legií 445/4,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C371C38" w14:textId="37E53D91" w:rsidR="00D660CA" w:rsidRPr="00CD3B43" w:rsidRDefault="001934F6" w:rsidP="001934F6">
      <w:pPr>
        <w:widowControl/>
        <w:autoSpaceDE w:val="0"/>
        <w:autoSpaceDN w:val="0"/>
        <w:adjustRightInd w:val="0"/>
        <w:spacing w:line="264" w:lineRule="auto"/>
        <w:ind w:left="3541" w:firstLine="707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114D01">
        <w:rPr>
          <w:rFonts w:asciiTheme="minorHAnsi" w:hAnsiTheme="minorHAnsi" w:cstheme="minorHAnsi"/>
          <w:color w:val="auto"/>
          <w:sz w:val="22"/>
          <w:szCs w:val="22"/>
        </w:rPr>
        <w:t>415 01 Teplice</w:t>
      </w:r>
      <w:r w:rsidR="00E77D24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>Trnovany</w:t>
      </w:r>
    </w:p>
    <w:p w14:paraId="09425D86" w14:textId="5DE4E4C1" w:rsidR="00D660CA" w:rsidRPr="000417F6" w:rsidRDefault="00D660CA" w:rsidP="00E77D24">
      <w:pPr>
        <w:widowControl/>
        <w:autoSpaceDE w:val="0"/>
        <w:autoSpaceDN w:val="0"/>
        <w:adjustRightInd w:val="0"/>
        <w:spacing w:line="264" w:lineRule="auto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934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hyperlink r:id="rId9" w:history="1">
        <w:r w:rsidR="00153B0D">
          <w:rPr>
            <w:rStyle w:val="Hypertextovodkaz"/>
            <w:rFonts w:asciiTheme="minorHAnsi" w:eastAsiaTheme="minorHAnsi" w:hAnsiTheme="minorHAnsi" w:cstheme="minorHAnsi"/>
            <w:color w:val="auto"/>
            <w:sz w:val="22"/>
            <w:szCs w:val="22"/>
            <w:lang w:eastAsia="en-US" w:bidi="ar-SA"/>
          </w:rPr>
          <w:t>xxxx</w:t>
        </w:r>
      </w:hyperlink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20A949A" w14:textId="70808AC6" w:rsidR="00D660CA" w:rsidRPr="00CD3B43" w:rsidRDefault="00D660CA" w:rsidP="00D660CA">
      <w:pPr>
        <w:widowControl/>
        <w:autoSpaceDE w:val="0"/>
        <w:autoSpaceDN w:val="0"/>
        <w:adjustRightInd w:val="0"/>
        <w:spacing w:line="264" w:lineRule="auto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934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934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3bcd78d</w:t>
      </w:r>
    </w:p>
    <w:p w14:paraId="5F733FB8" w14:textId="578789AB" w:rsidR="00D660CA" w:rsidRDefault="00D660CA" w:rsidP="00D660C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934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53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</w:p>
    <w:p w14:paraId="6F4BCA62" w14:textId="63605E5E" w:rsidR="00993AFD" w:rsidRPr="000417F6" w:rsidRDefault="00A23DFA" w:rsidP="00D660C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</w:p>
    <w:p w14:paraId="193DB194" w14:textId="77777777" w:rsidR="00A86225" w:rsidRDefault="00A8622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CA41FEA" w14:textId="3B3C7412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24A71A7C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r w:rsidR="00FB775E">
        <w:rPr>
          <w:rFonts w:asciiTheme="minorHAnsi" w:hAnsiTheme="minorHAnsi" w:cstheme="minorHAnsi"/>
          <w:sz w:val="22"/>
          <w:szCs w:val="22"/>
        </w:rPr>
        <w:t>xxxx</w:t>
      </w:r>
      <w:r>
        <w:rPr>
          <w:rFonts w:asciiTheme="minorHAnsi" w:hAnsiTheme="minorHAnsi" w:cstheme="minorHAnsi"/>
          <w:sz w:val="22"/>
          <w:szCs w:val="22"/>
        </w:rPr>
        <w:t>, vedoucí oddělení realizace (ORE) a</w:t>
      </w:r>
      <w:r w:rsidR="00B52342">
        <w:rPr>
          <w:rFonts w:asciiTheme="minorHAnsi" w:hAnsiTheme="minorHAnsi" w:cstheme="minorHAnsi"/>
          <w:sz w:val="22"/>
          <w:szCs w:val="22"/>
        </w:rPr>
        <w:t xml:space="preserve"> </w:t>
      </w:r>
      <w:r w:rsidR="00FB775E">
        <w:rPr>
          <w:rFonts w:asciiTheme="minorHAnsi" w:hAnsiTheme="minorHAnsi" w:cstheme="minorHAnsi"/>
          <w:sz w:val="22"/>
          <w:szCs w:val="22"/>
        </w:rPr>
        <w:t>xxxx</w:t>
      </w:r>
      <w:r w:rsidR="00E71F60">
        <w:rPr>
          <w:rFonts w:asciiTheme="minorHAnsi" w:hAnsiTheme="minorHAnsi" w:cstheme="minorHAnsi"/>
          <w:sz w:val="22"/>
          <w:szCs w:val="22"/>
        </w:rPr>
        <w:t xml:space="preserve">, </w:t>
      </w:r>
      <w:r w:rsidR="00FB775E">
        <w:rPr>
          <w:rFonts w:asciiTheme="minorHAnsi" w:hAnsiTheme="minorHAnsi" w:cstheme="minorHAnsi"/>
          <w:sz w:val="22"/>
          <w:szCs w:val="22"/>
        </w:rPr>
        <w:t>xxxx</w:t>
      </w:r>
      <w:r w:rsidR="00D16125">
        <w:rPr>
          <w:rFonts w:asciiTheme="minorHAnsi" w:hAnsiTheme="minorHAnsi" w:cstheme="minorHAnsi"/>
          <w:sz w:val="22"/>
          <w:szCs w:val="22"/>
        </w:rPr>
        <w:t xml:space="preserve">, </w:t>
      </w:r>
      <w:r w:rsidR="00FB775E">
        <w:rPr>
          <w:rFonts w:asciiTheme="minorHAnsi" w:hAnsiTheme="minorHAnsi" w:cstheme="minorHAnsi"/>
          <w:sz w:val="22"/>
          <w:szCs w:val="22"/>
        </w:rPr>
        <w:t>xxxx</w:t>
      </w:r>
      <w:r w:rsidR="00D16125">
        <w:rPr>
          <w:rFonts w:asciiTheme="minorHAnsi" w:hAnsiTheme="minorHAnsi" w:cstheme="minorHAnsi"/>
          <w:sz w:val="22"/>
          <w:szCs w:val="22"/>
        </w:rPr>
        <w:t>.</w:t>
      </w:r>
    </w:p>
    <w:p w14:paraId="629D03B8" w14:textId="45C49909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4CFC6DE3" w14:textId="77777777" w:rsidR="00EA67BA" w:rsidRPr="0098249A" w:rsidRDefault="00EA67BA" w:rsidP="00EA67BA">
      <w:pPr>
        <w:pStyle w:val="Odstavecseseznamem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D16125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</w:t>
      </w:r>
      <w:r w:rsidR="00EB4176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Dopise n</w:t>
      </w:r>
      <w:r w:rsidR="00CC7338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abíd</w:t>
      </w:r>
      <w:r w:rsidR="00087325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ky</w:t>
      </w: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změnu je </w:t>
      </w: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povinen oznámit Objednateli</w:t>
      </w: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D16125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jímž </w:t>
      </w: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jako </w:t>
      </w:r>
      <w:r w:rsidRPr="00D1612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7F49F657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kace nebo pro hodnocení v Zadávacím řízení, </w:t>
      </w:r>
      <w:r w:rsidR="009E15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br/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272987C2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="009E15D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br/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43BD62D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69E516A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nejpozději však </w:t>
      </w:r>
      <w:r w:rsidR="00BB10F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br/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do 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5699A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(slovy: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 čtrnácti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) kalendářních dnů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44E9C7ED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geodeta, geotechnika, biologa, datový specialisty</w:t>
      </w:r>
      <w:r w:rsidR="008C395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specialisty přes kontrolu svarů a nátěrů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638A0F13" w:rsidR="00BC36E1" w:rsidRPr="0098249A" w:rsidRDefault="00E71F60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             </w:t>
      </w:r>
      <w:r w:rsidR="00BC36E1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6F6C24E2" w:rsidR="00BC36E1" w:rsidRPr="0098249A" w:rsidRDefault="00E71F6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  </w:t>
      </w:r>
      <w:r w:rsidR="00BC36E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16125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„</w:t>
      </w:r>
      <w:r w:rsidR="00CC7338" w:rsidRPr="00D16125">
        <w:rPr>
          <w:rFonts w:asciiTheme="minorHAnsi" w:hAnsiTheme="minorHAnsi" w:cstheme="minorHAnsi"/>
          <w:b/>
          <w:bCs/>
          <w:sz w:val="22"/>
          <w:szCs w:val="22"/>
        </w:rPr>
        <w:t xml:space="preserve">Konzultant předloží Objednateli </w:t>
      </w:r>
      <w:r w:rsidR="002A5CA5" w:rsidRPr="00D16125">
        <w:rPr>
          <w:rFonts w:asciiTheme="minorHAnsi" w:hAnsiTheme="minorHAnsi" w:cstheme="minorHAnsi"/>
          <w:b/>
          <w:bCs/>
          <w:sz w:val="22"/>
          <w:szCs w:val="22"/>
        </w:rPr>
        <w:t xml:space="preserve">Harmonogram služeb </w:t>
      </w:r>
      <w:r w:rsidR="00CC7338" w:rsidRPr="00D16125">
        <w:rPr>
          <w:rFonts w:asciiTheme="minorHAnsi" w:hAnsiTheme="minorHAnsi" w:cstheme="minorHAnsi"/>
          <w:b/>
          <w:bCs/>
          <w:sz w:val="22"/>
          <w:szCs w:val="22"/>
        </w:rPr>
        <w:t>do čtrnácti (14) dnů od Data zahájení</w:t>
      </w:r>
      <w:r w:rsidR="00391C96" w:rsidRPr="00D161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7338" w:rsidRPr="00D16125">
        <w:rPr>
          <w:rFonts w:asciiTheme="minorHAnsi" w:hAnsiTheme="minorHAnsi" w:cstheme="minorHAnsi"/>
          <w:b/>
          <w:bCs/>
          <w:sz w:val="22"/>
          <w:szCs w:val="22"/>
        </w:rPr>
        <w:t>Služeb.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dle platných právních </w:t>
      </w:r>
      <w:r w:rsidR="00CC7338" w:rsidRPr="000417F6">
        <w:rPr>
          <w:rFonts w:asciiTheme="minorHAnsi" w:hAnsiTheme="minorHAnsi" w:cstheme="minorHAnsi"/>
          <w:sz w:val="22"/>
          <w:szCs w:val="22"/>
        </w:rPr>
        <w:lastRenderedPageBreak/>
        <w:t>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59163406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2FB280B3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BB10F4">
        <w:rPr>
          <w:rFonts w:asciiTheme="minorHAnsi" w:hAnsiTheme="minorHAnsi" w:cstheme="minorHAnsi"/>
          <w:sz w:val="22"/>
          <w:szCs w:val="22"/>
        </w:rPr>
        <w:br/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2F46EF02" w14:textId="77777777" w:rsidR="00A86225" w:rsidRDefault="00A8622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089C329" w14:textId="77777777" w:rsidR="00A86225" w:rsidRPr="000417F6" w:rsidRDefault="00A8622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104DA0CD" w:rsidR="008B0939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00D03608" w14:textId="77777777" w:rsidR="00287AE7" w:rsidRDefault="00287AE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97FA9A1" w14:textId="7234B03D" w:rsidR="000C12A2" w:rsidRDefault="000C12A2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bookmarkStart w:id="8" w:name="_Hlk102650069"/>
      <w:r w:rsidR="003E5870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Bankovní záruka </w:t>
      </w:r>
      <w:bookmarkStart w:id="9" w:name="_Hlk103069860"/>
      <w:r w:rsidR="003E5870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 tomto případě </w:t>
      </w:r>
      <w:bookmarkEnd w:id="9"/>
      <w:r w:rsidR="003E5870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nebude požadována</w:t>
      </w:r>
      <w:bookmarkEnd w:id="8"/>
      <w:r w:rsidR="003E5870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BB10F4">
      <w:footerReference w:type="default" r:id="rId10"/>
      <w:pgSz w:w="11906" w:h="16838"/>
      <w:pgMar w:top="1134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D0C5" w14:textId="77777777" w:rsidR="00F6681B" w:rsidRDefault="00F6681B" w:rsidP="00F1718F">
      <w:r>
        <w:separator/>
      </w:r>
    </w:p>
  </w:endnote>
  <w:endnote w:type="continuationSeparator" w:id="0">
    <w:p w14:paraId="2E4282FD" w14:textId="77777777" w:rsidR="00F6681B" w:rsidRDefault="00F6681B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DC" w14:textId="5AAFEA4E" w:rsidR="006C3126" w:rsidRDefault="006C3126" w:rsidP="00312B5A">
    <w:pPr>
      <w:pStyle w:val="Zpat"/>
      <w:rPr>
        <w:rFonts w:asciiTheme="minorHAnsi" w:hAnsiTheme="minorHAnsi" w:cstheme="minorHAnsi"/>
        <w:sz w:val="18"/>
        <w:szCs w:val="18"/>
      </w:rPr>
    </w:pPr>
  </w:p>
  <w:p w14:paraId="7315109A" w14:textId="77777777" w:rsidR="00BB10F4" w:rsidRPr="00312B5A" w:rsidRDefault="00BB10F4" w:rsidP="00312B5A">
    <w:pPr>
      <w:pStyle w:val="Zpat"/>
      <w:rPr>
        <w:rFonts w:asciiTheme="minorHAnsi" w:hAnsiTheme="minorHAnsi" w:cstheme="minorHAnsi"/>
        <w:sz w:val="18"/>
        <w:szCs w:val="18"/>
      </w:rPr>
    </w:pPr>
  </w:p>
  <w:p w14:paraId="533ED3B9" w14:textId="10D4D2E7" w:rsidR="00312B5A" w:rsidRPr="002B3E06" w:rsidRDefault="00312B5A" w:rsidP="00312B5A">
    <w:pPr>
      <w:pStyle w:val="Zpat"/>
    </w:pPr>
    <w:r w:rsidRPr="00286EB2">
      <w:rPr>
        <w:rFonts w:asciiTheme="minorHAnsi" w:hAnsiTheme="minorHAnsi" w:cstheme="minorHAnsi"/>
        <w:color w:val="auto"/>
        <w:sz w:val="20"/>
        <w:szCs w:val="20"/>
      </w:rPr>
      <w:t xml:space="preserve">Příloha: C) smlouvy </w:t>
    </w:r>
    <w:r w:rsidRPr="00286EB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S/ŘVC/</w:t>
    </w:r>
    <w:r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122</w:t>
    </w:r>
    <w:r w:rsidRPr="00286EB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/R/PřS/202</w:t>
    </w:r>
    <w:r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3</w:t>
    </w:r>
  </w:p>
  <w:p w14:paraId="2C4D43B7" w14:textId="7A4E6968" w:rsidR="00312B5A" w:rsidRDefault="00312B5A" w:rsidP="00312B5A">
    <w:pPr>
      <w:pStyle w:val="Zpat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Rozšíření provozního zázemí rekreačního přístavu Petrov</w:t>
    </w:r>
    <w:r w:rsidRPr="00431B2C">
      <w:rPr>
        <w:rFonts w:asciiTheme="minorHAnsi" w:hAnsiTheme="minorHAnsi" w:cstheme="minorHAnsi"/>
        <w:color w:val="auto"/>
        <w:sz w:val="20"/>
        <w:szCs w:val="20"/>
      </w:rPr>
      <w:t xml:space="preserve"> - Správce stavby</w:t>
    </w:r>
  </w:p>
  <w:p w14:paraId="44BD14A0" w14:textId="2F5E19E8" w:rsidR="006C3126" w:rsidRPr="00312B5A" w:rsidRDefault="00312B5A" w:rsidP="00312B5A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312B5A">
      <w:rPr>
        <w:rFonts w:asciiTheme="minorHAnsi" w:hAnsiTheme="minorHAnsi" w:cstheme="minorHAnsi"/>
        <w:color w:val="auto"/>
        <w:sz w:val="20"/>
        <w:szCs w:val="20"/>
      </w:rPr>
      <w:t xml:space="preserve">Stránka </w:t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fldChar w:fldCharType="begin"/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instrText>PAGE  \* Arabic  \* MERGEFORMAT</w:instrText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fldChar w:fldCharType="separate"/>
    </w:r>
    <w:r w:rsidRPr="00312B5A">
      <w:rPr>
        <w:rFonts w:asciiTheme="minorHAnsi" w:hAnsiTheme="minorHAnsi" w:cstheme="minorHAnsi"/>
        <w:b/>
        <w:bCs/>
        <w:sz w:val="20"/>
        <w:szCs w:val="20"/>
      </w:rPr>
      <w:t>1</w:t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fldChar w:fldCharType="end"/>
    </w:r>
    <w:r w:rsidRPr="00312B5A">
      <w:rPr>
        <w:rFonts w:asciiTheme="minorHAnsi" w:hAnsiTheme="minorHAnsi" w:cstheme="minorHAnsi"/>
        <w:color w:val="auto"/>
        <w:sz w:val="20"/>
        <w:szCs w:val="20"/>
      </w:rPr>
      <w:t xml:space="preserve"> z </w:t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fldChar w:fldCharType="begin"/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instrText>NUMPAGES  \* Arabic  \* MERGEFORMAT</w:instrText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fldChar w:fldCharType="separate"/>
    </w:r>
    <w:r w:rsidRPr="00312B5A">
      <w:rPr>
        <w:rFonts w:asciiTheme="minorHAnsi" w:hAnsiTheme="minorHAnsi" w:cstheme="minorHAnsi"/>
        <w:b/>
        <w:bCs/>
        <w:sz w:val="20"/>
        <w:szCs w:val="20"/>
      </w:rPr>
      <w:t>19</w:t>
    </w:r>
    <w:r w:rsidRPr="00312B5A">
      <w:rPr>
        <w:rFonts w:asciiTheme="minorHAnsi" w:hAnsiTheme="minorHAnsi" w:cstheme="minorHAnsi"/>
        <w:b/>
        <w:bCs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DCD1" w14:textId="77777777" w:rsidR="00F6681B" w:rsidRDefault="00F6681B" w:rsidP="00F1718F">
      <w:r>
        <w:separator/>
      </w:r>
    </w:p>
  </w:footnote>
  <w:footnote w:type="continuationSeparator" w:id="0">
    <w:p w14:paraId="4CF36158" w14:textId="77777777" w:rsidR="00F6681B" w:rsidRDefault="00F6681B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2055425077">
    <w:abstractNumId w:val="5"/>
  </w:num>
  <w:num w:numId="2" w16cid:durableId="1375500374">
    <w:abstractNumId w:val="0"/>
  </w:num>
  <w:num w:numId="3" w16cid:durableId="700857776">
    <w:abstractNumId w:val="18"/>
  </w:num>
  <w:num w:numId="4" w16cid:durableId="220093733">
    <w:abstractNumId w:val="12"/>
  </w:num>
  <w:num w:numId="5" w16cid:durableId="806320375">
    <w:abstractNumId w:val="16"/>
  </w:num>
  <w:num w:numId="6" w16cid:durableId="1489512686">
    <w:abstractNumId w:val="2"/>
  </w:num>
  <w:num w:numId="7" w16cid:durableId="1533304798">
    <w:abstractNumId w:val="10"/>
  </w:num>
  <w:num w:numId="8" w16cid:durableId="100809080">
    <w:abstractNumId w:val="11"/>
  </w:num>
  <w:num w:numId="9" w16cid:durableId="1732926873">
    <w:abstractNumId w:val="4"/>
  </w:num>
  <w:num w:numId="10" w16cid:durableId="1429696270">
    <w:abstractNumId w:val="14"/>
  </w:num>
  <w:num w:numId="11" w16cid:durableId="1369911802">
    <w:abstractNumId w:val="15"/>
  </w:num>
  <w:num w:numId="12" w16cid:durableId="241185851">
    <w:abstractNumId w:val="6"/>
  </w:num>
  <w:num w:numId="13" w16cid:durableId="1283225973">
    <w:abstractNumId w:val="7"/>
  </w:num>
  <w:num w:numId="14" w16cid:durableId="850414458">
    <w:abstractNumId w:val="17"/>
  </w:num>
  <w:num w:numId="15" w16cid:durableId="1904484012">
    <w:abstractNumId w:val="20"/>
  </w:num>
  <w:num w:numId="16" w16cid:durableId="923337211">
    <w:abstractNumId w:val="21"/>
  </w:num>
  <w:num w:numId="17" w16cid:durableId="1643920647">
    <w:abstractNumId w:val="13"/>
  </w:num>
  <w:num w:numId="18" w16cid:durableId="871768145">
    <w:abstractNumId w:val="19"/>
  </w:num>
  <w:num w:numId="19" w16cid:durableId="2011829741">
    <w:abstractNumId w:val="9"/>
  </w:num>
  <w:num w:numId="20" w16cid:durableId="1450316118">
    <w:abstractNumId w:val="1"/>
  </w:num>
  <w:num w:numId="21" w16cid:durableId="258486335">
    <w:abstractNumId w:val="8"/>
  </w:num>
  <w:num w:numId="22" w16cid:durableId="177979057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2A2"/>
    <w:rsid w:val="000C1F39"/>
    <w:rsid w:val="000C3C17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6D97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53B0D"/>
    <w:rsid w:val="00161791"/>
    <w:rsid w:val="0016310A"/>
    <w:rsid w:val="00175B0D"/>
    <w:rsid w:val="001867A5"/>
    <w:rsid w:val="00191F42"/>
    <w:rsid w:val="001934F6"/>
    <w:rsid w:val="00193DCB"/>
    <w:rsid w:val="001953E0"/>
    <w:rsid w:val="001A1B92"/>
    <w:rsid w:val="001A5452"/>
    <w:rsid w:val="001A723B"/>
    <w:rsid w:val="001B278E"/>
    <w:rsid w:val="001C217B"/>
    <w:rsid w:val="001C4F64"/>
    <w:rsid w:val="001C575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87AE7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17B1"/>
    <w:rsid w:val="00312656"/>
    <w:rsid w:val="00312B5A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62E1"/>
    <w:rsid w:val="003840D7"/>
    <w:rsid w:val="00391C96"/>
    <w:rsid w:val="00393F3C"/>
    <w:rsid w:val="003A0765"/>
    <w:rsid w:val="003B2CA1"/>
    <w:rsid w:val="003B3F31"/>
    <w:rsid w:val="003B5589"/>
    <w:rsid w:val="003C11B7"/>
    <w:rsid w:val="003C346D"/>
    <w:rsid w:val="003C3EDB"/>
    <w:rsid w:val="003C4BDE"/>
    <w:rsid w:val="003C60FE"/>
    <w:rsid w:val="003C7880"/>
    <w:rsid w:val="003D0362"/>
    <w:rsid w:val="003D16CC"/>
    <w:rsid w:val="003D77F7"/>
    <w:rsid w:val="003E485C"/>
    <w:rsid w:val="003E5870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31D1"/>
    <w:rsid w:val="004955A6"/>
    <w:rsid w:val="004A0AC1"/>
    <w:rsid w:val="004A32D6"/>
    <w:rsid w:val="004A6D89"/>
    <w:rsid w:val="004A7FA5"/>
    <w:rsid w:val="004B1B98"/>
    <w:rsid w:val="004B298E"/>
    <w:rsid w:val="004C05F7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363B8"/>
    <w:rsid w:val="00537BA0"/>
    <w:rsid w:val="0054310A"/>
    <w:rsid w:val="005436CB"/>
    <w:rsid w:val="0054576C"/>
    <w:rsid w:val="0055180A"/>
    <w:rsid w:val="00551BFA"/>
    <w:rsid w:val="0055287E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B4046"/>
    <w:rsid w:val="005C0FC4"/>
    <w:rsid w:val="005C331E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725E8"/>
    <w:rsid w:val="00681089"/>
    <w:rsid w:val="00683134"/>
    <w:rsid w:val="0069146B"/>
    <w:rsid w:val="00697CFF"/>
    <w:rsid w:val="006A173C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95D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9F6"/>
    <w:rsid w:val="00921CA1"/>
    <w:rsid w:val="00922437"/>
    <w:rsid w:val="00924D68"/>
    <w:rsid w:val="00926D4C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E15DB"/>
    <w:rsid w:val="009E5420"/>
    <w:rsid w:val="009E6302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2F47"/>
    <w:rsid w:val="00A54BF7"/>
    <w:rsid w:val="00A574F9"/>
    <w:rsid w:val="00A639B8"/>
    <w:rsid w:val="00A7095A"/>
    <w:rsid w:val="00A70D16"/>
    <w:rsid w:val="00A74414"/>
    <w:rsid w:val="00A82929"/>
    <w:rsid w:val="00A86225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032"/>
    <w:rsid w:val="00B501F9"/>
    <w:rsid w:val="00B5073B"/>
    <w:rsid w:val="00B52342"/>
    <w:rsid w:val="00B53CB3"/>
    <w:rsid w:val="00B64AF3"/>
    <w:rsid w:val="00B712C2"/>
    <w:rsid w:val="00B7163F"/>
    <w:rsid w:val="00B73622"/>
    <w:rsid w:val="00B9025A"/>
    <w:rsid w:val="00B96B82"/>
    <w:rsid w:val="00BA2622"/>
    <w:rsid w:val="00BA5343"/>
    <w:rsid w:val="00BA58F5"/>
    <w:rsid w:val="00BB10F4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2D52"/>
    <w:rsid w:val="00C759ED"/>
    <w:rsid w:val="00C820B9"/>
    <w:rsid w:val="00C925C5"/>
    <w:rsid w:val="00C94DBB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03E9"/>
    <w:rsid w:val="00D03E05"/>
    <w:rsid w:val="00D04C38"/>
    <w:rsid w:val="00D1082D"/>
    <w:rsid w:val="00D1322F"/>
    <w:rsid w:val="00D1472F"/>
    <w:rsid w:val="00D16125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0CA"/>
    <w:rsid w:val="00D669CD"/>
    <w:rsid w:val="00D71C23"/>
    <w:rsid w:val="00D72512"/>
    <w:rsid w:val="00D72F62"/>
    <w:rsid w:val="00D73CC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1F60"/>
    <w:rsid w:val="00E7233A"/>
    <w:rsid w:val="00E763CC"/>
    <w:rsid w:val="00E77D24"/>
    <w:rsid w:val="00E80BEE"/>
    <w:rsid w:val="00E80E0F"/>
    <w:rsid w:val="00E82339"/>
    <w:rsid w:val="00E8600B"/>
    <w:rsid w:val="00E97ECC"/>
    <w:rsid w:val="00EA1C78"/>
    <w:rsid w:val="00EA2EA2"/>
    <w:rsid w:val="00EA383D"/>
    <w:rsid w:val="00EA4D32"/>
    <w:rsid w:val="00EA606D"/>
    <w:rsid w:val="00EA61FB"/>
    <w:rsid w:val="00EA67BA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6681B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B775E"/>
    <w:rsid w:val="00FC4441"/>
    <w:rsid w:val="00FD21F3"/>
    <w:rsid w:val="00FD4E92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arnet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6B03-A177-4D1B-9A32-67C63316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18</Pages>
  <Words>7044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60</cp:revision>
  <cp:lastPrinted>2020-09-15T12:41:00Z</cp:lastPrinted>
  <dcterms:created xsi:type="dcterms:W3CDTF">2020-06-17T06:55:00Z</dcterms:created>
  <dcterms:modified xsi:type="dcterms:W3CDTF">2023-12-15T11:34:00Z</dcterms:modified>
</cp:coreProperties>
</file>