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>Národní památkový ústav,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státní příspěvková organizace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IČ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: 75032333, DIČ: CZ75032333,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se sídlem: Valdštejnské nám. 162/3, PSČ 118 01 Praha 1 – Malá Strana,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zastoupen: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Ing.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Michaelou Prokopovou, vedoucí správy zámku Libochovice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begin"/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instrText xml:space="preserve"> AUTOTEXTLIST  \s 1  \* MERGEFORMAT </w:instrTex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end"/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begin"/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instrText xml:space="preserve"> AUTOTEXTLIST   \* MERGEFORMAT </w:instrTex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end"/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,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bankovní spojení: </w:t>
      </w:r>
      <w:r w:rsidR="00B51D2F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 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Zástupce ve věcech technických: </w:t>
      </w:r>
      <w:r w:rsidR="008A3585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  <w:bookmarkStart w:id="0" w:name="_GoBack"/>
      <w:bookmarkEnd w:id="0"/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E-mail/telefon: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ab/>
      </w:r>
      <w:r w:rsidR="00B51D2F">
        <w:t>XXXX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i/>
          <w:iCs/>
          <w:color w:val="auto"/>
          <w:sz w:val="22"/>
          <w:szCs w:val="22"/>
          <w:lang w:eastAsia="cs-CZ"/>
        </w:rPr>
        <w:t>Doručovací adresa: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Národní památkový ústav, správa zámku Libochovice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adresa: náměstí 5. května 1, 411 17 Libochovice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tel.: </w:t>
      </w:r>
      <w:r w:rsidR="00B51D2F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</w:p>
    <w:p w:rsidR="006B1E50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(dále jen „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pronajímatel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“)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10"/>
          <w:szCs w:val="22"/>
          <w:lang w:eastAsia="cs-CZ"/>
        </w:rPr>
      </w:pP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a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České dráhy, a.s.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IČ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70994226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, DIČ: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CZ70994226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se sídlem: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Nábřeží Ludvíka Svobody 1222, 110 15 Praha 1</w:t>
      </w:r>
    </w:p>
    <w:p w:rsidR="006B1E50" w:rsidRDefault="006B1E50" w:rsidP="006B1E50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Zastoupená: Tomášem Petříčkem, ředitelem Oblastního ředitelství osobní dopravy západ,</w:t>
      </w:r>
    </w:p>
    <w:p w:rsidR="006B1E50" w:rsidRPr="00956007" w:rsidRDefault="006B1E50" w:rsidP="006B1E50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Purkyňova 1017/22, 301 00 Plzeň</w:t>
      </w:r>
    </w:p>
    <w:p w:rsidR="006B1E50" w:rsidRPr="00956007" w:rsidRDefault="006B1E50" w:rsidP="006B1E50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Bankovní spojení: </w:t>
      </w:r>
      <w:r w:rsidR="00B51D2F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</w:p>
    <w:p w:rsidR="00956007" w:rsidRPr="00956007" w:rsidRDefault="006B1E50" w:rsidP="00956007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Kontaktní osoba: </w:t>
      </w:r>
      <w:r w:rsidR="00B51D2F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(dále jen „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nájemce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“)</w:t>
      </w: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76" w:lineRule="auto"/>
        <w:ind w:left="0"/>
        <w:jc w:val="center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jako smluvní strany uzavřely níže uvedeného dne, měsíce a roku tuto</w:t>
      </w:r>
    </w:p>
    <w:p w:rsidR="00956007" w:rsidRPr="00956007" w:rsidRDefault="00956007" w:rsidP="00956007">
      <w:pPr>
        <w:spacing w:after="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smlouvu o nájmu nemovité věci:</w:t>
      </w:r>
    </w:p>
    <w:p w:rsidR="00956007" w:rsidRPr="00956007" w:rsidRDefault="00956007" w:rsidP="00956007">
      <w:pPr>
        <w:spacing w:after="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keepNext/>
        <w:spacing w:before="240" w:after="0" w:line="240" w:lineRule="auto"/>
        <w:ind w:left="0"/>
        <w:jc w:val="center"/>
        <w:outlineLvl w:val="3"/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  <w:t>Článek I.</w:t>
      </w:r>
    </w:p>
    <w:p w:rsidR="00956007" w:rsidRPr="00956007" w:rsidRDefault="00956007" w:rsidP="00956007">
      <w:pPr>
        <w:keepNext/>
        <w:spacing w:after="60" w:line="276" w:lineRule="auto"/>
        <w:ind w:left="0"/>
        <w:jc w:val="center"/>
        <w:outlineLvl w:val="3"/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  <w:t>Úvodní ustanovení</w:t>
      </w:r>
    </w:p>
    <w:p w:rsidR="00956007" w:rsidRPr="00956007" w:rsidRDefault="00956007" w:rsidP="0095600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Pronajímatel je příslušný hospodařit s nemovitostí </w:t>
      </w:r>
      <w:bookmarkStart w:id="1" w:name="Text36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ve vlastnictví </w:t>
      </w:r>
      <w:bookmarkEnd w:id="1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státu Česká republika, a to s </w:t>
      </w: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 xml:space="preserve">budovou čp. 89, stojící na pozemku p. č. 129/2,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součást areálu Státního zámku Libochovice, náměstí 5. května 1, 411 17 Libochovice, </w:t>
      </w:r>
      <w:bookmarkStart w:id="2" w:name="Text38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katastrální území Libochovice, </w:t>
      </w:r>
      <w:bookmarkEnd w:id="2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to vše zapsáno na LV č. 1112 pro katastrální území Libochovice (dále též jen „nemovitost“)</w:t>
      </w:r>
    </w:p>
    <w:p w:rsidR="00956007" w:rsidRPr="00956007" w:rsidRDefault="00956007" w:rsidP="0095600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Pronájmem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nemovitosti bude dosaženo účelnějšího nebo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hospodárnějšího využití věci při zachování hlavního účelu, ke kterému pronajímateli slouží. S ohledem na povahu nemovitosti, nebyla nemovitost nabízena organizačním složkám a ostatním státním organizacím.</w:t>
      </w:r>
    </w:p>
    <w:p w:rsidR="00956007" w:rsidRPr="00956007" w:rsidRDefault="00956007" w:rsidP="0095600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Smluvní strany se dohodly, v souladu s příslušnými ustanoveními obecně závazných právních předpisů, a to zejména zákona č. 89/2012 Sb., občanský zákoník, ve znění pozdějších předpisů, a zákona č. 219/2000 Sb., o majetku České republiky a jejím vystupování v právních vztazích, ve znění pozdějších předpisů, na této nájemní smlouvě.</w:t>
      </w:r>
    </w:p>
    <w:p w:rsidR="00956007" w:rsidRPr="00956007" w:rsidRDefault="00956007" w:rsidP="00956007">
      <w:pPr>
        <w:spacing w:before="840" w:after="0" w:line="240" w:lineRule="auto"/>
        <w:ind w:left="425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lastRenderedPageBreak/>
        <w:t>Článek II.</w:t>
      </w:r>
    </w:p>
    <w:p w:rsidR="00956007" w:rsidRPr="00956007" w:rsidRDefault="00956007" w:rsidP="00956007">
      <w:pPr>
        <w:spacing w:after="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Předmět smlouvy</w:t>
      </w:r>
    </w:p>
    <w:p w:rsidR="00956007" w:rsidRPr="00956007" w:rsidRDefault="00956007" w:rsidP="00F05C01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Pronajímatel přenechává nájemci v souladu s touto smlouvou a obecně závaznými právními předpisy k dočasnému užívání následující část nemovitosti specifikované v čl. I. této smlouvy: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konkrétně </w:t>
      </w:r>
      <w:r w:rsidR="00140134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dva </w:t>
      </w:r>
      <w:r w:rsidR="00F05C01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pokoje s vybavením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o celkové výměře </w:t>
      </w:r>
      <w:r w:rsidR="00140134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30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 m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vertAlign w:val="superscript"/>
          <w:lang w:eastAsia="cs-CZ"/>
        </w:rPr>
        <w:t>2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, společné sociální zařízení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,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nacházející se v 1. NP budovy č. p. 89, vchod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 ze zámecké zahrady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, (dále jen „předmět nájmu“) a nájemce předmět nájmu v souladu s touto smlouvou a obecně závaznými právními předpisy podle této smlouvy přijímá do užívání a zavazuje se za to pronajímateli platit nájemné. </w:t>
      </w:r>
    </w:p>
    <w:p w:rsidR="00956007" w:rsidRPr="00956007" w:rsidRDefault="00956007" w:rsidP="00956007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Přesné umístění předmětu nájmu je zakresleno v mapce, která tvoří přílohu č. </w:t>
      </w:r>
      <w:r w:rsidR="00C753AE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1</w:t>
      </w:r>
      <w:r w:rsidR="00F05C01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této smlouvy. </w:t>
      </w:r>
    </w:p>
    <w:p w:rsidR="00956007" w:rsidRPr="00956007" w:rsidRDefault="00956007" w:rsidP="00956007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Spolu s předmětem nájmu uvedenými v čl. II., odst. 1 této smlouvy poskytuje pronajímatel nájemci na dobu nájmu oprávnění užívat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movité věci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, které jsou součástí nájmu</w:t>
      </w:r>
      <w:bookmarkStart w:id="3" w:name="Text44"/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: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 </w:t>
      </w:r>
      <w:r w:rsidR="00140134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2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x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skříň, </w:t>
      </w:r>
      <w:r w:rsidR="009E72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1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x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postel, </w:t>
      </w:r>
      <w:r w:rsidR="00140134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2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x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stolek, </w:t>
      </w:r>
      <w:r w:rsidR="00140134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2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x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 křesl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o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. Jeho přemisťování a jakákoli další manipulace je možná pouze po předchozí domluvě a pod dohledem kastelánky nebo jí pověřené osoby</w:t>
      </w:r>
      <w:bookmarkEnd w:id="3"/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(dále jen „mobiliář“)</w:t>
      </w:r>
      <w:r w:rsidRPr="00956007">
        <w:rPr>
          <w:rFonts w:ascii="Calibri" w:eastAsia="Times New Roman" w:hAnsi="Calibri" w:cs="Times New Roman"/>
          <w:i/>
          <w:color w:val="auto"/>
          <w:sz w:val="22"/>
          <w:szCs w:val="22"/>
          <w:lang w:eastAsia="cs-CZ"/>
        </w:rPr>
        <w:t>.</w:t>
      </w:r>
    </w:p>
    <w:p w:rsidR="00956007" w:rsidRPr="00956007" w:rsidRDefault="00956007" w:rsidP="00956007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Mobiliář je nájemce oprávněn užívat vhodným způsobem v souladu s touto smlouvu a návody na používání jednotlivých pronajatých movitých věcí, které jsou přílohou této smlouvy. </w:t>
      </w:r>
    </w:p>
    <w:p w:rsidR="00956007" w:rsidRPr="00956007" w:rsidRDefault="00956007" w:rsidP="00956007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Předmět nájmu bude nájemci předán na základě Protokolu (příloha č. </w:t>
      </w:r>
      <w:r w:rsidR="00C753AE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2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) a bude k němu pořízena fotodokumentace (Příloha č. </w:t>
      </w:r>
      <w:r w:rsidR="00C753AE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3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). </w:t>
      </w:r>
    </w:p>
    <w:p w:rsidR="00956007" w:rsidRPr="00956007" w:rsidRDefault="00956007" w:rsidP="00956007">
      <w:pPr>
        <w:keepNext/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Článek III.</w:t>
      </w:r>
    </w:p>
    <w:p w:rsidR="00956007" w:rsidRPr="00956007" w:rsidRDefault="00956007" w:rsidP="00956007">
      <w:pPr>
        <w:keepNext/>
        <w:spacing w:after="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Účel nájmu</w:t>
      </w:r>
    </w:p>
    <w:p w:rsidR="00956007" w:rsidRPr="00956007" w:rsidRDefault="00956007" w:rsidP="00956007">
      <w:pPr>
        <w:keepNext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Předmět nájmu bude užíván výlučně k následujícímu účelu a činnostem: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br/>
      </w:r>
      <w:bookmarkStart w:id="4" w:name="Text40"/>
      <w:r w:rsidRPr="00956007"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>jako odpočinková místnost pro zaměstnance nájemce</w:t>
      </w:r>
      <w:r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 xml:space="preserve">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 xml:space="preserve">– </w:t>
      </w:r>
      <w:r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 xml:space="preserve">vlakvedoucí železniční </w:t>
      </w:r>
      <w:r w:rsidRPr="00956007"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 xml:space="preserve">osobní dopravy provozované nájemcem, a to vždy v počtu maximálně </w:t>
      </w:r>
      <w:r w:rsidR="000561B3"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>1</w:t>
      </w:r>
      <w:r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 xml:space="preserve"> </w:t>
      </w:r>
      <w:r w:rsidR="000561B3">
        <w:rPr>
          <w:rFonts w:ascii="Calibri" w:eastAsia="Times New Roman" w:hAnsi="Calibri" w:cs="Times New Roman"/>
          <w:b/>
          <w:color w:val="auto"/>
          <w:sz w:val="22"/>
          <w:szCs w:val="24"/>
          <w:lang w:eastAsia="cs-CZ"/>
        </w:rPr>
        <w:t>vlakvedoucí a 1 strojvedoucí.</w:t>
      </w:r>
    </w:p>
    <w:p w:rsidR="00956007" w:rsidRPr="00956007" w:rsidRDefault="00956007" w:rsidP="00956007">
      <w:pPr>
        <w:keepNext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Seznam zaměstnanců nájemce – řidičů oprávněných předmět nájmu fakticky užívat tvoří přílohu č. 5 této smlouvy. Tento seznam bude v případě změn ze strany nájemce aktualizován a předán bez odkladu po jeho aktualizaci pronajímateli.</w:t>
      </w:r>
    </w:p>
    <w:p w:rsidR="00956007" w:rsidRPr="00956007" w:rsidRDefault="00956007" w:rsidP="00956007">
      <w:pPr>
        <w:keepNext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Za porušení povinnosti uvedené v odst. 1 tohoto článku je nájemce povinen zaplatit smluvní pokutu </w:t>
      </w:r>
      <w:r w:rsidRPr="00956007">
        <w:rPr>
          <w:rFonts w:ascii="Calibri" w:eastAsia="Times New Roman" w:hAnsi="Calibri" w:cs="Times New Roman"/>
          <w:snapToGrid w:val="0"/>
          <w:color w:val="auto"/>
          <w:sz w:val="22"/>
          <w:szCs w:val="22"/>
          <w:lang w:eastAsia="cs-CZ"/>
        </w:rPr>
        <w:t xml:space="preserve">ve výši </w:t>
      </w:r>
      <w:r w:rsidRPr="00956007">
        <w:rPr>
          <w:rFonts w:ascii="Calibri" w:eastAsia="Times New Roman" w:hAnsi="Calibri" w:cs="Times New Roman"/>
          <w:b/>
          <w:snapToGrid w:val="0"/>
          <w:color w:val="auto"/>
          <w:sz w:val="22"/>
          <w:szCs w:val="22"/>
          <w:lang w:eastAsia="cs-CZ"/>
        </w:rPr>
        <w:t xml:space="preserve">5.000Kč 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za každý tako</w:t>
      </w:r>
      <w:r w:rsidRPr="00956007">
        <w:rPr>
          <w:rFonts w:ascii="Calibri" w:eastAsia="Times New Roman" w:hAnsi="Calibri" w:cs="Times New Roman"/>
          <w:snapToGrid w:val="0"/>
          <w:color w:val="auto"/>
          <w:sz w:val="22"/>
          <w:szCs w:val="22"/>
          <w:lang w:eastAsia="cs-CZ"/>
        </w:rPr>
        <w:t>výto případ.</w:t>
      </w:r>
    </w:p>
    <w:bookmarkEnd w:id="4"/>
    <w:p w:rsidR="00956007" w:rsidRPr="00956007" w:rsidRDefault="00956007" w:rsidP="00956007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prohlašuje, že je mu stav předmětu nájmu znám a v takovémto stavu jej k dočasnému užívání přijímá.</w:t>
      </w:r>
    </w:p>
    <w:p w:rsidR="00956007" w:rsidRPr="00956007" w:rsidRDefault="00956007" w:rsidP="00956007">
      <w:pPr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Článek IV.</w:t>
      </w:r>
    </w:p>
    <w:p w:rsidR="00956007" w:rsidRPr="00956007" w:rsidRDefault="00956007" w:rsidP="00956007">
      <w:pPr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Cena nájmu, jeho splatnost a způsob úhrady</w:t>
      </w:r>
    </w:p>
    <w:p w:rsidR="00C753AE" w:rsidRPr="00E5753E" w:rsidRDefault="00C753AE" w:rsidP="00C753AE">
      <w:pPr>
        <w:pStyle w:val="Odstavecseseznamem"/>
        <w:numPr>
          <w:ilvl w:val="0"/>
          <w:numId w:val="8"/>
        </w:numPr>
        <w:spacing w:after="60" w:line="276" w:lineRule="auto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E5753E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Pronajímatel a nájemce se dohodli na výši nájemného </w:t>
      </w:r>
      <w:r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2</w:t>
      </w:r>
      <w:r w:rsidR="000561B3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4 930</w:t>
      </w:r>
      <w:r w:rsidRPr="00E5753E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,- Kč</w:t>
      </w:r>
    </w:p>
    <w:p w:rsidR="00C753AE" w:rsidRPr="00F71A9F" w:rsidRDefault="00C753AE" w:rsidP="00C753AE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E5753E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Cena je složena z nájemného ve výši </w:t>
      </w:r>
      <w:r w:rsidR="000561B3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10 080</w:t>
      </w:r>
      <w:r w:rsidRPr="00E5753E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,- Kč</w:t>
      </w:r>
      <w:r w:rsidRPr="00F71A9F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/měsíc bez DPH, na dlouhodobý pronájem se DPH nevztahuje</w:t>
      </w:r>
      <w:r w:rsidRPr="00E5753E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. 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V</w:t>
      </w:r>
      <w:r w:rsidRPr="00E5753E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edle nájemného je nájemce povinen platit pronajímateli za služby související s užíváním předmětu nájmu, jako je odběr elektrické energie, vody, tepla, denního úklidu včetně převlékání lůžkovin a dalších nákladů spojených s údržbou ve výši </w:t>
      </w:r>
      <w:r w:rsidR="00140134" w:rsidRPr="00140134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1</w:t>
      </w:r>
      <w:r w:rsidR="000561B3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4 850</w:t>
      </w:r>
      <w:r w:rsidRPr="00E5753E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,- Kč</w:t>
      </w:r>
      <w:r w:rsidR="00752D34" w:rsidRPr="00752D34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/měsíc</w:t>
      </w:r>
      <w:r w:rsidRPr="00F71A9F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</w:t>
      </w:r>
      <w:r w:rsidR="009D6D1B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bez</w:t>
      </w:r>
      <w:r w:rsidRPr="00F71A9F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DPH</w:t>
      </w:r>
      <w:r w:rsidR="000561B3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. DPH bude účtována dle platných právních předpisů platných v době uskutečnění zdanitelného plnění. Dnem uskutečnění zdanitelného plnění je poslední den kalendářního měsíce.</w:t>
      </w:r>
    </w:p>
    <w:p w:rsidR="00C753AE" w:rsidRPr="00E5753E" w:rsidRDefault="00C753AE" w:rsidP="00C753AE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E5753E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S ohledem na zahrnutí paušálních plateb za služby do nájemného, není pronajímatel povinen provádět roční vyúčtování služeb. </w:t>
      </w:r>
    </w:p>
    <w:p w:rsidR="00956007" w:rsidRPr="00956007" w:rsidRDefault="00956007" w:rsidP="00956007">
      <w:pPr>
        <w:numPr>
          <w:ilvl w:val="0"/>
          <w:numId w:val="8"/>
        </w:numPr>
        <w:spacing w:after="12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>Pronajímatel vystaví nájemci na daný měsíc daňový doklad – fakturu se splatností 21 dní od jejího vystavení. Nájemné bude nájemcem placeno na bankovní účet pronajímatele č. 200002-60039011/0710 vedený u České národní banky, pod variabilním symbolem uvedeným na faktuře.</w:t>
      </w:r>
    </w:p>
    <w:p w:rsidR="006B1E50" w:rsidRPr="00956007" w:rsidRDefault="006B1E50" w:rsidP="006B1E50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Smluvní strany se dohodly, že každá faktura bude zasílána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výhradně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v písemné podobě na adresu České dráhy, a.s.</w:t>
      </w:r>
      <w:proofErr w:type="gramStart"/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,  OPT</w:t>
      </w:r>
      <w:proofErr w:type="gramEnd"/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Olomouc, Vídeňská 625/15, 772 11 Olomouc, podatelna došlých faktur nebo je možné uzavřít Smlouvu o elektronické fakturaci, pokud pronajímatel požaduje odesílání faktur elektronicky. Bližší informace k přijímání faktur elektronicky podá kontaktní osoba.</w:t>
      </w:r>
    </w:p>
    <w:p w:rsidR="006B1E50" w:rsidRPr="00956007" w:rsidRDefault="006B1E50" w:rsidP="006B1E50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Faktura musí obsahovat všechny právními předpisy požadované náležitosti. Neobsahuje-li faktura tyto náležitosti či je z jiného důvodu vystavena chybně, je nájemce oprávněn ji vrátit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pronajímateli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, přičemž v tomto případě není 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v prodlení s úhradou částky účtované příslušnou fakturou. 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Nová lhůta splatnosti začne běžet okamžikem doručení opravené faktury nájemci.</w:t>
      </w:r>
    </w:p>
    <w:p w:rsidR="006B1E50" w:rsidRPr="00956007" w:rsidRDefault="006B1E50" w:rsidP="006B1E50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Smluvní strany sjednávají pro případ prodlení s placením nájemného povinnost nájemce zaplatit pronajímateli smluvní pokutu ve výši 0,5 % z dlužné částky </w:t>
      </w: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bez DPH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za každý, byť započatý den prodlení.</w:t>
      </w:r>
    </w:p>
    <w:p w:rsidR="006B1E50" w:rsidRPr="00956007" w:rsidRDefault="006B1E50" w:rsidP="006B1E50">
      <w:pPr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956007">
        <w:rPr>
          <w:rFonts w:ascii="Calibri" w:eastAsia="Calibri" w:hAnsi="Calibri" w:cs="Times New Roman"/>
          <w:color w:val="000000"/>
          <w:sz w:val="22"/>
          <w:szCs w:val="22"/>
        </w:rPr>
        <w:t>V případě ukončení nájmu je nájemce povinen hradit nájemné</w:t>
      </w:r>
      <w:r w:rsidRPr="00956007">
        <w:rPr>
          <w:rFonts w:ascii="Calibri" w:eastAsia="Calibri" w:hAnsi="Calibri" w:cs="Times New Roman"/>
          <w:color w:val="auto"/>
          <w:sz w:val="22"/>
          <w:szCs w:val="22"/>
        </w:rPr>
        <w:t xml:space="preserve"> až do okamžiku vyklizení a předání předmětu nájmu pronajímateli.</w:t>
      </w:r>
    </w:p>
    <w:p w:rsidR="002641FF" w:rsidRPr="00956007" w:rsidRDefault="002641FF" w:rsidP="002641FF">
      <w:pPr>
        <w:keepNext/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Článek V.</w:t>
      </w:r>
    </w:p>
    <w:p w:rsidR="002641FF" w:rsidRPr="00956007" w:rsidRDefault="002641FF" w:rsidP="002641FF">
      <w:pPr>
        <w:keepNext/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Podnájem</w:t>
      </w:r>
    </w:p>
    <w:p w:rsidR="002641FF" w:rsidRPr="00956007" w:rsidRDefault="002641FF" w:rsidP="002641FF">
      <w:pPr>
        <w:keepNext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Nájemce není oprávněn přenechat předmět nájmu ani jeho část do podnájmu další osobě, s výjimkou případu předchozího písemného souhlasu pronajímatele a Ministerstva kultury.</w:t>
      </w:r>
    </w:p>
    <w:p w:rsidR="002641FF" w:rsidRPr="00956007" w:rsidRDefault="002641FF" w:rsidP="002641FF">
      <w:pPr>
        <w:keepNext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Za porušení povinnosti uvedené v odst. 1 tohoto článku, je 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nájemce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povinen zaplatit smluvní pokutu </w:t>
      </w:r>
      <w:r w:rsidRPr="00956007">
        <w:rPr>
          <w:rFonts w:ascii="Calibri" w:eastAsia="Times New Roman" w:hAnsi="Calibri" w:cs="Times New Roman"/>
          <w:snapToGrid w:val="0"/>
          <w:color w:val="auto"/>
          <w:sz w:val="22"/>
          <w:szCs w:val="22"/>
          <w:lang w:eastAsia="cs-CZ"/>
        </w:rPr>
        <w:t>ve výši 10 000 Kč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za každý tako</w:t>
      </w:r>
      <w:r w:rsidRPr="00956007">
        <w:rPr>
          <w:rFonts w:ascii="Calibri" w:eastAsia="Times New Roman" w:hAnsi="Calibri" w:cs="Times New Roman"/>
          <w:snapToGrid w:val="0"/>
          <w:color w:val="auto"/>
          <w:sz w:val="22"/>
          <w:szCs w:val="22"/>
          <w:lang w:eastAsia="cs-CZ"/>
        </w:rPr>
        <w:t xml:space="preserve">výto případ. </w:t>
      </w:r>
    </w:p>
    <w:p w:rsidR="002641FF" w:rsidRPr="00956007" w:rsidRDefault="002641FF" w:rsidP="002641FF">
      <w:pPr>
        <w:keepNext/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Článek VI.</w:t>
      </w:r>
    </w:p>
    <w:p w:rsidR="002641FF" w:rsidRPr="00956007" w:rsidRDefault="002641FF" w:rsidP="002641FF">
      <w:pPr>
        <w:keepNext/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Stavební a jiné úpravy</w:t>
      </w:r>
    </w:p>
    <w:p w:rsidR="002641FF" w:rsidRPr="00956007" w:rsidRDefault="002641FF" w:rsidP="002641FF">
      <w:pPr>
        <w:keepNext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Žádné stavební úpravy v pronajaté nemovitosti nejsou možné. </w:t>
      </w:r>
    </w:p>
    <w:p w:rsidR="002641FF" w:rsidRPr="00956007" w:rsidRDefault="002641FF" w:rsidP="002641FF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je povinen udržovat řádný vzhled předmětu nájmu.</w:t>
      </w:r>
    </w:p>
    <w:p w:rsidR="002641FF" w:rsidRPr="00956007" w:rsidRDefault="002641FF" w:rsidP="002641FF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Předchozí písemný souhlas pronajímatele je zapotřebí pro umístění informačního zařízení (informačního štítu tabulky a podobně) na předmět nájmu. </w:t>
      </w:r>
    </w:p>
    <w:p w:rsidR="002641FF" w:rsidRPr="00956007" w:rsidRDefault="002641FF" w:rsidP="002641FF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se zavazuje neprovádět jakékoliv zásahy do omítek a zdiva (včetně opírání předmětů o zdivo a vzpírání mezi zdmi), nátěry a přemísťování mobiliáře a příslušenství předmětu nájmu bez předchozího písemného souhlasu pronajímatele. Rovněž nebude zasahovat do míst s potencionálním výskytem archeologických nálezů, tj. do terénu, pod podlahy nebo zásypů kleneb.</w:t>
      </w:r>
    </w:p>
    <w:p w:rsidR="002641FF" w:rsidRPr="00956007" w:rsidRDefault="002641FF" w:rsidP="002641FF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je povinen po skončení nájemního vztahu odevzdat předmět nájmu v takovém stavu, v jakém mu byl předán při zohlednění obvyklého opotřebení při řádném užívání a odstranit veškeré změny a úpravy. Dohodnou-li se smluvní strany, že změny a úpravy provedené na předmětu nájmu mohou být ponechány, nemá nájemce nárok na jakékoliv vypořádání z důvodů možného zhodnocení předmětu nájmu.</w:t>
      </w:r>
    </w:p>
    <w:p w:rsidR="002641FF" w:rsidRPr="00956007" w:rsidRDefault="002641FF" w:rsidP="002641FF">
      <w:pPr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Článek VII.</w:t>
      </w:r>
    </w:p>
    <w:p w:rsidR="002641FF" w:rsidRPr="00956007" w:rsidRDefault="002641FF" w:rsidP="002641FF">
      <w:pPr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Práva a povinnosti pronajímatele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Pronajímatel je povinen zajistit řádný a nerušený výkon nájemních práv nájemce po celou dobu nájemního vztahu, aby bylo možno dosáhnout účelu nájmu. Pro řádný a nerušený výkon nájemcových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 xml:space="preserve">práv se zavazuje pronajímatel umožnit nájemci nerušený přístup do předmětu nájmu přes přilehlý pozemek a potřebné společné prostory domu, v němž je předmět nájmu umístěn.   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Pronajímatel se zavazuje provádět běžnou údržbu pronajatých nemovitých věcí, tak aby je mohl nájemce řádně užívat. V případě poruchy, opotřebení nebo nefunkčnosti pronajímatel zajistí opravu a zprovoznění. </w:t>
      </w:r>
    </w:p>
    <w:p w:rsidR="002641FF" w:rsidRPr="00956007" w:rsidRDefault="002641FF" w:rsidP="002641F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se zavazuje dodržovat obecné předpisy týkající se bezpečnosti a ochrany zdraví zaměstnanců, která se týkají užívání předmětu nájmu (dále jen „rizika“)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, jakož i bezpečnost dalších osob v předmětu nájmu se nacházejících,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a předpisy požární ochrany ve smyslu obecně závazných předpisů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týkající se téhož. 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Elektrospotřebiče nejsou součástí nájmu. Nájemcem vnesené elektrospotřebiče musí mít platnou revizi a uživatelé musí být řádně proškoleni v jejich bezpečném používání.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Pronajímatel a jím pověření zaměstnanci jsou oprávněni vstoupit do předmětu </w:t>
      </w:r>
      <w:proofErr w:type="gramStart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nájmu</w:t>
      </w:r>
      <w:proofErr w:type="gramEnd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a to v době, kdy se v těchto prostorách nachází jakýkoliv pracovník nájemce, a to zejména za účelem provádění údržby, nutných oprav či provádění kontroly elektrického, plynového, vodovodního a dalšího vedení. Není-li možné do pronajatých prostor vstoupit, vyzve pronajímatel nájemce ke zpřístupnění těchto prostor a poskytne mu k tomu přiměřenou lhůtu. Po uplynutí lhůty může pronajímatel do předmětu nájmu vstoupit a provést zamýšlené činnosti.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Pronajímatel a jím pověření zaměstnanci jsou oprávněni vstoupit do předmětu nájmu i v případech, kdy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Rovněž v případě, že pronajímatel bude požádán o provedení drobných úprav na předmětu nájmu, je oprávněn takto provést i bez přítomnosti pracovníka nájemce, jestliže nemá možnost provést tuto opravu v jiném čase a na tuto skutečnost pronajímatele upozorní.</w:t>
      </w:r>
    </w:p>
    <w:p w:rsidR="002641FF" w:rsidRPr="00956007" w:rsidRDefault="002641FF" w:rsidP="002641FF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bere na vědomí, že pronajímatel bude mít v držení náhradní klíče předmětu nájmu a nájemce není oprávněn provést bez písemného souhlasu pronajímatele výměnu zámků. 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2641FF" w:rsidRPr="00956007" w:rsidRDefault="002641FF" w:rsidP="002641FF">
      <w:pPr>
        <w:keepNext/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Článek VIII.</w:t>
      </w:r>
    </w:p>
    <w:p w:rsidR="002641FF" w:rsidRPr="00956007" w:rsidRDefault="002641FF" w:rsidP="002641FF">
      <w:pPr>
        <w:keepNext/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Práva a povinnosti nájemce</w:t>
      </w:r>
    </w:p>
    <w:p w:rsidR="002641FF" w:rsidRPr="00956007" w:rsidRDefault="002641FF" w:rsidP="002641FF">
      <w:pPr>
        <w:keepNext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je povinen umožnit pronajímateli výkon jeho práv vyplývajících z této nájemní smlouvy a obecně závazných předpisů.</w:t>
      </w:r>
    </w:p>
    <w:p w:rsidR="002641FF" w:rsidRPr="00956007" w:rsidRDefault="002641FF" w:rsidP="002641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je povinen oznámit bez zbytečného odkladu pronajímateli potřebu oprav pronajatých věcí, které má pronajímatel provést a umožnit provedení těchto i jiných nezbytných oprav; jinak nájemce odpovídá za škodu, která nesplněním povinnosti pronajímateli vznikla.</w:t>
      </w:r>
    </w:p>
    <w:p w:rsidR="002641FF" w:rsidRPr="00956007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bere na vědomí, že předmět nájmu je součástí památkově chráněného objektu a zavazuje se dodržovat všechny obecně závazné právní předpisy a obecná bezpečnostní a protipožární pravidla. Nájemce je povinen počínat si v předmětu nájmu tak, aby nezavdal svým jednáním či nedbalostí příčinu ke vzniku požáru nebo jiné živelní události.</w:t>
      </w:r>
    </w:p>
    <w:p w:rsidR="002641FF" w:rsidRPr="00956007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v předmětu nájmu zajišťuje bezpečnost a ochranu zdraví svých zaměstnanců při práci s ohledem na rizika možného ohrožení jejich života a zdraví, která se týkají výkonu práce (dále jen „rizika“)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, jakož i bezpečnost dalších osob v předmětu nájmu se nacházejících,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a požární ochranu ve smyslu obecně závazných předpisů a je odpovědný za dodržování ustanovení těchto předpisů a za škody, které vzniknou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>jeho činností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nebo v souvislosti s touto činností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. Nájemce je povinen informovat pronajímatele o rizicích a opatřeních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přijatých k ochraně před jejich působením. </w:t>
      </w:r>
    </w:p>
    <w:p w:rsidR="002641FF" w:rsidRPr="00956007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Pronajímatel má právo provádět kontrolu zabezpečování bezpečnosti práce a protipožární ochrany. Nájemce je povinen být při kontrolách součinný.</w:t>
      </w:r>
    </w:p>
    <w:p w:rsidR="002641FF" w:rsidRPr="00956007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je povinen předmět nájmu užívat tak, aby nedocházelo k rušení návštěvnického provozu památkového objektu ve správě pronajímatele, kde se předmět nájmu nachází. </w:t>
      </w:r>
    </w:p>
    <w:p w:rsidR="002641FF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752D34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je povinen o předmět nájmu řádně pečovat. </w:t>
      </w:r>
    </w:p>
    <w:p w:rsidR="002641FF" w:rsidRPr="00752D34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752D34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Nájemce si bude počínat tak, aby nedošlo ke škodě na majetku pronajímatele, na majetku a zdraví dalších osob. Jakékoliv závady nebo škodní události bude neprodleně hlásit pronajímateli.</w:t>
      </w:r>
    </w:p>
    <w:p w:rsidR="002641FF" w:rsidRPr="00956007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odpovídá za všechny osoby, kterým umožní přístup do předmětu nájmu. Nájemce odpovídá za škodu, které tyto osoby způsobí. </w:t>
      </w:r>
    </w:p>
    <w:p w:rsidR="002641FF" w:rsidRPr="00956007" w:rsidRDefault="002641FF" w:rsidP="002641F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Nájemce se zavazuje dodržovat a zajistit, že v předmětu nájmu nebude používán otevřený oheň a nebude se kouřit.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</w:t>
      </w:r>
    </w:p>
    <w:p w:rsidR="002641FF" w:rsidRPr="00956007" w:rsidRDefault="002641FF" w:rsidP="002641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Pronajímatel neodpovídá za škody na majetku vneseném nájemcem do předmětu nájmu a ani za škody na majetku vneseném do předmětu nájmu jinými osobami se souhlasem nájemce.</w:t>
      </w:r>
    </w:p>
    <w:p w:rsidR="002641FF" w:rsidRPr="00956007" w:rsidRDefault="002641FF" w:rsidP="002641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Pronajímatel neodpovídá za bezpečnost, zdraví a majetek osob, které se zdržují v předmětu nájmu a ani za škody osobám vzniklé při provozování činnosti uvedené v čl. III této smlouvy.</w:t>
      </w:r>
    </w:p>
    <w:p w:rsidR="002641FF" w:rsidRPr="00956007" w:rsidRDefault="002641FF" w:rsidP="002641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Pronajímatel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neodpovídá za škody způsobené nájemci v důsledku živelní události.</w:t>
      </w:r>
    </w:p>
    <w:p w:rsidR="002641FF" w:rsidRPr="00956007" w:rsidRDefault="002641FF" w:rsidP="002641FF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bere na vědomí, že v areálu objektu je instalován kamerový systém a dochází tak ke zpracování osobních údajů osob, které vstupují do monitorovaného prostoru. Pronajímatel při jejich zpracování postupuje dle platných právních předpisů. </w:t>
      </w:r>
    </w:p>
    <w:p w:rsidR="002641FF" w:rsidRPr="00956007" w:rsidRDefault="002641FF" w:rsidP="002641FF">
      <w:pPr>
        <w:spacing w:before="360" w:after="0" w:line="240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 xml:space="preserve">Článek </w:t>
      </w:r>
      <w:r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I</w:t>
      </w: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X.</w:t>
      </w:r>
    </w:p>
    <w:p w:rsidR="002641FF" w:rsidRPr="00956007" w:rsidRDefault="002641FF" w:rsidP="002641FF">
      <w:pPr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>Doba nájmu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Calibri"/>
          <w:b/>
          <w:color w:val="auto"/>
          <w:sz w:val="22"/>
          <w:szCs w:val="24"/>
          <w:lang w:eastAsia="cs-CZ"/>
        </w:rPr>
      </w:pPr>
      <w:r w:rsidRPr="00956007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 xml:space="preserve">Tato smlouva se uzavírá </w:t>
      </w:r>
      <w:r w:rsidRPr="00956007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na dobu určitou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 xml:space="preserve"> </w:t>
      </w:r>
      <w:r w:rsidRPr="00956007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od 1</w:t>
      </w:r>
      <w:r w:rsidR="000561B3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0</w:t>
      </w:r>
      <w:r w:rsidRPr="00956007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.</w:t>
      </w:r>
      <w:r w:rsidR="000561B3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12.2023 do 14</w:t>
      </w:r>
      <w:r w:rsidRPr="00956007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.12.202</w:t>
      </w:r>
      <w:r w:rsidR="000561B3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4</w:t>
      </w:r>
      <w:r w:rsidRPr="00956007">
        <w:rPr>
          <w:rFonts w:ascii="Calibri" w:eastAsia="Times New Roman" w:hAnsi="Calibri" w:cs="Calibri"/>
          <w:b/>
          <w:color w:val="auto"/>
          <w:sz w:val="22"/>
          <w:szCs w:val="22"/>
          <w:lang w:eastAsia="cs-CZ"/>
        </w:rPr>
        <w:t>.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Calibri"/>
          <w:b/>
          <w:color w:val="auto"/>
          <w:sz w:val="22"/>
          <w:szCs w:val="24"/>
          <w:lang w:eastAsia="cs-CZ"/>
        </w:rPr>
      </w:pPr>
      <w:r w:rsidRPr="00956007">
        <w:rPr>
          <w:rFonts w:ascii="Calibri" w:eastAsia="Times New Roman" w:hAnsi="Calibri" w:cs="Calibri"/>
          <w:color w:val="auto"/>
          <w:sz w:val="22"/>
          <w:szCs w:val="24"/>
          <w:lang w:eastAsia="cs-CZ"/>
        </w:rPr>
        <w:t xml:space="preserve">Nájem lze ukončit dohodou smluvních stran. 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Calibri"/>
          <w:b/>
          <w:color w:val="auto"/>
          <w:sz w:val="22"/>
          <w:szCs w:val="24"/>
          <w:lang w:eastAsia="cs-CZ"/>
        </w:rPr>
      </w:pPr>
      <w:r w:rsidRPr="00956007">
        <w:rPr>
          <w:rFonts w:ascii="Calibri" w:eastAsia="Times New Roman" w:hAnsi="Calibri" w:cs="Calibri"/>
          <w:color w:val="auto"/>
          <w:sz w:val="22"/>
          <w:szCs w:val="24"/>
          <w:lang w:eastAsia="cs-CZ"/>
        </w:rPr>
        <w:t xml:space="preserve">Nájemce i pronajímatel mohou tuto smlouvu vypovědět i bez uvedení důvodu. Výpovědní doba je tříměsíční a počíná běžet prvním dnem měsíce následujícího po měsíci, v němž byla výpověď prokazatelně doručena druhé smluvní straně. 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Calibri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>Pronajímatel je oprávněn písemně vypovědět nájem bez výpovědní doby v případech dle občanského zákoníku a v případech, kdy nájemce porušuje své povinnosti zvlášť závažným způsobem. Za zvlášť závažné porušení povinností nájemcem se považuje zejména:</w:t>
      </w:r>
    </w:p>
    <w:p w:rsidR="002641FF" w:rsidRPr="00956007" w:rsidRDefault="002641FF" w:rsidP="002641FF">
      <w:pPr>
        <w:numPr>
          <w:ilvl w:val="2"/>
          <w:numId w:val="9"/>
        </w:numPr>
        <w:spacing w:after="60" w:line="276" w:lineRule="auto"/>
        <w:ind w:left="993" w:hanging="426"/>
        <w:jc w:val="both"/>
        <w:outlineLvl w:val="1"/>
        <w:rPr>
          <w:rFonts w:ascii="Calibri" w:eastAsia="Times New Roman" w:hAnsi="Calibri" w:cs="Calibri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>jestliže nájemce užívá předmět nájmu jiným způsobem nebo k jinému než sjednanému účelu</w:t>
      </w:r>
    </w:p>
    <w:p w:rsidR="002641FF" w:rsidRPr="00956007" w:rsidRDefault="002641FF" w:rsidP="002641FF">
      <w:pPr>
        <w:numPr>
          <w:ilvl w:val="2"/>
          <w:numId w:val="9"/>
        </w:numPr>
        <w:spacing w:after="60" w:line="276" w:lineRule="auto"/>
        <w:ind w:left="993" w:hanging="426"/>
        <w:jc w:val="both"/>
        <w:outlineLvl w:val="1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Calibri"/>
          <w:color w:val="auto"/>
          <w:sz w:val="22"/>
          <w:szCs w:val="22"/>
          <w:lang w:eastAsia="cs-CZ"/>
        </w:rPr>
        <w:t>jestliže nájemce poškozuje předmět nájmu závažným nebo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nenapravitelným způsobem nebo způsobí-li jinak závažnou škodu na předmětu nájmu.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Při výpovědi bez výpovědní doby zaniká nájem dnem následujícím po doručení výpovědi druhé smluvní straně.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je povinen předmět nájmu vyklidit a předat nejpozději den následující po ukončení nájemního vztahu s tím, že o předání bude v případě požadavku pronajímatelem vypracován písemný zápis. V případě prodlení se splněním povinnosti vyklidit a předat předmět nájmu nebo jeho část, uhradí 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 xml:space="preserve">nájemce smluvní pokutu 5.000,- Kč za každý den prodlení se splněním této </w:t>
      </w:r>
      <w:proofErr w:type="gramStart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povinnosti</w:t>
      </w:r>
      <w:proofErr w:type="gramEnd"/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 a to bez ohledu na jeho zavinění. 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2641FF" w:rsidRPr="00956007" w:rsidRDefault="002641FF" w:rsidP="002641F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Smluvní strany sjednaly, že </w:t>
      </w:r>
      <w:proofErr w:type="spellStart"/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ust</w:t>
      </w:r>
      <w:proofErr w:type="spellEnd"/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. § 2230 zákona č. 89/2012 Sb., občanský zákoník, v platném znění, o automatickém prodloužení nájmu se neuplatní.</w:t>
      </w:r>
    </w:p>
    <w:p w:rsidR="002641FF" w:rsidRPr="00956007" w:rsidRDefault="002641FF" w:rsidP="002641FF">
      <w:pPr>
        <w:keepNext/>
        <w:spacing w:before="360" w:after="0" w:line="240" w:lineRule="auto"/>
        <w:ind w:left="0"/>
        <w:jc w:val="center"/>
        <w:outlineLvl w:val="3"/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  <w:t>Článek X</w:t>
      </w:r>
      <w:r w:rsidRPr="00956007">
        <w:rPr>
          <w:rFonts w:ascii="Calibri" w:eastAsia="Times New Roman" w:hAnsi="Calibri" w:cs="Arial"/>
          <w:b/>
          <w:bCs/>
          <w:color w:val="auto"/>
          <w:sz w:val="22"/>
          <w:szCs w:val="22"/>
          <w:lang w:eastAsia="cs-CZ"/>
        </w:rPr>
        <w:t>.</w:t>
      </w:r>
    </w:p>
    <w:p w:rsidR="002641FF" w:rsidRPr="00956007" w:rsidRDefault="002641FF" w:rsidP="002641FF">
      <w:pPr>
        <w:spacing w:after="60" w:line="276" w:lineRule="auto"/>
        <w:ind w:left="0"/>
        <w:jc w:val="center"/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lang w:eastAsia="cs-CZ"/>
        </w:rPr>
        <w:t xml:space="preserve">Ustanovení přechodná a závěrečná </w:t>
      </w:r>
    </w:p>
    <w:p w:rsidR="002641FF" w:rsidRPr="00956007" w:rsidRDefault="002641FF" w:rsidP="002641FF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 xml:space="preserve">Nájemce se vzdává svého práva namítat nepřiměřenou výši smluvní pokuty u soudu ve smyslu § 2051 zákona č. 89/2012 Sb., občanský zákoník, ve znění pozdějších předpisů. Smluvní pokuty dle této smlouvy jsou splatné do 21 dnů od doručení písemného vyúčtování druhé smluvní straně. </w:t>
      </w:r>
      <w:r w:rsidRPr="00956007"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  <w:t>Uhrazením smluvní pokuty není dotčen nárok na náhrad</w:t>
      </w:r>
      <w:r w:rsidRPr="00956007">
        <w:rPr>
          <w:rFonts w:ascii="Calibri" w:eastAsia="Times New Roman" w:hAnsi="Calibri" w:cs="Times New Roman"/>
          <w:snapToGrid w:val="0"/>
          <w:color w:val="000000"/>
          <w:sz w:val="22"/>
          <w:szCs w:val="22"/>
          <w:lang w:eastAsia="cs-CZ"/>
        </w:rPr>
        <w:t>u škody. Nárok na úhradu smluvní pokuty ani škody není nikterak dotčen odstoupením od smlouvy.</w:t>
      </w:r>
    </w:p>
    <w:p w:rsidR="002641FF" w:rsidRPr="00956007" w:rsidRDefault="002641FF" w:rsidP="002641FF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Tato smlouva byla sepsána ve dvou vyhotoveních. Každá ze smluvních stran obdržela po jednom totožném vyhotovení. </w:t>
      </w:r>
    </w:p>
    <w:p w:rsidR="002641FF" w:rsidRPr="00956007" w:rsidRDefault="002641FF" w:rsidP="002641FF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Tato smlouva nabývá platnosti dnem podpisu oběma smluvními stranami. Pokud tato smlouva podléhá povinnosti uveřejnění </w:t>
      </w:r>
      <w:r w:rsidRPr="00956007">
        <w:rPr>
          <w:rFonts w:ascii="Calibri" w:eastAsia="Times New Roman" w:hAnsi="Calibri" w:cs="Times New Roman"/>
          <w:bCs/>
          <w:iCs/>
          <w:color w:val="auto"/>
          <w:sz w:val="22"/>
          <w:szCs w:val="22"/>
          <w:lang w:eastAsia="cs-CZ"/>
        </w:rPr>
        <w:t>dle zákona č. 340/2015 Sb., o zvláštních podmínkách účinnosti některých smluv, uveřejňování těchto smluv a o registru smluv (zákon o registru smluv)</w:t>
      </w:r>
      <w:r w:rsidRPr="00956007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nabude účinnosti dnem uveřejnění a její uveřejnění zajistí pronajímatel.</w:t>
      </w:r>
      <w:r w:rsidRPr="00956007">
        <w:rPr>
          <w:rFonts w:ascii="Calibri" w:eastAsia="Times New Roman" w:hAnsi="Calibri" w:cs="Times New Roman"/>
          <w:snapToGrid w:val="0"/>
          <w:color w:val="auto"/>
          <w:sz w:val="22"/>
          <w:szCs w:val="22"/>
          <w:lang w:eastAsia="cs-CZ"/>
        </w:rPr>
        <w:t xml:space="preserve"> Smluvní strany berou na vědomí, že tato smlouva může být předmětem zveřejnění i dle jiných právních předpisů.</w:t>
      </w:r>
    </w:p>
    <w:p w:rsidR="002641FF" w:rsidRPr="00956007" w:rsidRDefault="002641FF" w:rsidP="002641FF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Smluvní strany se zavazují spolupůsobit jako osoba povinná v souladu se zákonem č. 320/2001 Sb., o finanční kontrole ve veřejné správě a o změně některých zákonů (zákon o finanční kontrole), ve znění pozdějších předpisů.</w:t>
      </w:r>
    </w:p>
    <w:p w:rsidR="002641FF" w:rsidRPr="00956007" w:rsidRDefault="002641FF" w:rsidP="002641FF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Smlouvu je možno měnit či doplňovat výhradně písemnými číslovanými dodatky. </w:t>
      </w:r>
    </w:p>
    <w:p w:rsidR="002641FF" w:rsidRPr="00956007" w:rsidRDefault="002641FF" w:rsidP="002641FF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Smluvní strany prohlašují, že tuto smlouvu uzavřely podle své pravé a svobodné vůle prosté omylů, nikoliv v tísni, a že vzájemné plnění dle této smlouvy není v hrubém nepoměru. Smlouva je pro obě smluvní strany určitá a srozumitelná.</w:t>
      </w:r>
    </w:p>
    <w:p w:rsidR="002641FF" w:rsidRPr="000561B3" w:rsidRDefault="002641FF" w:rsidP="000561B3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iCs/>
          <w:color w:val="auto"/>
          <w:sz w:val="22"/>
          <w:szCs w:val="22"/>
          <w:lang w:eastAsia="cs-CZ"/>
        </w:rPr>
        <w:t xml:space="preserve">Informace k ochraně osobních údajů jsou ze strany NPÚ uveřejněny na webových stránkách </w:t>
      </w:r>
      <w:hyperlink r:id="rId8" w:history="1">
        <w:r w:rsidR="00C12A38">
          <w:rPr>
            <w:rFonts w:ascii="Calibri" w:eastAsia="Times New Roman" w:hAnsi="Calibri" w:cs="Arial"/>
            <w:iCs/>
            <w:color w:val="0000FF"/>
            <w:sz w:val="22"/>
            <w:szCs w:val="22"/>
            <w:u w:val="single"/>
            <w:lang w:eastAsia="cs-CZ"/>
          </w:rPr>
          <w:t>XXXX</w:t>
        </w:r>
      </w:hyperlink>
      <w:r w:rsidRPr="00956007">
        <w:rPr>
          <w:rFonts w:ascii="Calibri" w:eastAsia="Times New Roman" w:hAnsi="Calibri" w:cs="Arial"/>
          <w:iCs/>
          <w:color w:val="auto"/>
          <w:sz w:val="22"/>
          <w:szCs w:val="22"/>
          <w:lang w:eastAsia="cs-CZ"/>
        </w:rPr>
        <w:t xml:space="preserve"> v sekci „Ochrana osobních údajů“.</w:t>
      </w:r>
    </w:p>
    <w:p w:rsidR="002641FF" w:rsidRPr="00956007" w:rsidRDefault="002641FF" w:rsidP="002641FF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6B1E50" w:rsidRPr="00956007" w:rsidRDefault="006B1E50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56007" w:rsidRPr="00956007" w:rsidTr="00124180">
        <w:trPr>
          <w:jc w:val="center"/>
        </w:trPr>
        <w:tc>
          <w:tcPr>
            <w:tcW w:w="4606" w:type="dxa"/>
          </w:tcPr>
          <w:p w:rsidR="00956007" w:rsidRPr="00956007" w:rsidRDefault="00956007" w:rsidP="00956007">
            <w:pPr>
              <w:spacing w:after="0" w:line="240" w:lineRule="auto"/>
              <w:ind w:left="0"/>
              <w:jc w:val="both"/>
              <w:rPr>
                <w:rFonts w:ascii="Arial" w:eastAsia="Times New Roman" w:hAnsi="Arial" w:cs="Century Gothic"/>
                <w:color w:val="auto"/>
                <w:sz w:val="22"/>
                <w:szCs w:val="22"/>
                <w:lang w:eastAsia="cs-CZ"/>
              </w:rPr>
            </w:pPr>
            <w:bookmarkStart w:id="5" w:name="Text35"/>
            <w:r w:rsidRPr="00956007">
              <w:rPr>
                <w:rFonts w:ascii="Calibri" w:eastAsia="Times New Roman" w:hAnsi="Calibri" w:cs="Century Gothic"/>
                <w:color w:val="auto"/>
                <w:sz w:val="22"/>
                <w:szCs w:val="22"/>
                <w:lang w:eastAsia="cs-CZ"/>
              </w:rPr>
              <w:t xml:space="preserve">V Libochovicích, dne </w:t>
            </w:r>
            <w:r w:rsidR="000561B3">
              <w:rPr>
                <w:rFonts w:ascii="Calibri" w:eastAsia="Times New Roman" w:hAnsi="Calibri" w:cs="Century Gothic"/>
                <w:color w:val="auto"/>
                <w:sz w:val="22"/>
                <w:szCs w:val="22"/>
                <w:lang w:eastAsia="cs-CZ"/>
              </w:rPr>
              <w:t>15. 11. 2023</w:t>
            </w:r>
          </w:p>
        </w:tc>
        <w:tc>
          <w:tcPr>
            <w:tcW w:w="4606" w:type="dxa"/>
          </w:tcPr>
          <w:p w:rsidR="00956007" w:rsidRPr="00956007" w:rsidRDefault="000561B3" w:rsidP="00956007">
            <w:pPr>
              <w:spacing w:after="0" w:line="240" w:lineRule="auto"/>
              <w:ind w:left="325"/>
              <w:jc w:val="both"/>
              <w:rPr>
                <w:rFonts w:ascii="Arial" w:eastAsia="Times New Roman" w:hAnsi="Arial" w:cs="Times New Roman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entury Gothic"/>
                <w:color w:val="auto"/>
                <w:sz w:val="22"/>
                <w:szCs w:val="22"/>
                <w:lang w:eastAsia="cs-CZ"/>
              </w:rPr>
              <w:t xml:space="preserve">     V Plzni dne 15. 11. 2023</w:t>
            </w:r>
          </w:p>
        </w:tc>
      </w:tr>
    </w:tbl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bookmarkEnd w:id="5"/>
    <w:p w:rsidR="00956007" w:rsidRPr="00956007" w:rsidRDefault="00956007" w:rsidP="00956007">
      <w:pPr>
        <w:tabs>
          <w:tab w:val="center" w:pos="1985"/>
          <w:tab w:val="center" w:pos="7088"/>
        </w:tabs>
        <w:suppressAutoHyphens/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tabs>
          <w:tab w:val="center" w:pos="1985"/>
          <w:tab w:val="center" w:pos="7088"/>
        </w:tabs>
        <w:suppressAutoHyphens/>
        <w:spacing w:after="0" w:line="240" w:lineRule="auto"/>
        <w:ind w:left="0"/>
        <w:jc w:val="both"/>
        <w:rPr>
          <w:rFonts w:ascii="Calibri" w:eastAsia="Calibri" w:hAnsi="Calibri" w:cs="Century Gothic"/>
          <w:color w:val="auto"/>
          <w:sz w:val="22"/>
          <w:szCs w:val="22"/>
          <w:lang w:eastAsia="zh-CN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</w:r>
      <w:r w:rsidRPr="00956007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>…………………………………………………</w:t>
      </w:r>
      <w:r w:rsidRPr="00956007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</w:r>
      <w:r w:rsidR="006B1E50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>..</w:t>
      </w:r>
      <w:r w:rsidRPr="00956007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>…………………………………………</w:t>
      </w:r>
    </w:p>
    <w:p w:rsidR="00956007" w:rsidRPr="00956007" w:rsidRDefault="00956007" w:rsidP="00956007">
      <w:pPr>
        <w:tabs>
          <w:tab w:val="center" w:pos="1985"/>
          <w:tab w:val="center" w:pos="7088"/>
        </w:tabs>
        <w:suppressAutoHyphens/>
        <w:spacing w:after="0" w:line="240" w:lineRule="auto"/>
        <w:ind w:left="0"/>
        <w:jc w:val="both"/>
        <w:rPr>
          <w:rFonts w:ascii="Calibri" w:eastAsia="Calibri" w:hAnsi="Calibri" w:cs="Century Gothic"/>
          <w:color w:val="auto"/>
          <w:sz w:val="22"/>
          <w:szCs w:val="22"/>
          <w:lang w:eastAsia="zh-CN"/>
        </w:rPr>
      </w:pPr>
      <w:r w:rsidRPr="00956007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</w:r>
      <w:r w:rsidR="00752D34" w:rsidRPr="00752D34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>Ing</w:t>
      </w:r>
      <w:r w:rsidRPr="00752D34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 xml:space="preserve">. Michaela </w:t>
      </w:r>
      <w:r w:rsidR="006B1E50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>Prokopová</w:t>
      </w:r>
      <w:r w:rsidR="006B1E50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  <w:t>Tomáš Petříček</w:t>
      </w:r>
    </w:p>
    <w:p w:rsidR="00956007" w:rsidRPr="00956007" w:rsidRDefault="006B1E50" w:rsidP="00956007">
      <w:pPr>
        <w:tabs>
          <w:tab w:val="center" w:pos="1985"/>
          <w:tab w:val="center" w:pos="7088"/>
        </w:tabs>
        <w:suppressAutoHyphens/>
        <w:spacing w:after="0" w:line="240" w:lineRule="auto"/>
        <w:ind w:left="0"/>
        <w:jc w:val="both"/>
        <w:rPr>
          <w:rFonts w:ascii="Calibri" w:eastAsia="Calibri" w:hAnsi="Calibri" w:cs="Century Gothic"/>
          <w:color w:val="auto"/>
          <w:sz w:val="22"/>
          <w:szCs w:val="22"/>
          <w:lang w:eastAsia="zh-CN"/>
        </w:rPr>
      </w:pPr>
      <w:r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  <w:t>vedoucí správy</w:t>
      </w:r>
      <w:r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  <w:t>ředitel Oblastního ředitelství</w:t>
      </w:r>
    </w:p>
    <w:p w:rsidR="00956007" w:rsidRPr="00956007" w:rsidRDefault="00956007" w:rsidP="00956007">
      <w:pPr>
        <w:tabs>
          <w:tab w:val="center" w:pos="1985"/>
          <w:tab w:val="center" w:pos="7088"/>
        </w:tabs>
        <w:suppressAutoHyphens/>
        <w:spacing w:after="0" w:line="240" w:lineRule="auto"/>
        <w:ind w:left="0"/>
        <w:jc w:val="both"/>
        <w:rPr>
          <w:rFonts w:ascii="Calibri" w:eastAsia="Calibri" w:hAnsi="Calibri" w:cs="Times New Roman"/>
          <w:color w:val="auto"/>
          <w:sz w:val="22"/>
          <w:szCs w:val="22"/>
          <w:lang w:eastAsia="zh-CN"/>
        </w:rPr>
      </w:pPr>
      <w:r w:rsidRPr="00956007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  <w:t>Státního zámku Libochovice</w:t>
      </w:r>
      <w:r w:rsidR="006B1E50">
        <w:rPr>
          <w:rFonts w:ascii="Calibri" w:eastAsia="Calibri" w:hAnsi="Calibri" w:cs="Century Gothic"/>
          <w:color w:val="auto"/>
          <w:sz w:val="22"/>
          <w:szCs w:val="22"/>
          <w:lang w:eastAsia="zh-CN"/>
        </w:rPr>
        <w:tab/>
        <w:t>osobní dopravy západ</w:t>
      </w:r>
    </w:p>
    <w:p w:rsidR="00956007" w:rsidRPr="00956007" w:rsidRDefault="00956007" w:rsidP="00956007">
      <w:pPr>
        <w:spacing w:after="0" w:line="276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b/>
          <w:color w:val="auto"/>
          <w:sz w:val="22"/>
          <w:szCs w:val="22"/>
          <w:u w:val="single"/>
          <w:lang w:eastAsia="cs-CZ"/>
        </w:rPr>
        <w:t>Přílohy:</w:t>
      </w: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Příloha č. 1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  <w:t>Mapka umístění předmětu nájmu</w:t>
      </w: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Příloha č. 2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  <w:t>Předávací protokol</w:t>
      </w: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Příloha č. 3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  <w:t>Fotodokumentace předmětu nájmu při převzetí nájemcem</w:t>
      </w: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br w:type="page"/>
      </w:r>
    </w:p>
    <w:p w:rsidR="00956007" w:rsidRPr="00956007" w:rsidRDefault="00C753AE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>P</w:t>
      </w:r>
      <w:r w:rsidR="00956007"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>říloha č. 1</w:t>
      </w:r>
      <w:r w:rsidR="00956007"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  <w:t>Mapka umístění předmětu nájmu</w:t>
      </w:r>
    </w:p>
    <w:p w:rsidR="00956007" w:rsidRPr="00956007" w:rsidRDefault="001345B0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Arial" w:eastAsia="Times New Roman" w:hAnsi="Arial" w:cs="Times New Roman"/>
          <w:noProof/>
          <w:color w:val="auto"/>
          <w:sz w:val="2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7390C" wp14:editId="74D451AE">
                <wp:simplePos x="0" y="0"/>
                <wp:positionH relativeFrom="column">
                  <wp:posOffset>3722371</wp:posOffset>
                </wp:positionH>
                <wp:positionV relativeFrom="paragraph">
                  <wp:posOffset>2072641</wp:posOffset>
                </wp:positionV>
                <wp:extent cx="502919" cy="586739"/>
                <wp:effectExtent l="38100" t="38100" r="31115" b="2349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919" cy="5867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CB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3.1pt;margin-top:163.2pt;width:39.6pt;height:46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" strokecolor="red">
                <v:stroke endarrow="block"/>
              </v:shape>
            </w:pict>
          </mc:Fallback>
        </mc:AlternateContent>
      </w:r>
      <w:r w:rsidRPr="00956007">
        <w:rPr>
          <w:rFonts w:ascii="Arial" w:eastAsia="Times New Roman" w:hAnsi="Arial" w:cs="Times New Roman"/>
          <w:noProof/>
          <w:color w:val="auto"/>
          <w:sz w:val="2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643C" wp14:editId="12FB123D">
                <wp:simplePos x="0" y="0"/>
                <wp:positionH relativeFrom="column">
                  <wp:posOffset>3556000</wp:posOffset>
                </wp:positionH>
                <wp:positionV relativeFrom="paragraph">
                  <wp:posOffset>1861185</wp:posOffset>
                </wp:positionV>
                <wp:extent cx="175895" cy="343535"/>
                <wp:effectExtent l="19050" t="19050" r="14605" b="1841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3435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509150" id="Oval 4" o:spid="_x0000_s1026" style="position:absolute;margin-left:280pt;margin-top:146.55pt;width:13.8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" filled="f" strokecolor="red" strokeweight="2.25pt"/>
            </w:pict>
          </mc:Fallback>
        </mc:AlternateContent>
      </w:r>
      <w:r w:rsidR="00956007" w:rsidRPr="00956007">
        <w:rPr>
          <w:rFonts w:ascii="Arial" w:eastAsia="Times New Roman" w:hAnsi="Arial" w:cs="Times New Roman"/>
          <w:noProof/>
          <w:color w:val="auto"/>
          <w:sz w:val="2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F769BA" wp14:editId="629FEDEB">
                <wp:simplePos x="0" y="0"/>
                <wp:positionH relativeFrom="column">
                  <wp:posOffset>4224020</wp:posOffset>
                </wp:positionH>
                <wp:positionV relativeFrom="paragraph">
                  <wp:posOffset>2660015</wp:posOffset>
                </wp:positionV>
                <wp:extent cx="1961515" cy="351155"/>
                <wp:effectExtent l="10160" t="10160" r="9525" b="1016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007" w:rsidRPr="003348A4" w:rsidRDefault="001345B0" w:rsidP="001345B0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umístění předmětu nájmu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69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2.6pt;margin-top:209.45pt;width:154.45pt;height:27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" strokecolor="red">
                <v:textbox>
                  <w:txbxContent>
                    <w:p w:rsidR="00956007" w:rsidRPr="003348A4" w:rsidRDefault="001345B0" w:rsidP="001345B0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umístění předmětu nájmu</w:t>
                      </w:r>
                    </w:p>
                  </w:txbxContent>
                </v:textbox>
              </v:shape>
            </w:pict>
          </mc:Fallback>
        </mc:AlternateContent>
      </w:r>
      <w:r w:rsidR="00956007" w:rsidRPr="00956007">
        <w:rPr>
          <w:rFonts w:ascii="Arial" w:eastAsia="Times New Roman" w:hAnsi="Arial" w:cs="Times New Roman"/>
          <w:noProof/>
          <w:color w:val="auto"/>
          <w:sz w:val="22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2A435376" wp14:editId="73E5B0FA">
            <wp:simplePos x="0" y="0"/>
            <wp:positionH relativeFrom="column">
              <wp:posOffset>217805</wp:posOffset>
            </wp:positionH>
            <wp:positionV relativeFrom="paragraph">
              <wp:posOffset>590550</wp:posOffset>
            </wp:positionV>
            <wp:extent cx="5354955" cy="30111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5" t="18919" r="29669" b="1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301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07"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br w:type="page"/>
      </w:r>
      <w:r w:rsidR="00956007"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>Příloha č. 2</w:t>
      </w:r>
      <w:r w:rsidR="00956007"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  <w:t>Předávací protokol</w:t>
      </w:r>
    </w:p>
    <w:p w:rsidR="00956007" w:rsidRPr="00956007" w:rsidRDefault="00956007" w:rsidP="00956007">
      <w:pPr>
        <w:spacing w:after="200" w:line="276" w:lineRule="auto"/>
        <w:ind w:left="0"/>
        <w:jc w:val="center"/>
        <w:rPr>
          <w:rFonts w:ascii="Calibri" w:eastAsia="Calibri" w:hAnsi="Calibri" w:cs="Times New Roman"/>
          <w:b/>
          <w:color w:val="auto"/>
          <w:sz w:val="32"/>
          <w:szCs w:val="22"/>
        </w:rPr>
      </w:pPr>
      <w:r w:rsidRPr="00956007">
        <w:rPr>
          <w:rFonts w:ascii="Calibri" w:eastAsia="Calibri" w:hAnsi="Calibri" w:cs="Times New Roman"/>
          <w:b/>
          <w:color w:val="auto"/>
          <w:sz w:val="32"/>
          <w:szCs w:val="22"/>
        </w:rPr>
        <w:t>Předávací protokol</w:t>
      </w:r>
    </w:p>
    <w:p w:rsidR="00956007" w:rsidRPr="00956007" w:rsidRDefault="00956007" w:rsidP="00956007">
      <w:pPr>
        <w:spacing w:after="200" w:line="276" w:lineRule="auto"/>
        <w:ind w:left="0"/>
        <w:jc w:val="center"/>
        <w:rPr>
          <w:rFonts w:ascii="Calibri" w:eastAsia="Calibri" w:hAnsi="Calibri" w:cs="Times New Roman"/>
          <w:color w:val="auto"/>
          <w:sz w:val="24"/>
          <w:szCs w:val="22"/>
        </w:rPr>
      </w:pPr>
      <w:r w:rsidRPr="00956007">
        <w:rPr>
          <w:rFonts w:ascii="Calibri" w:eastAsia="Calibri" w:hAnsi="Calibri" w:cs="Times New Roman"/>
          <w:color w:val="auto"/>
          <w:sz w:val="24"/>
          <w:szCs w:val="22"/>
        </w:rPr>
        <w:t>dle smlouvy o nájmu nemovité věci – odpočinková místnost řidičů</w:t>
      </w:r>
    </w:p>
    <w:p w:rsidR="00956007" w:rsidRPr="00956007" w:rsidRDefault="00956007" w:rsidP="00956007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32"/>
          <w:szCs w:val="22"/>
        </w:rPr>
      </w:pPr>
    </w:p>
    <w:p w:rsidR="00956007" w:rsidRPr="00956007" w:rsidRDefault="00956007" w:rsidP="00956007">
      <w:pPr>
        <w:spacing w:after="200" w:line="276" w:lineRule="auto"/>
        <w:ind w:left="0"/>
        <w:rPr>
          <w:rFonts w:ascii="Calibri" w:eastAsia="Calibri" w:hAnsi="Calibri" w:cs="Times New Roman"/>
          <w:b/>
          <w:color w:val="auto"/>
          <w:sz w:val="24"/>
          <w:szCs w:val="22"/>
        </w:rPr>
      </w:pPr>
      <w:r w:rsidRPr="00956007">
        <w:rPr>
          <w:rFonts w:ascii="Calibri" w:eastAsia="Calibri" w:hAnsi="Calibri" w:cs="Times New Roman"/>
          <w:b/>
          <w:color w:val="auto"/>
          <w:sz w:val="24"/>
          <w:szCs w:val="22"/>
        </w:rPr>
        <w:t>Pronajímatel: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  <w:r w:rsidRPr="00956007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Národní památkový ústav,</w:t>
      </w:r>
      <w:r w:rsidRPr="00956007">
        <w:rPr>
          <w:rFonts w:ascii="Calibri" w:eastAsia="Calibri" w:hAnsi="Calibri" w:cs="Times New Roman"/>
          <w:color w:val="auto"/>
          <w:sz w:val="22"/>
          <w:szCs w:val="22"/>
        </w:rPr>
        <w:t xml:space="preserve"> státní příspěvková organizace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  <w:r w:rsidRPr="00956007">
        <w:rPr>
          <w:rFonts w:ascii="Calibri" w:eastAsia="Calibri" w:hAnsi="Calibri" w:cs="Times New Roman"/>
          <w:color w:val="auto"/>
          <w:sz w:val="22"/>
          <w:szCs w:val="22"/>
        </w:rPr>
        <w:t>IČO: 75032333, DIČ: CZ75032333,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  <w:r w:rsidRPr="00956007">
        <w:rPr>
          <w:rFonts w:ascii="Calibri" w:eastAsia="Calibri" w:hAnsi="Calibri" w:cs="Times New Roman"/>
          <w:color w:val="auto"/>
          <w:sz w:val="22"/>
          <w:szCs w:val="22"/>
        </w:rPr>
        <w:t>se sídlem: Valdštejnské nám. 162/3, PSČ 118 01 Praha 1 – Malá Strana,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  <w:r w:rsidRPr="00956007">
        <w:rPr>
          <w:rFonts w:ascii="Calibri" w:eastAsia="Calibri" w:hAnsi="Calibri" w:cs="Times New Roman"/>
          <w:color w:val="auto"/>
          <w:sz w:val="22"/>
          <w:szCs w:val="22"/>
        </w:rPr>
        <w:t>zastoupen: Bc. Michaelou Prokopovou, vedoucí správy zámku Libochovice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b/>
          <w:color w:val="auto"/>
          <w:sz w:val="24"/>
          <w:szCs w:val="22"/>
        </w:rPr>
      </w:pPr>
      <w:r w:rsidRPr="00956007">
        <w:rPr>
          <w:rFonts w:ascii="Calibri" w:eastAsia="Calibri" w:hAnsi="Calibri" w:cs="Times New Roman"/>
          <w:b/>
          <w:color w:val="auto"/>
          <w:sz w:val="24"/>
          <w:szCs w:val="22"/>
        </w:rPr>
        <w:t>Nájemce: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České dráhy, a.s.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IČ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70994226</w:t>
      </w: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, DIČ: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CZ70994226</w:t>
      </w:r>
    </w:p>
    <w:p w:rsidR="006B1E50" w:rsidRPr="00956007" w:rsidRDefault="006B1E50" w:rsidP="006B1E50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se sídlem: </w:t>
      </w: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Nábřeží Ludvíka Svobody 1222, 110 15 Praha 1</w:t>
      </w:r>
    </w:p>
    <w:p w:rsidR="006B1E50" w:rsidRDefault="006B1E50" w:rsidP="006B1E50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Zastoupená: Tomášem Petříčkem, ředitelem Oblastního ředitelství osobní dopravy západ</w:t>
      </w:r>
    </w:p>
    <w:p w:rsidR="006B1E50" w:rsidRPr="00956007" w:rsidRDefault="006B1E50" w:rsidP="006B1E50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Purkyňova 1017/22, 301 00 Plzeň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4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4"/>
          <w:szCs w:val="22"/>
        </w:rPr>
      </w:pPr>
      <w:r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Podpisem této listiny </w:t>
      </w:r>
      <w:r w:rsidRPr="00956007">
        <w:rPr>
          <w:rFonts w:ascii="Calibri" w:eastAsia="Calibri" w:hAnsi="Calibri" w:cs="Times New Roman"/>
          <w:b/>
          <w:color w:val="auto"/>
          <w:sz w:val="24"/>
          <w:szCs w:val="22"/>
        </w:rPr>
        <w:t xml:space="preserve">nájemce </w:t>
      </w:r>
      <w:r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potvrzuje, že mu byl v pořádku předán: </w:t>
      </w:r>
    </w:p>
    <w:p w:rsidR="00956007" w:rsidRPr="001345B0" w:rsidRDefault="001345B0" w:rsidP="00956007">
      <w:pPr>
        <w:numPr>
          <w:ilvl w:val="3"/>
          <w:numId w:val="9"/>
        </w:numPr>
        <w:spacing w:after="0" w:line="240" w:lineRule="auto"/>
        <w:ind w:left="0" w:hanging="425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1345B0">
        <w:rPr>
          <w:rFonts w:ascii="Calibri" w:eastAsia="Calibri" w:hAnsi="Calibri" w:cs="Times New Roman"/>
          <w:color w:val="auto"/>
          <w:sz w:val="24"/>
          <w:szCs w:val="22"/>
        </w:rPr>
        <w:t>dva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 pokoj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>e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 s 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>vybavením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, </w:t>
      </w:r>
      <w:r w:rsidR="000561B3">
        <w:rPr>
          <w:rFonts w:ascii="Calibri" w:eastAsia="Calibri" w:hAnsi="Calibri" w:cs="Times New Roman"/>
          <w:color w:val="auto"/>
          <w:sz w:val="24"/>
          <w:szCs w:val="22"/>
        </w:rPr>
        <w:t>společné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 xml:space="preserve"> sociální zařízení, 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o celkové výměře </w:t>
      </w:r>
      <w:r w:rsidR="000561B3">
        <w:rPr>
          <w:rFonts w:ascii="Calibri" w:eastAsia="Calibri" w:hAnsi="Calibri" w:cs="Times New Roman"/>
          <w:color w:val="auto"/>
          <w:sz w:val="24"/>
          <w:szCs w:val="22"/>
        </w:rPr>
        <w:t>20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 m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  <w:vertAlign w:val="superscript"/>
        </w:rPr>
        <w:t>2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>, nacházející se v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 xml:space="preserve"> 1. NP budovy č. p. 89, vchod ze zámecké zahrady, </w:t>
      </w:r>
      <w:r w:rsidR="00956007" w:rsidRPr="00956007">
        <w:rPr>
          <w:rFonts w:ascii="Calibri" w:eastAsia="Calibri" w:hAnsi="Calibri" w:cs="Times New Roman"/>
          <w:color w:val="auto"/>
          <w:sz w:val="24"/>
          <w:szCs w:val="22"/>
        </w:rPr>
        <w:t xml:space="preserve">a to včetně mobiliáře: </w:t>
      </w:r>
      <w:r w:rsidR="00140134">
        <w:rPr>
          <w:rFonts w:ascii="Calibri" w:eastAsia="Calibri" w:hAnsi="Calibri" w:cs="Times New Roman"/>
          <w:color w:val="auto"/>
          <w:sz w:val="24"/>
          <w:szCs w:val="22"/>
        </w:rPr>
        <w:t>2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 xml:space="preserve">x skříň, </w:t>
      </w:r>
      <w:r w:rsidR="000561B3">
        <w:rPr>
          <w:rFonts w:ascii="Calibri" w:eastAsia="Calibri" w:hAnsi="Calibri" w:cs="Times New Roman"/>
          <w:color w:val="auto"/>
          <w:sz w:val="24"/>
          <w:szCs w:val="22"/>
        </w:rPr>
        <w:t>1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 xml:space="preserve">x postel, </w:t>
      </w:r>
      <w:r w:rsidR="00140134">
        <w:rPr>
          <w:rFonts w:ascii="Calibri" w:eastAsia="Calibri" w:hAnsi="Calibri" w:cs="Times New Roman"/>
          <w:color w:val="auto"/>
          <w:sz w:val="24"/>
          <w:szCs w:val="22"/>
        </w:rPr>
        <w:t>2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 xml:space="preserve">x stolek, </w:t>
      </w:r>
      <w:r w:rsidR="00140134">
        <w:rPr>
          <w:rFonts w:ascii="Calibri" w:eastAsia="Calibri" w:hAnsi="Calibri" w:cs="Times New Roman"/>
          <w:color w:val="auto"/>
          <w:sz w:val="24"/>
          <w:szCs w:val="22"/>
        </w:rPr>
        <w:t>2</w:t>
      </w:r>
      <w:r w:rsidRPr="001345B0">
        <w:rPr>
          <w:rFonts w:ascii="Calibri" w:eastAsia="Calibri" w:hAnsi="Calibri" w:cs="Times New Roman"/>
          <w:color w:val="auto"/>
          <w:sz w:val="24"/>
          <w:szCs w:val="22"/>
        </w:rPr>
        <w:t>x křeslo</w:t>
      </w:r>
    </w:p>
    <w:p w:rsidR="001345B0" w:rsidRPr="00956007" w:rsidRDefault="00140134" w:rsidP="00956007">
      <w:pPr>
        <w:numPr>
          <w:ilvl w:val="3"/>
          <w:numId w:val="9"/>
        </w:numPr>
        <w:spacing w:after="0" w:line="240" w:lineRule="auto"/>
        <w:ind w:left="0" w:hanging="425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4"/>
          <w:szCs w:val="22"/>
        </w:rPr>
        <w:t>2</w:t>
      </w:r>
      <w:r w:rsidR="001345B0">
        <w:rPr>
          <w:rFonts w:ascii="Calibri" w:eastAsia="Calibri" w:hAnsi="Calibri" w:cs="Times New Roman"/>
          <w:color w:val="auto"/>
          <w:sz w:val="24"/>
          <w:szCs w:val="22"/>
        </w:rPr>
        <w:t xml:space="preserve">x klíč od vstupu do budovy, </w:t>
      </w:r>
      <w:r>
        <w:rPr>
          <w:rFonts w:ascii="Calibri" w:eastAsia="Calibri" w:hAnsi="Calibri" w:cs="Times New Roman"/>
          <w:color w:val="auto"/>
          <w:sz w:val="24"/>
          <w:szCs w:val="22"/>
        </w:rPr>
        <w:t>2</w:t>
      </w:r>
      <w:r w:rsidR="001345B0">
        <w:rPr>
          <w:rFonts w:ascii="Calibri" w:eastAsia="Calibri" w:hAnsi="Calibri" w:cs="Times New Roman"/>
          <w:color w:val="auto"/>
          <w:sz w:val="24"/>
          <w:szCs w:val="22"/>
        </w:rPr>
        <w:t>x klíč vstup do zámecké zahrady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6B1E50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  <w:proofErr w:type="gramStart"/>
      <w:r>
        <w:rPr>
          <w:rFonts w:ascii="Calibri" w:eastAsia="Calibri" w:hAnsi="Calibri" w:cs="Times New Roman"/>
          <w:color w:val="auto"/>
          <w:sz w:val="22"/>
          <w:szCs w:val="22"/>
        </w:rPr>
        <w:t>V </w:t>
      </w:r>
      <w:r w:rsidR="002A5C0C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Times New Roman"/>
          <w:color w:val="auto"/>
          <w:sz w:val="22"/>
          <w:szCs w:val="22"/>
        </w:rPr>
        <w:t>Libochovicích</w:t>
      </w:r>
      <w:proofErr w:type="gramEnd"/>
      <w:r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="00956007" w:rsidRPr="00956007">
        <w:rPr>
          <w:rFonts w:ascii="Calibri" w:eastAsia="Calibri" w:hAnsi="Calibri" w:cs="Times New Roman"/>
          <w:color w:val="auto"/>
          <w:sz w:val="22"/>
          <w:szCs w:val="22"/>
        </w:rPr>
        <w:t xml:space="preserve"> dne</w:t>
      </w:r>
      <w:r w:rsidR="000561B3">
        <w:rPr>
          <w:rFonts w:ascii="Calibri" w:eastAsia="Calibri" w:hAnsi="Calibri" w:cs="Times New Roman"/>
          <w:color w:val="auto"/>
          <w:sz w:val="22"/>
          <w:szCs w:val="22"/>
        </w:rPr>
        <w:t xml:space="preserve"> 15. 11. 2023</w:t>
      </w: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color w:val="auto"/>
          <w:sz w:val="22"/>
          <w:szCs w:val="22"/>
        </w:rPr>
      </w:pPr>
    </w:p>
    <w:p w:rsidR="00956007" w:rsidRPr="00956007" w:rsidRDefault="00956007" w:rsidP="00956007">
      <w:pPr>
        <w:spacing w:after="0" w:line="240" w:lineRule="auto"/>
        <w:ind w:left="0"/>
        <w:rPr>
          <w:rFonts w:ascii="Calibri" w:eastAsia="Calibri" w:hAnsi="Calibri" w:cs="Times New Roman"/>
          <w:b/>
          <w:color w:val="auto"/>
          <w:sz w:val="24"/>
          <w:szCs w:val="22"/>
        </w:rPr>
      </w:pPr>
      <w:r w:rsidRPr="00956007">
        <w:rPr>
          <w:rFonts w:ascii="Calibri" w:eastAsia="Calibri" w:hAnsi="Calibri" w:cs="Times New Roman"/>
          <w:color w:val="auto"/>
          <w:sz w:val="22"/>
          <w:szCs w:val="22"/>
        </w:rPr>
        <w:t xml:space="preserve">       Pronajímatel                                                                                                           Nájemce</w:t>
      </w:r>
    </w:p>
    <w:p w:rsidR="00956007" w:rsidRDefault="00956007" w:rsidP="00956007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24"/>
          <w:szCs w:val="24"/>
        </w:rPr>
      </w:pPr>
    </w:p>
    <w:p w:rsidR="002A5C0C" w:rsidRPr="002A5C0C" w:rsidRDefault="002A5C0C" w:rsidP="00956007">
      <w:pPr>
        <w:spacing w:after="200" w:line="276" w:lineRule="auto"/>
        <w:ind w:left="0"/>
        <w:rPr>
          <w:rFonts w:ascii="Calibri" w:eastAsia="Calibri" w:hAnsi="Calibri" w:cs="Times New Roman"/>
          <w:b/>
          <w:color w:val="auto"/>
          <w:sz w:val="24"/>
          <w:szCs w:val="24"/>
        </w:rPr>
      </w:pPr>
      <w:r>
        <w:rPr>
          <w:rFonts w:ascii="Calibri" w:eastAsia="Calibri" w:hAnsi="Calibri" w:cs="Times New Roman"/>
          <w:color w:val="auto"/>
          <w:sz w:val="24"/>
          <w:szCs w:val="24"/>
        </w:rPr>
        <w:t>Ing. Michaela Prokopová</w:t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  <w:proofErr w:type="gramStart"/>
      <w:r>
        <w:rPr>
          <w:rFonts w:ascii="Calibri" w:eastAsia="Calibri" w:hAnsi="Calibri" w:cs="Times New Roman"/>
          <w:color w:val="auto"/>
          <w:sz w:val="24"/>
          <w:szCs w:val="24"/>
        </w:rPr>
        <w:tab/>
        <w:t xml:space="preserve">  Tomáš</w:t>
      </w:r>
      <w:proofErr w:type="gramEnd"/>
      <w:r>
        <w:rPr>
          <w:rFonts w:ascii="Calibri" w:eastAsia="Calibri" w:hAnsi="Calibri" w:cs="Times New Roman"/>
          <w:color w:val="auto"/>
          <w:sz w:val="24"/>
          <w:szCs w:val="24"/>
        </w:rPr>
        <w:t xml:space="preserve"> Petříček</w:t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  <w:r>
        <w:rPr>
          <w:rFonts w:ascii="Calibri" w:eastAsia="Calibri" w:hAnsi="Calibri" w:cs="Times New Roman"/>
          <w:color w:val="auto"/>
          <w:sz w:val="24"/>
          <w:szCs w:val="24"/>
        </w:rPr>
        <w:tab/>
      </w:r>
    </w:p>
    <w:p w:rsidR="00956007" w:rsidRPr="00956007" w:rsidRDefault="00956007" w:rsidP="00956007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32"/>
          <w:szCs w:val="22"/>
        </w:rPr>
      </w:pPr>
    </w:p>
    <w:p w:rsidR="00956007" w:rsidRPr="00956007" w:rsidRDefault="002A5C0C" w:rsidP="00956007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32"/>
          <w:szCs w:val="22"/>
        </w:rPr>
      </w:pPr>
      <w:r>
        <w:rPr>
          <w:rFonts w:ascii="Calibri" w:eastAsia="Calibri" w:hAnsi="Calibri" w:cs="Times New Roman"/>
          <w:color w:val="auto"/>
          <w:sz w:val="32"/>
          <w:szCs w:val="22"/>
        </w:rPr>
        <w:t>………………………….                                       ----------------------------</w:t>
      </w:r>
    </w:p>
    <w:p w:rsidR="00956007" w:rsidRPr="00956007" w:rsidRDefault="00956007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br w:type="page"/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lastRenderedPageBreak/>
        <w:t>Příloha č. 3</w:t>
      </w:r>
      <w:r w:rsidRPr="00956007">
        <w:rPr>
          <w:rFonts w:ascii="Calibri" w:eastAsia="Times New Roman" w:hAnsi="Calibri" w:cs="Arial"/>
          <w:color w:val="auto"/>
          <w:sz w:val="22"/>
          <w:szCs w:val="22"/>
          <w:lang w:eastAsia="cs-CZ"/>
        </w:rPr>
        <w:tab/>
        <w:t>Fotodokumentace předmětu nájmu při převzetí nájemcem – elektrospotřebiče nejsou součástí předmětu nájmu</w:t>
      </w:r>
    </w:p>
    <w:p w:rsidR="00520548" w:rsidRDefault="00520548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D2394D" w:rsidRDefault="00D2394D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D2394D" w:rsidRDefault="00D2394D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Arial"/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3793329" cy="2133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TPP63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787" cy="2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4D" w:rsidRDefault="00D2394D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D2394D" w:rsidRDefault="00D2394D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>
        <w:rPr>
          <w:rFonts w:ascii="Calibri" w:eastAsia="Times New Roman" w:hAnsi="Calibri" w:cs="Arial"/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3793329" cy="2133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HW60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891" cy="213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4D" w:rsidRDefault="00D2394D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</w:p>
    <w:p w:rsidR="00D2394D" w:rsidRDefault="00D2394D" w:rsidP="00956007">
      <w:pPr>
        <w:spacing w:after="0" w:line="240" w:lineRule="auto"/>
        <w:ind w:left="0"/>
        <w:jc w:val="both"/>
        <w:rPr>
          <w:rFonts w:ascii="Calibri" w:eastAsia="Times New Roman" w:hAnsi="Calibri" w:cs="Arial"/>
          <w:color w:val="auto"/>
          <w:sz w:val="22"/>
          <w:szCs w:val="22"/>
          <w:lang w:eastAsia="cs-CZ"/>
        </w:rPr>
      </w:pPr>
      <w:r>
        <w:rPr>
          <w:rFonts w:ascii="Calibri" w:hAnsi="Calibri" w:cs="Arial"/>
          <w:noProof/>
          <w:szCs w:val="22"/>
        </w:rPr>
        <w:drawing>
          <wp:inline distT="0" distB="0" distL="0" distR="0" wp14:anchorId="5F3739E4" wp14:editId="64B4D816">
            <wp:extent cx="2434167" cy="3286125"/>
            <wp:effectExtent l="0" t="0" r="4445" b="0"/>
            <wp:docPr id="4" name="obrázek 2" descr="78990282_471683750154868_148642348605322035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990282_471683750154868_1486423486053220352_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38" cy="32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94D" w:rsidSect="00FF7183">
      <w:headerReference w:type="default" r:id="rId13"/>
      <w:footerReference w:type="default" r:id="rId14"/>
      <w:pgSz w:w="11906" w:h="16838"/>
      <w:pgMar w:top="1843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02" w:rsidRDefault="00895102">
      <w:pPr>
        <w:spacing w:after="0" w:line="240" w:lineRule="auto"/>
      </w:pPr>
      <w:r>
        <w:separator/>
      </w:r>
    </w:p>
  </w:endnote>
  <w:endnote w:type="continuationSeparator" w:id="0">
    <w:p w:rsidR="00895102" w:rsidRDefault="0089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640" w:rsidRPr="00627640" w:rsidRDefault="00520548">
    <w:pPr>
      <w:pStyle w:val="Zpat"/>
      <w:jc w:val="center"/>
      <w:rPr>
        <w:sz w:val="16"/>
      </w:rPr>
    </w:pPr>
    <w:r w:rsidRPr="00627640">
      <w:rPr>
        <w:sz w:val="16"/>
      </w:rPr>
      <w:fldChar w:fldCharType="begin"/>
    </w:r>
    <w:r w:rsidRPr="00627640">
      <w:rPr>
        <w:sz w:val="16"/>
      </w:rPr>
      <w:instrText>PAGE   \* MERGEFORMAT</w:instrText>
    </w:r>
    <w:r w:rsidRPr="00627640">
      <w:rPr>
        <w:sz w:val="16"/>
      </w:rPr>
      <w:fldChar w:fldCharType="separate"/>
    </w:r>
    <w:r w:rsidR="009E7207">
      <w:rPr>
        <w:noProof/>
        <w:sz w:val="16"/>
      </w:rPr>
      <w:t>3</w:t>
    </w:r>
    <w:r w:rsidRPr="00627640">
      <w:rPr>
        <w:sz w:val="16"/>
      </w:rPr>
      <w:fldChar w:fldCharType="end"/>
    </w:r>
  </w:p>
  <w:p w:rsidR="004C263B" w:rsidRDefault="008A3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02" w:rsidRDefault="00895102">
      <w:pPr>
        <w:spacing w:after="0" w:line="240" w:lineRule="auto"/>
      </w:pPr>
      <w:r>
        <w:separator/>
      </w:r>
    </w:p>
  </w:footnote>
  <w:footnote w:type="continuationSeparator" w:id="0">
    <w:p w:rsidR="00895102" w:rsidRDefault="0089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90" w:rsidRPr="00670E5F" w:rsidRDefault="00520548" w:rsidP="009D35A7">
    <w:pPr>
      <w:rPr>
        <w:rFonts w:ascii="Calibri" w:hAnsi="Calibri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D885CF" wp14:editId="0F923C41">
          <wp:simplePos x="0" y="0"/>
          <wp:positionH relativeFrom="column">
            <wp:posOffset>-584835</wp:posOffset>
          </wp:positionH>
          <wp:positionV relativeFrom="paragraph">
            <wp:posOffset>-325120</wp:posOffset>
          </wp:positionV>
          <wp:extent cx="1375410" cy="373380"/>
          <wp:effectExtent l="0" t="0" r="0" b="0"/>
          <wp:wrapNone/>
          <wp:docPr id="6" name="obrázek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6AF0"/>
    <w:multiLevelType w:val="hybridMultilevel"/>
    <w:tmpl w:val="BD9ED576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CA0EF39E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09193F"/>
    <w:multiLevelType w:val="hybridMultilevel"/>
    <w:tmpl w:val="2FAEAA52"/>
    <w:lvl w:ilvl="0" w:tplc="053E6A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73168B84" w:tentative="1">
      <w:start w:val="1"/>
      <w:numFmt w:val="lowerLetter"/>
      <w:lvlText w:val="%2."/>
      <w:lvlJc w:val="left"/>
      <w:pPr>
        <w:ind w:left="1080" w:hanging="360"/>
      </w:pPr>
    </w:lvl>
    <w:lvl w:ilvl="2" w:tplc="AF6E8D5C" w:tentative="1">
      <w:start w:val="1"/>
      <w:numFmt w:val="lowerRoman"/>
      <w:lvlText w:val="%3."/>
      <w:lvlJc w:val="right"/>
      <w:pPr>
        <w:ind w:left="1800" w:hanging="180"/>
      </w:pPr>
    </w:lvl>
    <w:lvl w:ilvl="3" w:tplc="737E091E" w:tentative="1">
      <w:start w:val="1"/>
      <w:numFmt w:val="decimal"/>
      <w:lvlText w:val="%4."/>
      <w:lvlJc w:val="left"/>
      <w:pPr>
        <w:ind w:left="2520" w:hanging="360"/>
      </w:pPr>
    </w:lvl>
    <w:lvl w:ilvl="4" w:tplc="2806CA50" w:tentative="1">
      <w:start w:val="1"/>
      <w:numFmt w:val="lowerLetter"/>
      <w:lvlText w:val="%5."/>
      <w:lvlJc w:val="left"/>
      <w:pPr>
        <w:ind w:left="3240" w:hanging="360"/>
      </w:pPr>
    </w:lvl>
    <w:lvl w:ilvl="5" w:tplc="02049498" w:tentative="1">
      <w:start w:val="1"/>
      <w:numFmt w:val="lowerRoman"/>
      <w:lvlText w:val="%6."/>
      <w:lvlJc w:val="right"/>
      <w:pPr>
        <w:ind w:left="3960" w:hanging="180"/>
      </w:pPr>
    </w:lvl>
    <w:lvl w:ilvl="6" w:tplc="26B8B3BE" w:tentative="1">
      <w:start w:val="1"/>
      <w:numFmt w:val="decimal"/>
      <w:lvlText w:val="%7."/>
      <w:lvlJc w:val="left"/>
      <w:pPr>
        <w:ind w:left="4680" w:hanging="360"/>
      </w:pPr>
    </w:lvl>
    <w:lvl w:ilvl="7" w:tplc="1B200FCA" w:tentative="1">
      <w:start w:val="1"/>
      <w:numFmt w:val="lowerLetter"/>
      <w:lvlText w:val="%8."/>
      <w:lvlJc w:val="left"/>
      <w:pPr>
        <w:ind w:left="5400" w:hanging="360"/>
      </w:pPr>
    </w:lvl>
    <w:lvl w:ilvl="8" w:tplc="207C9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F1E17"/>
    <w:multiLevelType w:val="hybridMultilevel"/>
    <w:tmpl w:val="838298EC"/>
    <w:lvl w:ilvl="0" w:tplc="1EDE8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4EAEEF52">
      <w:start w:val="1"/>
      <w:numFmt w:val="lowerLetter"/>
      <w:lvlText w:val="%2."/>
      <w:lvlJc w:val="left"/>
      <w:pPr>
        <w:ind w:left="1440" w:hanging="360"/>
      </w:pPr>
    </w:lvl>
    <w:lvl w:ilvl="2" w:tplc="CEC4C426" w:tentative="1">
      <w:start w:val="1"/>
      <w:numFmt w:val="lowerRoman"/>
      <w:lvlText w:val="%3."/>
      <w:lvlJc w:val="right"/>
      <w:pPr>
        <w:ind w:left="2160" w:hanging="180"/>
      </w:pPr>
    </w:lvl>
    <w:lvl w:ilvl="3" w:tplc="70DE5F22" w:tentative="1">
      <w:start w:val="1"/>
      <w:numFmt w:val="decimal"/>
      <w:lvlText w:val="%4."/>
      <w:lvlJc w:val="left"/>
      <w:pPr>
        <w:ind w:left="2880" w:hanging="360"/>
      </w:pPr>
    </w:lvl>
    <w:lvl w:ilvl="4" w:tplc="1376D20E" w:tentative="1">
      <w:start w:val="1"/>
      <w:numFmt w:val="lowerLetter"/>
      <w:lvlText w:val="%5."/>
      <w:lvlJc w:val="left"/>
      <w:pPr>
        <w:ind w:left="3600" w:hanging="360"/>
      </w:pPr>
    </w:lvl>
    <w:lvl w:ilvl="5" w:tplc="DF7E6620" w:tentative="1">
      <w:start w:val="1"/>
      <w:numFmt w:val="lowerRoman"/>
      <w:lvlText w:val="%6."/>
      <w:lvlJc w:val="right"/>
      <w:pPr>
        <w:ind w:left="4320" w:hanging="180"/>
      </w:pPr>
    </w:lvl>
    <w:lvl w:ilvl="6" w:tplc="4E1CF1E4" w:tentative="1">
      <w:start w:val="1"/>
      <w:numFmt w:val="decimal"/>
      <w:lvlText w:val="%7."/>
      <w:lvlJc w:val="left"/>
      <w:pPr>
        <w:ind w:left="5040" w:hanging="360"/>
      </w:pPr>
    </w:lvl>
    <w:lvl w:ilvl="7" w:tplc="448C02C0" w:tentative="1">
      <w:start w:val="1"/>
      <w:numFmt w:val="lowerLetter"/>
      <w:lvlText w:val="%8."/>
      <w:lvlJc w:val="left"/>
      <w:pPr>
        <w:ind w:left="5760" w:hanging="360"/>
      </w:pPr>
    </w:lvl>
    <w:lvl w:ilvl="8" w:tplc="CF64A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A7DF5"/>
    <w:multiLevelType w:val="hybridMultilevel"/>
    <w:tmpl w:val="1938D06A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41ED"/>
    <w:multiLevelType w:val="hybridMultilevel"/>
    <w:tmpl w:val="CAF82350"/>
    <w:lvl w:ilvl="0" w:tplc="05C0FC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DF6FE0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EC063F1A" w:tentative="1">
      <w:start w:val="1"/>
      <w:numFmt w:val="lowerRoman"/>
      <w:lvlText w:val="%3."/>
      <w:lvlJc w:val="right"/>
      <w:pPr>
        <w:ind w:left="1800" w:hanging="180"/>
      </w:pPr>
    </w:lvl>
    <w:lvl w:ilvl="3" w:tplc="37145808" w:tentative="1">
      <w:start w:val="1"/>
      <w:numFmt w:val="decimal"/>
      <w:lvlText w:val="%4."/>
      <w:lvlJc w:val="left"/>
      <w:pPr>
        <w:ind w:left="2520" w:hanging="360"/>
      </w:pPr>
    </w:lvl>
    <w:lvl w:ilvl="4" w:tplc="A776F1C0" w:tentative="1">
      <w:start w:val="1"/>
      <w:numFmt w:val="lowerLetter"/>
      <w:lvlText w:val="%5."/>
      <w:lvlJc w:val="left"/>
      <w:pPr>
        <w:ind w:left="3240" w:hanging="360"/>
      </w:pPr>
    </w:lvl>
    <w:lvl w:ilvl="5" w:tplc="067867B8" w:tentative="1">
      <w:start w:val="1"/>
      <w:numFmt w:val="lowerRoman"/>
      <w:lvlText w:val="%6."/>
      <w:lvlJc w:val="right"/>
      <w:pPr>
        <w:ind w:left="3960" w:hanging="180"/>
      </w:pPr>
    </w:lvl>
    <w:lvl w:ilvl="6" w:tplc="8C7635EA" w:tentative="1">
      <w:start w:val="1"/>
      <w:numFmt w:val="decimal"/>
      <w:lvlText w:val="%7."/>
      <w:lvlJc w:val="left"/>
      <w:pPr>
        <w:ind w:left="4680" w:hanging="360"/>
      </w:pPr>
    </w:lvl>
    <w:lvl w:ilvl="7" w:tplc="BB82E5F4" w:tentative="1">
      <w:start w:val="1"/>
      <w:numFmt w:val="lowerLetter"/>
      <w:lvlText w:val="%8."/>
      <w:lvlJc w:val="left"/>
      <w:pPr>
        <w:ind w:left="5400" w:hanging="360"/>
      </w:pPr>
    </w:lvl>
    <w:lvl w:ilvl="8" w:tplc="7BF284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802AF"/>
    <w:multiLevelType w:val="hybridMultilevel"/>
    <w:tmpl w:val="9258B31E"/>
    <w:lvl w:ilvl="0" w:tplc="0E4CF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4728321A">
      <w:start w:val="1"/>
      <w:numFmt w:val="lowerLetter"/>
      <w:lvlText w:val="%2."/>
      <w:lvlJc w:val="left"/>
      <w:pPr>
        <w:ind w:left="1440" w:hanging="360"/>
      </w:pPr>
    </w:lvl>
    <w:lvl w:ilvl="2" w:tplc="75CA2A5A" w:tentative="1">
      <w:start w:val="1"/>
      <w:numFmt w:val="lowerRoman"/>
      <w:lvlText w:val="%3."/>
      <w:lvlJc w:val="right"/>
      <w:pPr>
        <w:ind w:left="2160" w:hanging="180"/>
      </w:pPr>
    </w:lvl>
    <w:lvl w:ilvl="3" w:tplc="02FCEB46" w:tentative="1">
      <w:start w:val="1"/>
      <w:numFmt w:val="decimal"/>
      <w:lvlText w:val="%4."/>
      <w:lvlJc w:val="left"/>
      <w:pPr>
        <w:ind w:left="2880" w:hanging="360"/>
      </w:pPr>
    </w:lvl>
    <w:lvl w:ilvl="4" w:tplc="787C9B5A" w:tentative="1">
      <w:start w:val="1"/>
      <w:numFmt w:val="lowerLetter"/>
      <w:lvlText w:val="%5."/>
      <w:lvlJc w:val="left"/>
      <w:pPr>
        <w:ind w:left="3600" w:hanging="360"/>
      </w:pPr>
    </w:lvl>
    <w:lvl w:ilvl="5" w:tplc="63F884C4" w:tentative="1">
      <w:start w:val="1"/>
      <w:numFmt w:val="lowerRoman"/>
      <w:lvlText w:val="%6."/>
      <w:lvlJc w:val="right"/>
      <w:pPr>
        <w:ind w:left="4320" w:hanging="180"/>
      </w:pPr>
    </w:lvl>
    <w:lvl w:ilvl="6" w:tplc="F14A3D2C" w:tentative="1">
      <w:start w:val="1"/>
      <w:numFmt w:val="decimal"/>
      <w:lvlText w:val="%7."/>
      <w:lvlJc w:val="left"/>
      <w:pPr>
        <w:ind w:left="5040" w:hanging="360"/>
      </w:pPr>
    </w:lvl>
    <w:lvl w:ilvl="7" w:tplc="314EDEEC" w:tentative="1">
      <w:start w:val="1"/>
      <w:numFmt w:val="lowerLetter"/>
      <w:lvlText w:val="%8."/>
      <w:lvlJc w:val="left"/>
      <w:pPr>
        <w:ind w:left="5760" w:hanging="360"/>
      </w:pPr>
    </w:lvl>
    <w:lvl w:ilvl="8" w:tplc="AE40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912A7"/>
    <w:multiLevelType w:val="hybridMultilevel"/>
    <w:tmpl w:val="448AECD4"/>
    <w:lvl w:ilvl="0" w:tplc="37F4DCC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20E4355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93B4E0F8" w:tentative="1">
      <w:start w:val="1"/>
      <w:numFmt w:val="lowerRoman"/>
      <w:lvlText w:val="%3."/>
      <w:lvlJc w:val="right"/>
      <w:pPr>
        <w:ind w:left="1800" w:hanging="180"/>
      </w:pPr>
    </w:lvl>
    <w:lvl w:ilvl="3" w:tplc="2DE29BC4" w:tentative="1">
      <w:start w:val="1"/>
      <w:numFmt w:val="decimal"/>
      <w:lvlText w:val="%4."/>
      <w:lvlJc w:val="left"/>
      <w:pPr>
        <w:ind w:left="2520" w:hanging="360"/>
      </w:pPr>
    </w:lvl>
    <w:lvl w:ilvl="4" w:tplc="3808FE2A" w:tentative="1">
      <w:start w:val="1"/>
      <w:numFmt w:val="lowerLetter"/>
      <w:lvlText w:val="%5."/>
      <w:lvlJc w:val="left"/>
      <w:pPr>
        <w:ind w:left="3240" w:hanging="360"/>
      </w:pPr>
    </w:lvl>
    <w:lvl w:ilvl="5" w:tplc="307A33FC" w:tentative="1">
      <w:start w:val="1"/>
      <w:numFmt w:val="lowerRoman"/>
      <w:lvlText w:val="%6."/>
      <w:lvlJc w:val="right"/>
      <w:pPr>
        <w:ind w:left="3960" w:hanging="180"/>
      </w:pPr>
    </w:lvl>
    <w:lvl w:ilvl="6" w:tplc="D954E340" w:tentative="1">
      <w:start w:val="1"/>
      <w:numFmt w:val="decimal"/>
      <w:lvlText w:val="%7."/>
      <w:lvlJc w:val="left"/>
      <w:pPr>
        <w:ind w:left="4680" w:hanging="360"/>
      </w:pPr>
    </w:lvl>
    <w:lvl w:ilvl="7" w:tplc="B68A5EE2" w:tentative="1">
      <w:start w:val="1"/>
      <w:numFmt w:val="lowerLetter"/>
      <w:lvlText w:val="%8."/>
      <w:lvlJc w:val="left"/>
      <w:pPr>
        <w:ind w:left="5400" w:hanging="360"/>
      </w:pPr>
    </w:lvl>
    <w:lvl w:ilvl="8" w:tplc="90FEF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D6946"/>
    <w:multiLevelType w:val="hybridMultilevel"/>
    <w:tmpl w:val="FFE46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07"/>
    <w:rsid w:val="00013C05"/>
    <w:rsid w:val="00022669"/>
    <w:rsid w:val="0004760B"/>
    <w:rsid w:val="000561B3"/>
    <w:rsid w:val="000C53B7"/>
    <w:rsid w:val="000F1DD1"/>
    <w:rsid w:val="001345B0"/>
    <w:rsid w:val="00140134"/>
    <w:rsid w:val="00152587"/>
    <w:rsid w:val="001C50F7"/>
    <w:rsid w:val="001F7340"/>
    <w:rsid w:val="00227D3A"/>
    <w:rsid w:val="002641FF"/>
    <w:rsid w:val="002A5C0C"/>
    <w:rsid w:val="003421A9"/>
    <w:rsid w:val="00436D66"/>
    <w:rsid w:val="0046122A"/>
    <w:rsid w:val="00472FEF"/>
    <w:rsid w:val="004D52E5"/>
    <w:rsid w:val="00520548"/>
    <w:rsid w:val="006B1E50"/>
    <w:rsid w:val="00743AB4"/>
    <w:rsid w:val="00752D34"/>
    <w:rsid w:val="007B0012"/>
    <w:rsid w:val="0080129C"/>
    <w:rsid w:val="008702FC"/>
    <w:rsid w:val="00895102"/>
    <w:rsid w:val="008A3585"/>
    <w:rsid w:val="008D0EED"/>
    <w:rsid w:val="00956007"/>
    <w:rsid w:val="00963B75"/>
    <w:rsid w:val="00995A5C"/>
    <w:rsid w:val="009C26D5"/>
    <w:rsid w:val="009D6D1B"/>
    <w:rsid w:val="009E26BA"/>
    <w:rsid w:val="009E7207"/>
    <w:rsid w:val="00B51D2F"/>
    <w:rsid w:val="00B76E8A"/>
    <w:rsid w:val="00BF38FD"/>
    <w:rsid w:val="00C12A38"/>
    <w:rsid w:val="00C27B9A"/>
    <w:rsid w:val="00C753AE"/>
    <w:rsid w:val="00D2394D"/>
    <w:rsid w:val="00DC1386"/>
    <w:rsid w:val="00EF4AA9"/>
    <w:rsid w:val="00F05C01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A4AD"/>
  <w15:docId w15:val="{E3D76CE5-B186-4606-930C-09C09623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587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152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2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52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2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52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2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52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52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rsid w:val="00152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2587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52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52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152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2587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152587"/>
    <w:rPr>
      <w:b/>
      <w:bCs/>
      <w:spacing w:val="0"/>
    </w:rPr>
  </w:style>
  <w:style w:type="character" w:styleId="Zdraznn">
    <w:name w:val="Emphasis"/>
    <w:uiPriority w:val="20"/>
    <w:qFormat/>
    <w:rsid w:val="00152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15258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52587"/>
    <w:rPr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1525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258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2587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58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152587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152587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152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152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152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52587"/>
    <w:pPr>
      <w:outlineLvl w:val="9"/>
    </w:pPr>
    <w:rPr>
      <w:lang w:bidi="en-US"/>
    </w:rPr>
  </w:style>
  <w:style w:type="paragraph" w:styleId="Zpat">
    <w:name w:val="footer"/>
    <w:basedOn w:val="Normln"/>
    <w:link w:val="ZpatChar"/>
    <w:uiPriority w:val="99"/>
    <w:rsid w:val="00956007"/>
    <w:pPr>
      <w:tabs>
        <w:tab w:val="center" w:pos="4536"/>
        <w:tab w:val="right" w:pos="9072"/>
      </w:tabs>
      <w:spacing w:after="0" w:line="240" w:lineRule="auto"/>
      <w:ind w:left="0"/>
      <w:jc w:val="both"/>
    </w:pPr>
    <w:rPr>
      <w:rFonts w:ascii="Arial" w:eastAsia="Times New Roman" w:hAnsi="Arial" w:cs="Times New Roman"/>
      <w:color w:val="auto"/>
      <w:sz w:val="22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56007"/>
    <w:rPr>
      <w:rFonts w:ascii="Arial" w:eastAsia="Times New Roman" w:hAnsi="Arial" w:cs="Times New Roman"/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00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A8F3-6283-414C-91EF-1D3A4D8B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2672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Libochovice</dc:creator>
  <cp:lastModifiedBy>Šulcková Andrea</cp:lastModifiedBy>
  <cp:revision>3</cp:revision>
  <cp:lastPrinted>2023-11-23T07:39:00Z</cp:lastPrinted>
  <dcterms:created xsi:type="dcterms:W3CDTF">2023-12-15T09:42:00Z</dcterms:created>
  <dcterms:modified xsi:type="dcterms:W3CDTF">2023-12-15T10:37:00Z</dcterms:modified>
</cp:coreProperties>
</file>