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1191200018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Studnice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1002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Studnice,</w:t>
      </w:r>
      <w:r>
        <w:rPr>
          <w:spacing w:val="-5"/>
        </w:rPr>
        <w:t> </w:t>
      </w:r>
      <w:r>
        <w:rPr/>
        <w:t>Studnice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2,</w:t>
      </w:r>
      <w:r>
        <w:rPr>
          <w:spacing w:val="-5"/>
        </w:rPr>
        <w:t> </w:t>
      </w:r>
      <w:r>
        <w:rPr/>
        <w:t>675</w:t>
      </w:r>
      <w:r>
        <w:rPr>
          <w:spacing w:val="-3"/>
        </w:rPr>
        <w:t> </w:t>
      </w:r>
      <w:r>
        <w:rPr/>
        <w:t>03</w:t>
      </w:r>
      <w:r>
        <w:rPr>
          <w:spacing w:val="-3"/>
        </w:rPr>
        <w:t> </w:t>
      </w:r>
      <w:r>
        <w:rPr/>
        <w:t>Budišov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Třebíče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00378631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Liborem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ind w:left="242" w:right="5075"/>
        <w:jc w:val="left"/>
      </w:pPr>
      <w:r>
        <w:rPr/>
        <w:t>číslo účtu:</w:t>
        <w:tab/>
      </w:r>
      <w:r>
        <w:rPr>
          <w:spacing w:val="-2"/>
        </w:rPr>
        <w:t>94-7010711/0710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1191200018 o poskytnutí finančních</w:t>
      </w:r>
      <w:r>
        <w:rPr>
          <w:spacing w:val="-12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2021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12/2019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56"/>
        <w:jc w:val="left"/>
      </w:pPr>
      <w:r>
        <w:rPr/>
        <w:t>„Systém</w:t>
      </w:r>
      <w:r>
        <w:rPr>
          <w:spacing w:val="-7"/>
        </w:rPr>
        <w:t> </w:t>
      </w:r>
      <w:r>
        <w:rPr/>
        <w:t>DČOV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obci</w:t>
      </w:r>
      <w:r>
        <w:rPr>
          <w:spacing w:val="-5"/>
        </w:rPr>
        <w:t> </w:t>
      </w:r>
      <w:r>
        <w:rPr>
          <w:spacing w:val="-2"/>
        </w:rPr>
        <w:t>Studnice“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910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čtyři miliony devět set deset tisíc korun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8 448 985,84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58,11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4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866"/>
      </w:tblGrid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4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395" w:type="dxa"/>
          </w:tcPr>
          <w:p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Ing. Pavlem Jirákem (19/2022), podle dokumentace žádosti ze dne 15. 3. 2021, podle dokumentace výběrového řízení včetně smlouvy o dílo se společností TopolWater, s.r.o., IČO: 26212943 ze dne 3. 3. 2023,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4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prevenci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omezení</w:t>
      </w:r>
      <w:r>
        <w:rPr>
          <w:spacing w:val="-14"/>
          <w:sz w:val="20"/>
        </w:rPr>
        <w:t> </w:t>
      </w:r>
      <w:r>
        <w:rPr>
          <w:sz w:val="20"/>
        </w:rPr>
        <w:t>znečištění</w:t>
      </w:r>
      <w:r>
        <w:rPr>
          <w:spacing w:val="-14"/>
          <w:sz w:val="20"/>
        </w:rPr>
        <w:t> </w:t>
      </w:r>
      <w:r>
        <w:rPr>
          <w:sz w:val="20"/>
        </w:rPr>
        <w:t>povrchových a podzemních vod z komunálních zdrojů prostřednictvím realizace 40 ks domovní ČOV do kapacity 50 EO v obci Studnice, a to takto: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tabs>
          <w:tab w:pos="8980" w:val="left" w:leader="none"/>
          <w:tab w:pos="9042" w:val="left" w:leader="none"/>
          <w:tab w:pos="9248" w:val="left" w:leader="none"/>
        </w:tabs>
        <w:ind w:left="601" w:right="111"/>
      </w:pPr>
      <w:r>
        <w:rPr/>
        <w:t>Celková kapacita nově realizovaných DČOV:</w:t>
        <w:tab/>
        <w:t>270</w:t>
      </w:r>
      <w:r>
        <w:rPr>
          <w:spacing w:val="-2"/>
        </w:rPr>
        <w:t> </w:t>
      </w:r>
      <w:r>
        <w:rPr/>
        <w:t>EO Počet budov ve vlastnictví obce připojených k nově realizovaných DČOV:</w:t>
        <w:tab/>
        <w:tab/>
        <w:tab/>
        <w:t>1 </w:t>
      </w:r>
      <w:r>
        <w:rPr/>
        <w:t>ks Počet</w:t>
      </w:r>
      <w:r>
        <w:rPr>
          <w:spacing w:val="27"/>
        </w:rPr>
        <w:t> </w:t>
      </w:r>
      <w:r>
        <w:rPr/>
        <w:t>obyvatel</w:t>
      </w:r>
      <w:r>
        <w:rPr>
          <w:spacing w:val="28"/>
        </w:rPr>
        <w:t> </w:t>
      </w:r>
      <w:r>
        <w:rPr/>
        <w:t>budov</w:t>
      </w:r>
      <w:r>
        <w:rPr>
          <w:spacing w:val="28"/>
        </w:rPr>
        <w:t> </w:t>
      </w:r>
      <w:r>
        <w:rPr/>
        <w:t>připojených</w:t>
      </w:r>
      <w:r>
        <w:rPr>
          <w:spacing w:val="28"/>
        </w:rPr>
        <w:t> </w:t>
      </w:r>
      <w:r>
        <w:rPr/>
        <w:t>k</w:t>
      </w:r>
      <w:r>
        <w:rPr>
          <w:spacing w:val="27"/>
        </w:rPr>
        <w:t> </w:t>
      </w:r>
      <w:r>
        <w:rPr/>
        <w:t>nově</w:t>
      </w:r>
      <w:r>
        <w:rPr>
          <w:spacing w:val="27"/>
        </w:rPr>
        <w:t> </w:t>
      </w:r>
      <w:r>
        <w:rPr/>
        <w:t>realizovaným</w:t>
      </w:r>
      <w:r>
        <w:rPr>
          <w:spacing w:val="26"/>
        </w:rPr>
        <w:t> </w:t>
      </w:r>
      <w:r>
        <w:rPr>
          <w:spacing w:val="-2"/>
        </w:rPr>
        <w:t>DČOV:</w:t>
      </w:r>
      <w:r>
        <w:rPr/>
        <w:tab/>
        <w:tab/>
        <w:t>136</w:t>
      </w:r>
      <w:r>
        <w:rPr>
          <w:spacing w:val="29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176" w:val="left" w:leader="none"/>
        </w:tabs>
        <w:spacing w:line="265" w:lineRule="exact" w:before="2"/>
        <w:ind w:left="601"/>
      </w:pPr>
      <w:r>
        <w:rPr/>
        <w:t>Počet</w:t>
      </w:r>
      <w:r>
        <w:rPr>
          <w:spacing w:val="11"/>
        </w:rPr>
        <w:t> </w:t>
      </w:r>
      <w:r>
        <w:rPr/>
        <w:t>realizovaných</w:t>
      </w:r>
      <w:r>
        <w:rPr>
          <w:spacing w:val="13"/>
        </w:rPr>
        <w:t> </w:t>
      </w:r>
      <w:r>
        <w:rPr/>
        <w:t>DČOV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kapacitě</w:t>
      </w:r>
      <w:r>
        <w:rPr>
          <w:spacing w:val="10"/>
        </w:rPr>
        <w:t> </w:t>
      </w:r>
      <w:r>
        <w:rPr/>
        <w:t>1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/>
        <w:t>5</w:t>
      </w:r>
      <w:r>
        <w:rPr>
          <w:spacing w:val="12"/>
        </w:rPr>
        <w:t> </w:t>
      </w:r>
      <w:r>
        <w:rPr>
          <w:spacing w:val="-5"/>
        </w:rPr>
        <w:t>EO:</w:t>
      </w:r>
      <w:r>
        <w:rPr/>
        <w:tab/>
        <w:t>28</w:t>
      </w:r>
      <w:r>
        <w:rPr>
          <w:spacing w:val="14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155" w:val="left" w:leader="none"/>
        </w:tabs>
        <w:spacing w:line="265" w:lineRule="exact"/>
        <w:ind w:left="601"/>
      </w:pPr>
      <w:r>
        <w:rPr/>
        <w:t>Počet</w:t>
      </w:r>
      <w:r>
        <w:rPr>
          <w:spacing w:val="11"/>
        </w:rPr>
        <w:t> </w:t>
      </w:r>
      <w:r>
        <w:rPr/>
        <w:t>realizovaných</w:t>
      </w:r>
      <w:r>
        <w:rPr>
          <w:spacing w:val="14"/>
        </w:rPr>
        <w:t> </w:t>
      </w:r>
      <w:r>
        <w:rPr/>
        <w:t>DČOV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kapacitě</w:t>
      </w:r>
      <w:r>
        <w:rPr>
          <w:spacing w:val="10"/>
        </w:rPr>
        <w:t> </w:t>
      </w:r>
      <w:r>
        <w:rPr/>
        <w:t>6</w:t>
      </w:r>
      <w:r>
        <w:rPr>
          <w:spacing w:val="19"/>
        </w:rPr>
        <w:t> </w:t>
      </w:r>
      <w:r>
        <w:rPr/>
        <w:t>-</w:t>
      </w:r>
      <w:r>
        <w:rPr>
          <w:spacing w:val="12"/>
        </w:rPr>
        <w:t> </w:t>
      </w:r>
      <w:r>
        <w:rPr/>
        <w:t>15</w:t>
      </w:r>
      <w:r>
        <w:rPr>
          <w:spacing w:val="12"/>
        </w:rPr>
        <w:t> </w:t>
      </w:r>
      <w:r>
        <w:rPr>
          <w:spacing w:val="-5"/>
        </w:rPr>
        <w:t>EO:</w:t>
      </w:r>
      <w:r>
        <w:rPr/>
        <w:tab/>
        <w:t>11</w:t>
      </w:r>
      <w:r>
        <w:rPr>
          <w:spacing w:val="16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263" w:val="left" w:leader="none"/>
        </w:tabs>
        <w:ind w:left="601"/>
      </w:pPr>
      <w:r>
        <w:rPr/>
        <w:t>Počet</w:t>
      </w:r>
      <w:r>
        <w:rPr>
          <w:spacing w:val="11"/>
        </w:rPr>
        <w:t> </w:t>
      </w:r>
      <w:r>
        <w:rPr/>
        <w:t>realizovaných</w:t>
      </w:r>
      <w:r>
        <w:rPr>
          <w:spacing w:val="13"/>
        </w:rPr>
        <w:t> </w:t>
      </w:r>
      <w:r>
        <w:rPr/>
        <w:t>DČOV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kapacitě</w:t>
      </w:r>
      <w:r>
        <w:rPr>
          <w:spacing w:val="10"/>
        </w:rPr>
        <w:t> </w:t>
      </w:r>
      <w:r>
        <w:rPr/>
        <w:t>16</w:t>
      </w:r>
      <w:r>
        <w:rPr>
          <w:spacing w:val="20"/>
        </w:rPr>
        <w:t> </w:t>
      </w:r>
      <w:r>
        <w:rPr/>
        <w:t>-</w:t>
      </w:r>
      <w:r>
        <w:rPr>
          <w:spacing w:val="11"/>
        </w:rPr>
        <w:t> </w:t>
      </w:r>
      <w:r>
        <w:rPr/>
        <w:t>50</w:t>
      </w:r>
      <w:r>
        <w:rPr>
          <w:spacing w:val="12"/>
        </w:rPr>
        <w:t> </w:t>
      </w:r>
      <w:r>
        <w:rPr>
          <w:spacing w:val="-5"/>
        </w:rPr>
        <w:t>EO:</w:t>
      </w:r>
      <w:r>
        <w:rPr/>
        <w:tab/>
        <w:t>1</w:t>
      </w:r>
      <w:r>
        <w:rPr>
          <w:spacing w:val="15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102" w:val="left" w:leader="none"/>
        </w:tabs>
        <w:ind w:left="601"/>
      </w:pPr>
      <w:r>
        <w:rPr/>
        <w:t>Počet</w:t>
      </w:r>
      <w:r>
        <w:rPr>
          <w:spacing w:val="28"/>
        </w:rPr>
        <w:t> </w:t>
      </w:r>
      <w:r>
        <w:rPr/>
        <w:t>rodinných</w:t>
      </w:r>
      <w:r>
        <w:rPr>
          <w:spacing w:val="31"/>
        </w:rPr>
        <w:t> </w:t>
      </w:r>
      <w:r>
        <w:rPr/>
        <w:t>domů</w:t>
      </w:r>
      <w:r>
        <w:rPr>
          <w:spacing w:val="28"/>
        </w:rPr>
        <w:t> </w:t>
      </w:r>
      <w:r>
        <w:rPr/>
        <w:t>připojených</w:t>
      </w:r>
      <w:r>
        <w:rPr>
          <w:spacing w:val="29"/>
        </w:rPr>
        <w:t> </w:t>
      </w:r>
      <w:r>
        <w:rPr/>
        <w:t>k</w:t>
      </w:r>
      <w:r>
        <w:rPr>
          <w:spacing w:val="30"/>
        </w:rPr>
        <w:t> </w:t>
      </w:r>
      <w:r>
        <w:rPr/>
        <w:t>nově</w:t>
      </w:r>
      <w:r>
        <w:rPr>
          <w:spacing w:val="29"/>
        </w:rPr>
        <w:t> </w:t>
      </w:r>
      <w:r>
        <w:rPr/>
        <w:t>realizovaným</w:t>
      </w:r>
      <w:r>
        <w:rPr>
          <w:spacing w:val="29"/>
        </w:rPr>
        <w:t> </w:t>
      </w:r>
      <w:r>
        <w:rPr>
          <w:spacing w:val="-2"/>
        </w:rPr>
        <w:t>DČOV:</w:t>
      </w:r>
      <w:r>
        <w:rPr/>
        <w:tab/>
        <w:t>39</w:t>
      </w:r>
      <w:r>
        <w:rPr>
          <w:spacing w:val="35"/>
        </w:rPr>
        <w:t> </w:t>
      </w:r>
      <w:r>
        <w:rPr>
          <w:spacing w:val="-5"/>
        </w:rPr>
        <w:t>ks,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0" w:after="0"/>
        <w:ind w:left="601" w:right="11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6"/>
          <w:sz w:val="20"/>
        </w:rPr>
        <w:t> </w:t>
      </w:r>
      <w:r>
        <w:rPr>
          <w:sz w:val="20"/>
        </w:rPr>
        <w:t>vyslovili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10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</w:t>
      </w:r>
      <w:r>
        <w:rPr>
          <w:spacing w:val="7"/>
          <w:sz w:val="20"/>
        </w:rPr>
        <w:t> </w:t>
      </w:r>
      <w:r>
        <w:rPr>
          <w:sz w:val="20"/>
        </w:rPr>
        <w:t>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 a m) 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2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 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n) 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2" w:after="0"/>
        <w:ind w:left="601" w:right="108" w:hanging="360"/>
        <w:jc w:val="left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podle pokynů v čl. 10 písm. r) 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18" w:after="0"/>
        <w:ind w:left="602" w:right="0" w:hanging="360"/>
        <w:jc w:val="left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s)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16" w:hanging="360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3/2023,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3/2025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2" w:right="0" w:hanging="360"/>
        <w:jc w:val="both"/>
        <w:rPr>
          <w:sz w:val="20"/>
        </w:rPr>
      </w:pPr>
      <w:r>
        <w:rPr>
          <w:sz w:val="20"/>
        </w:rPr>
        <w:t>vyhodnocení</w:t>
      </w:r>
      <w:r>
        <w:rPr>
          <w:spacing w:val="-11"/>
          <w:sz w:val="20"/>
        </w:rPr>
        <w:t> </w:t>
      </w:r>
      <w:r>
        <w:rPr>
          <w:sz w:val="20"/>
        </w:rPr>
        <w:t>zkušebního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provozu.</w:t>
      </w:r>
    </w:p>
    <w:p>
      <w:pPr>
        <w:pStyle w:val="BodyText"/>
        <w:spacing w:before="121"/>
        <w:ind w:left="66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54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> </w:t>
      </w:r>
      <w:r>
        <w:rPr>
          <w:sz w:val="20"/>
        </w:rPr>
        <w:t>pravidla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10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q)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BodyText"/>
        <w:ind w:right="118" w:hanging="284"/>
      </w:pPr>
      <w:r>
        <w:rPr/>
        <w:t>1) Jestliže příjemce podpory nesplní některý ze závazků stanovených touto Smlouvou, bude Fond postupovat</w:t>
      </w:r>
      <w:r>
        <w:rPr>
          <w:spacing w:val="55"/>
        </w:rPr>
        <w:t> </w:t>
      </w:r>
      <w:r>
        <w:rPr/>
        <w:t>ve</w:t>
      </w:r>
      <w:r>
        <w:rPr>
          <w:spacing w:val="54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5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20"/>
        </w:sectPr>
      </w:pPr>
    </w:p>
    <w:p>
      <w:pPr>
        <w:pStyle w:val="BodyText"/>
        <w:spacing w:before="73"/>
        <w:ind w:right="112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1"/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8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0"/>
        <w:ind w:left="242" w:right="0" w:firstLine="0"/>
        <w:jc w:val="left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38"/>
        </w:rPr>
      </w:pP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08" w:hanging="24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finanční opravy za porušení</w:t>
      </w:r>
      <w:r>
        <w:rPr>
          <w:spacing w:val="-5"/>
          <w:sz w:val="20"/>
        </w:rPr>
        <w:t> </w:t>
      </w:r>
      <w:r>
        <w:rPr>
          <w:sz w:val="20"/>
        </w:rPr>
        <w:t>rozpočtové</w:t>
      </w:r>
      <w:r>
        <w:rPr>
          <w:spacing w:val="-5"/>
          <w:sz w:val="20"/>
        </w:rPr>
        <w:t> </w:t>
      </w:r>
      <w:r>
        <w:rPr>
          <w:sz w:val="20"/>
        </w:rPr>
        <w:t>kázně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pochybení,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spočívá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v čl.</w:t>
      </w:r>
    </w:p>
    <w:p>
      <w:pPr>
        <w:pStyle w:val="BodyText"/>
        <w:spacing w:line="264" w:lineRule="auto" w:before="1"/>
        <w:ind w:left="669" w:right="108"/>
      </w:pPr>
      <w:r>
        <w:rPr/>
        <w:t>IV. bodu 2) písm. k) Smlouvy při zadávání zakázek/veřejných zakázek (dále souhrnně jen „veřejné zakázky“),</w:t>
      </w:r>
      <w:r>
        <w:rPr>
          <w:spacing w:val="-6"/>
        </w:rPr>
        <w:t> </w:t>
      </w:r>
      <w:r>
        <w:rPr/>
        <w:t>zejména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nedodržení</w:t>
      </w:r>
      <w:r>
        <w:rPr>
          <w:spacing w:val="-6"/>
        </w:rPr>
        <w:t> </w:t>
      </w:r>
      <w:r>
        <w:rPr/>
        <w:t>postupu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134/2016</w:t>
      </w:r>
      <w:r>
        <w:rPr>
          <w:spacing w:val="-5"/>
        </w:rPr>
        <w:t> </w:t>
      </w:r>
      <w:r>
        <w:rPr/>
        <w:t>Sb.,</w:t>
      </w:r>
      <w:r>
        <w:rPr>
          <w:spacing w:val="-5"/>
        </w:rPr>
        <w:t> </w:t>
      </w:r>
      <w:r>
        <w:rPr/>
        <w:t>o zadávání</w:t>
      </w:r>
      <w:r>
        <w:rPr>
          <w:spacing w:val="-3"/>
        </w:rPr>
        <w:t> </w:t>
      </w:r>
      <w:r>
        <w:rPr/>
        <w:t>veřejných</w:t>
      </w:r>
      <w:r>
        <w:rPr>
          <w:spacing w:val="-5"/>
        </w:rPr>
        <w:t> </w:t>
      </w:r>
      <w:r>
        <w:rPr/>
        <w:t>zakázek, ve znění účinném v</w:t>
      </w:r>
      <w:r>
        <w:rPr>
          <w:spacing w:val="-1"/>
        </w:rPr>
        <w:t> </w:t>
      </w:r>
      <w:r>
        <w:rPr/>
        <w:t>době zahájení zadávacího řízení, případně zákona č. 137/2006 Sb., o veřejných zakázkách, ve znění účinném v</w:t>
      </w:r>
      <w:r>
        <w:rPr>
          <w:spacing w:val="-1"/>
        </w:rPr>
        <w:t> </w:t>
      </w:r>
      <w:r>
        <w:rPr/>
        <w:t>době zahájení zadávacího řízení (dále souhrnně jen „zákon“) a/nebo nedodržení</w:t>
      </w:r>
      <w:r>
        <w:rPr>
          <w:spacing w:val="-1"/>
        </w:rPr>
        <w:t> </w:t>
      </w:r>
      <w:r>
        <w:rPr/>
        <w:t>postupu</w:t>
      </w:r>
      <w:r>
        <w:rPr>
          <w:spacing w:val="-1"/>
        </w:rPr>
        <w:t> </w:t>
      </w:r>
      <w:r>
        <w:rPr/>
        <w:t>stanoveného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Pokynech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zakázek</w:t>
      </w:r>
      <w:r>
        <w:rPr>
          <w:spacing w:val="-2"/>
        </w:rPr>
        <w:t> </w:t>
      </w:r>
      <w:r>
        <w:rPr/>
        <w:t>v OPŽP</w:t>
      </w:r>
      <w:r>
        <w:rPr>
          <w:spacing w:val="-5"/>
        </w:rPr>
        <w:t> </w:t>
      </w:r>
      <w:r>
        <w:rPr/>
        <w:t>2014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2020,</w:t>
      </w:r>
      <w:r>
        <w:rPr>
          <w:spacing w:val="-4"/>
        </w:rPr>
        <w:t> </w:t>
      </w:r>
      <w:r>
        <w:rPr/>
        <w:t>ve znění</w:t>
      </w:r>
      <w:r>
        <w:rPr>
          <w:spacing w:val="40"/>
        </w:rPr>
        <w:t> </w:t>
      </w:r>
      <w:r>
        <w:rPr/>
        <w:t>účinném</w:t>
      </w:r>
      <w:r>
        <w:rPr>
          <w:spacing w:val="39"/>
        </w:rPr>
        <w:t> </w:t>
      </w:r>
      <w:r>
        <w:rPr/>
        <w:t>v době</w:t>
      </w:r>
      <w:r>
        <w:rPr>
          <w:spacing w:val="40"/>
        </w:rPr>
        <w:t> </w:t>
      </w:r>
      <w:r>
        <w:rPr/>
        <w:t>zahájení</w:t>
      </w:r>
      <w:r>
        <w:rPr>
          <w:spacing w:val="40"/>
        </w:rPr>
        <w:t> </w:t>
      </w:r>
      <w:r>
        <w:rPr/>
        <w:t>výběrového/zadávacího</w:t>
      </w:r>
      <w:r>
        <w:rPr>
          <w:spacing w:val="40"/>
        </w:rPr>
        <w:t> </w:t>
      </w:r>
      <w:r>
        <w:rPr/>
        <w:t>řízení</w:t>
      </w:r>
      <w:r>
        <w:rPr>
          <w:spacing w:val="40"/>
        </w:rPr>
        <w:t> </w:t>
      </w:r>
      <w:r>
        <w:rPr/>
        <w:t>(dále</w:t>
      </w:r>
      <w:r>
        <w:rPr>
          <w:spacing w:val="39"/>
        </w:rPr>
        <w:t> </w:t>
      </w:r>
      <w:r>
        <w:rPr/>
        <w:t>jen</w:t>
      </w:r>
      <w:r>
        <w:rPr>
          <w:spacing w:val="40"/>
        </w:rPr>
        <w:t> </w:t>
      </w:r>
      <w:r>
        <w:rPr/>
        <w:t>„Pokyny</w:t>
      </w:r>
      <w:r>
        <w:rPr>
          <w:spacing w:val="40"/>
        </w:rPr>
        <w:t> </w:t>
      </w:r>
      <w:r>
        <w:rPr/>
        <w:t>OPŽP“),</w:t>
      </w:r>
      <w:r>
        <w:rPr>
          <w:spacing w:val="40"/>
        </w:rPr>
        <w:t> </w:t>
      </w:r>
      <w:r>
        <w:rPr/>
        <w:t>případně v</w:t>
      </w:r>
      <w:r>
        <w:rPr>
          <w:spacing w:val="-1"/>
        </w:rPr>
        <w:t> </w:t>
      </w:r>
      <w:r>
        <w:rPr/>
        <w:t>dokumentu Zadávání veřejných zakázek v OPŽP 2014 – 2020, ve znění účinném v době zahájení výběrového/zadávacího řízení (dále jen „Zadávání VZ v OPŽP“).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06" w:hanging="293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identifikované</w:t>
      </w:r>
      <w:r>
        <w:rPr>
          <w:spacing w:val="-1"/>
          <w:sz w:val="20"/>
        </w:rPr>
        <w:t> </w:t>
      </w:r>
      <w:r>
        <w:rPr>
          <w:sz w:val="20"/>
        </w:rPr>
        <w:t>porušení nemohlo mít ani potenciální finanční dopad, nestanoví se za</w:t>
      </w:r>
      <w:r>
        <w:rPr>
          <w:spacing w:val="-1"/>
          <w:sz w:val="20"/>
        </w:rPr>
        <w:t> </w:t>
      </w:r>
      <w:r>
        <w:rPr>
          <w:sz w:val="20"/>
        </w:rPr>
        <w:t>něj žádná finanční oprava.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13" w:hanging="346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stanovena podle typu porušení, viz tabulka </w:t>
      </w:r>
      <w:r>
        <w:rPr>
          <w:spacing w:val="-2"/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09" w:hanging="36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vypočte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částky,</w:t>
      </w:r>
      <w:r>
        <w:rPr>
          <w:spacing w:val="-2"/>
          <w:sz w:val="20"/>
        </w:rPr>
        <w:t> </w:t>
      </w:r>
      <w:r>
        <w:rPr>
          <w:sz w:val="20"/>
        </w:rPr>
        <w:t>která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prostředků Fondu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podpory 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11" w:hanging="310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u veřejné</w:t>
      </w:r>
      <w:r>
        <w:rPr>
          <w:spacing w:val="-1"/>
          <w:sz w:val="20"/>
        </w:rPr>
        <w:t> </w:t>
      </w:r>
      <w:r>
        <w:rPr>
          <w:sz w:val="20"/>
        </w:rPr>
        <w:t>zakázky bude</w:t>
      </w:r>
      <w:r>
        <w:rPr>
          <w:spacing w:val="-1"/>
          <w:sz w:val="20"/>
        </w:rPr>
        <w:t> </w:t>
      </w:r>
      <w:r>
        <w:rPr>
          <w:sz w:val="20"/>
        </w:rPr>
        <w:t>identifikováno více</w:t>
      </w:r>
      <w:r>
        <w:rPr>
          <w:spacing w:val="-1"/>
          <w:sz w:val="20"/>
        </w:rPr>
        <w:t> </w:t>
      </w:r>
      <w:r>
        <w:rPr>
          <w:sz w:val="20"/>
        </w:rPr>
        <w:t>porušení, výše</w:t>
      </w:r>
      <w:r>
        <w:rPr>
          <w:spacing w:val="-1"/>
          <w:sz w:val="20"/>
        </w:rPr>
        <w:t> </w:t>
      </w:r>
      <w:r>
        <w:rPr>
          <w:sz w:val="20"/>
        </w:rPr>
        <w:t>finančních oprav stanovených za jednotlivá porušení se</w:t>
      </w:r>
      <w:r>
        <w:rPr>
          <w:spacing w:val="-1"/>
          <w:sz w:val="20"/>
        </w:rPr>
        <w:t> </w:t>
      </w:r>
      <w:r>
        <w:rPr>
          <w:sz w:val="20"/>
        </w:rPr>
        <w:t>nesčítají a výsledná finanční oprava je</w:t>
      </w:r>
      <w:r>
        <w:rPr>
          <w:spacing w:val="-1"/>
          <w:sz w:val="20"/>
        </w:rPr>
        <w:t> </w:t>
      </w:r>
      <w:r>
        <w:rPr>
          <w:sz w:val="20"/>
        </w:rPr>
        <w:t>stanovena s ohledem</w:t>
      </w:r>
      <w:r>
        <w:rPr>
          <w:spacing w:val="-1"/>
          <w:sz w:val="20"/>
        </w:rPr>
        <w:t> </w:t>
      </w:r>
      <w:r>
        <w:rPr>
          <w:sz w:val="20"/>
        </w:rPr>
        <w:t>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0" w:after="0"/>
        <w:ind w:left="669" w:right="109" w:hanging="36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76"/>
          <w:sz w:val="20"/>
        </w:rPr>
        <w:t> </w:t>
      </w:r>
      <w:r>
        <w:rPr>
          <w:sz w:val="20"/>
        </w:rPr>
        <w:t>porušení</w:t>
      </w:r>
      <w:r>
        <w:rPr>
          <w:spacing w:val="76"/>
          <w:sz w:val="20"/>
        </w:rPr>
        <w:t> </w:t>
      </w:r>
      <w:r>
        <w:rPr>
          <w:sz w:val="20"/>
        </w:rPr>
        <w:t>je</w:t>
      </w:r>
      <w:r>
        <w:rPr>
          <w:spacing w:val="75"/>
          <w:sz w:val="20"/>
        </w:rPr>
        <w:t> </w:t>
      </w:r>
      <w:r>
        <w:rPr>
          <w:sz w:val="20"/>
        </w:rPr>
        <w:t>posuzována</w:t>
      </w:r>
      <w:r>
        <w:rPr>
          <w:spacing w:val="76"/>
          <w:sz w:val="20"/>
        </w:rPr>
        <w:t> </w:t>
      </w:r>
      <w:r>
        <w:rPr>
          <w:sz w:val="20"/>
        </w:rPr>
        <w:t>zejména</w:t>
      </w:r>
      <w:r>
        <w:rPr>
          <w:spacing w:val="80"/>
          <w:sz w:val="20"/>
        </w:rPr>
        <w:t> </w:t>
      </w:r>
      <w:r>
        <w:rPr>
          <w:sz w:val="20"/>
        </w:rPr>
        <w:t>z</w:t>
      </w:r>
      <w:r>
        <w:rPr>
          <w:spacing w:val="78"/>
          <w:sz w:val="20"/>
        </w:rPr>
        <w:t> </w:t>
      </w:r>
      <w:r>
        <w:rPr>
          <w:sz w:val="20"/>
        </w:rPr>
        <w:t>hlediska</w:t>
      </w:r>
      <w:r>
        <w:rPr>
          <w:spacing w:val="76"/>
          <w:sz w:val="20"/>
        </w:rPr>
        <w:t> </w:t>
      </w:r>
      <w:r>
        <w:rPr>
          <w:sz w:val="20"/>
        </w:rPr>
        <w:t>jeho</w:t>
      </w:r>
      <w:r>
        <w:rPr>
          <w:spacing w:val="78"/>
          <w:sz w:val="20"/>
        </w:rPr>
        <w:t> </w:t>
      </w:r>
      <w:r>
        <w:rPr>
          <w:sz w:val="20"/>
        </w:rPr>
        <w:t>skutečného</w:t>
      </w:r>
      <w:r>
        <w:rPr>
          <w:spacing w:val="78"/>
          <w:sz w:val="20"/>
        </w:rPr>
        <w:t> </w:t>
      </w:r>
      <w:r>
        <w:rPr>
          <w:sz w:val="20"/>
        </w:rPr>
        <w:t>nebo</w:t>
      </w:r>
      <w:r>
        <w:rPr>
          <w:spacing w:val="78"/>
          <w:sz w:val="20"/>
        </w:rPr>
        <w:t> </w:t>
      </w:r>
      <w:r>
        <w:rPr>
          <w:sz w:val="20"/>
        </w:rPr>
        <w:t>možného</w:t>
      </w:r>
      <w:r>
        <w:rPr>
          <w:spacing w:val="78"/>
          <w:sz w:val="20"/>
        </w:rPr>
        <w:t> </w:t>
      </w:r>
      <w:r>
        <w:rPr>
          <w:sz w:val="20"/>
        </w:rPr>
        <w:t>vlivu na</w:t>
      </w:r>
      <w:r>
        <w:rPr>
          <w:spacing w:val="-3"/>
          <w:sz w:val="20"/>
        </w:rPr>
        <w:t> </w:t>
      </w:r>
      <w:r>
        <w:rPr>
          <w:sz w:val="20"/>
        </w:rPr>
        <w:t>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prostředků.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nutno</w:t>
      </w:r>
      <w:r>
        <w:rPr>
          <w:spacing w:val="-7"/>
          <w:sz w:val="20"/>
        </w:rPr>
        <w:t> </w:t>
      </w:r>
      <w:r>
        <w:rPr>
          <w:sz w:val="20"/>
        </w:rPr>
        <w:t>považovat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závažné</w:t>
      </w:r>
      <w:r>
        <w:rPr>
          <w:spacing w:val="-9"/>
          <w:sz w:val="20"/>
        </w:rPr>
        <w:t> </w:t>
      </w:r>
      <w:r>
        <w:rPr>
          <w:sz w:val="20"/>
        </w:rPr>
        <w:t>především</w:t>
      </w:r>
      <w:r>
        <w:rPr>
          <w:spacing w:val="-9"/>
          <w:sz w:val="20"/>
        </w:rPr>
        <w:t> </w:t>
      </w:r>
      <w:r>
        <w:rPr>
          <w:sz w:val="20"/>
        </w:rPr>
        <w:t>v případech,</w:t>
      </w:r>
      <w:r>
        <w:rPr>
          <w:spacing w:val="-8"/>
          <w:sz w:val="20"/>
        </w:rPr>
        <w:t> </w:t>
      </w:r>
      <w:r>
        <w:rPr>
          <w:sz w:val="20"/>
        </w:rPr>
        <w:t>kdy v</w:t>
      </w:r>
      <w:r>
        <w:rPr>
          <w:spacing w:val="-2"/>
          <w:sz w:val="20"/>
        </w:rPr>
        <w:t> </w:t>
      </w:r>
      <w:r>
        <w:rPr>
          <w:sz w:val="20"/>
        </w:rPr>
        <w:t>jeho důsledku došlo k</w:t>
      </w:r>
      <w:r>
        <w:rPr>
          <w:spacing w:val="-1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264" w:lineRule="auto" w:before="1" w:after="0"/>
        <w:ind w:left="669" w:right="116" w:hanging="41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identifikováno porušení, které nelze podřadit pod konkrétní typ porušení uvedený v tabulce níže, bude stanovena finanční oprava dle zásady 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9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4" w:lineRule="auto" w:before="25"/>
              <w:ind w:right="96"/>
              <w:rPr>
                <w:sz w:val="20"/>
              </w:rPr>
            </w:pPr>
            <w:r>
              <w:rPr>
                <w:sz w:val="20"/>
              </w:rPr>
              <w:t>výběrové řízení v souladu s Pokyny 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0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right="344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 v Pokynech OPŽP, 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 délky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  <w:p>
            <w:pPr>
              <w:pStyle w:val="TableParagraph"/>
              <w:spacing w:line="264" w:lineRule="auto" w:before="3"/>
              <w:ind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</w:p>
          <w:p>
            <w:pPr>
              <w:pStyle w:val="TableParagraph"/>
              <w:spacing w:line="261" w:lineRule="auto" w:before="1"/>
              <w:ind w:left="105" w:right="18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384" w:top="1120" w:bottom="191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1"/>
              <w:ind w:right="18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96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nabídek, předběžných nabídek nebo žádostí</w:t>
            </w:r>
          </w:p>
          <w:p>
            <w:pPr>
              <w:pStyle w:val="TableParagraph"/>
              <w:spacing w:line="264" w:lineRule="auto" w:before="0"/>
              <w:ind w:right="436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OPŽP, příp. v dokumentu Zadávání VZ</w:t>
            </w:r>
          </w:p>
          <w:p>
            <w:pPr>
              <w:pStyle w:val="TableParagraph"/>
              <w:spacing w:line="264" w:lineRule="auto" w:before="1"/>
              <w:ind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9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1"/>
              <w:ind w:right="96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1" w:lineRule="auto" w:before="0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96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uvedené, avšak nedostatečně 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3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9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384" w:top="1120" w:bottom="245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66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9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jiných podmínek účasti</w:t>
            </w:r>
          </w:p>
          <w:p>
            <w:pPr>
              <w:pStyle w:val="TableParagraph"/>
              <w:spacing w:line="264" w:lineRule="auto" w:before="1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z w:val="20"/>
              </w:rPr>
              <w:t> zákonem 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 řízení</w:t>
            </w:r>
          </w:p>
          <w:p>
            <w:pPr>
              <w:pStyle w:val="TableParagraph"/>
              <w:spacing w:line="261" w:lineRule="auto" w:before="1"/>
              <w:ind w:right="436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</w:t>
            </w:r>
          </w:p>
          <w:p>
            <w:pPr>
              <w:pStyle w:val="TableParagraph"/>
              <w:spacing w:line="264" w:lineRule="auto" w:before="3"/>
              <w:ind w:right="16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14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32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18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384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416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dodatečné změny nabídky nebo nezajistil</w:t>
            </w:r>
          </w:p>
          <w:p>
            <w:pPr>
              <w:pStyle w:val="TableParagraph"/>
              <w:spacing w:line="264" w:lineRule="auto" w:before="1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 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8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vyřazení nabídky z důvodu mimořádně nízké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4" w:lineRule="auto" w:before="26"/>
              <w:ind w:right="96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96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96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 dodavatelé jiným než výše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8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Příslušný soud nebo jiný 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16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250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55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změna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  <w:p>
            <w:pPr>
              <w:pStyle w:val="TableParagraph"/>
              <w:spacing w:line="264" w:lineRule="auto"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 na veřejnou zakázku v rozporu se</w:t>
            </w:r>
          </w:p>
          <w:p>
            <w:pPr>
              <w:pStyle w:val="TableParagraph"/>
              <w:spacing w:line="264" w:lineRule="auto" w:before="0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ind w:right="155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dokumentem Zadávání VZ v OPŽP, přičemž 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185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stavebních prací, služeb nebo dodávek, aniž by pro to byly splněny podmínky dle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dokumentu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</w:t>
            </w:r>
          </w:p>
          <w:p>
            <w:pPr>
              <w:pStyle w:val="TableParagraph"/>
              <w:spacing w:line="264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5" w:right="6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a zároveň nedosahuje finančních limitů pro nadlimitní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výše uvedeného porušení, 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96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 s čl.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IV. bodem 2) písm. k) Smlouvy, 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4" w:lineRule="auto" w:before="0"/>
              <w:ind w:right="9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2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1" w:lineRule="auto" w:before="102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type w:val="continuous"/>
      <w:pgSz w:w="12240" w:h="15840"/>
      <w:pgMar w:header="0" w:footer="1384" w:top="11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070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66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60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8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9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0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7" w:hanging="24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2023-12-01T06:30:27Z</dcterms:created>
  <dcterms:modified xsi:type="dcterms:W3CDTF">2023-12-01T06:30:27Z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