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D891" w14:textId="77777777"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0B06FE5B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2658AE12" w14:textId="77777777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45F3C">
        <w:rPr>
          <w:rFonts w:ascii="Segoe UI" w:hAnsi="Segoe UI" w:cs="Segoe UI"/>
          <w:color w:val="808080" w:themeColor="background1" w:themeShade="80"/>
          <w:sz w:val="32"/>
          <w:szCs w:val="32"/>
        </w:rPr>
        <w:t>588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331AA72E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08C63DC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44DFA1B9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524C15E4" w14:textId="77777777"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BF0A3F2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9CE45C4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14:paraId="29575BA7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1763DB47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14:paraId="6CE002D0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14:paraId="68D8E577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14:paraId="63E7E277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14:paraId="51E7E012" w14:textId="77777777"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14:paraId="478C0182" w14:textId="77777777"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14:paraId="6122B270" w14:textId="77777777"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14:paraId="0B246734" w14:textId="77777777"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0E97FAAE" w14:textId="77777777"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14:paraId="77788EF1" w14:textId="77777777"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14:paraId="6710BA6B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14:paraId="07CC9947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F20FCAD" w14:textId="77777777" w:rsidR="00245F3C" w:rsidRPr="00640C14" w:rsidRDefault="00245F3C" w:rsidP="00245F3C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obec Růžová</w:t>
      </w:r>
    </w:p>
    <w:p w14:paraId="3F8A686B" w14:textId="77777777" w:rsidR="00245F3C" w:rsidRPr="00640C14" w:rsidRDefault="00245F3C" w:rsidP="00245F3C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640C14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>
        <w:rPr>
          <w:rFonts w:ascii="Segoe UI" w:hAnsi="Segoe UI" w:cs="Segoe UI"/>
          <w:color w:val="000000" w:themeColor="text1"/>
          <w:sz w:val="20"/>
        </w:rPr>
        <w:t>Obecní úřad Růžová, Růžová 30, 407 14 Růžová</w:t>
      </w:r>
    </w:p>
    <w:p w14:paraId="3BD4961B" w14:textId="77777777" w:rsidR="00245F3C" w:rsidRPr="00640C14" w:rsidRDefault="00245F3C" w:rsidP="00245F3C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640C14">
        <w:rPr>
          <w:rFonts w:ascii="Segoe UI" w:hAnsi="Segoe UI" w:cs="Segoe UI"/>
          <w:color w:val="000000" w:themeColor="text1"/>
          <w:sz w:val="20"/>
        </w:rPr>
        <w:t xml:space="preserve">IČO: </w:t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  <w:t>00</w:t>
      </w:r>
      <w:r>
        <w:rPr>
          <w:rFonts w:ascii="Segoe UI" w:hAnsi="Segoe UI" w:cs="Segoe UI"/>
          <w:color w:val="000000" w:themeColor="text1"/>
          <w:sz w:val="20"/>
        </w:rPr>
        <w:t>556017</w:t>
      </w:r>
    </w:p>
    <w:p w14:paraId="658F5D5A" w14:textId="77777777" w:rsidR="00245F3C" w:rsidRPr="00640C14" w:rsidRDefault="00245F3C" w:rsidP="00245F3C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640C14">
        <w:rPr>
          <w:rFonts w:ascii="Segoe UI" w:hAnsi="Segoe UI" w:cs="Segoe UI"/>
          <w:color w:val="000000" w:themeColor="text1"/>
          <w:sz w:val="20"/>
        </w:rPr>
        <w:t>zastoupen</w:t>
      </w:r>
      <w:r>
        <w:rPr>
          <w:rFonts w:ascii="Segoe UI" w:hAnsi="Segoe UI" w:cs="Segoe UI"/>
          <w:color w:val="000000" w:themeColor="text1"/>
          <w:sz w:val="20"/>
        </w:rPr>
        <w:t>á</w:t>
      </w:r>
      <w:r w:rsidRPr="00640C14">
        <w:rPr>
          <w:rFonts w:ascii="Segoe UI" w:hAnsi="Segoe UI" w:cs="Segoe UI"/>
          <w:color w:val="000000" w:themeColor="text1"/>
          <w:sz w:val="20"/>
        </w:rPr>
        <w:t xml:space="preserve">: </w:t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>
        <w:rPr>
          <w:rFonts w:ascii="Segoe UI" w:hAnsi="Segoe UI" w:cs="Segoe UI"/>
          <w:color w:val="000000" w:themeColor="text1"/>
          <w:sz w:val="20"/>
        </w:rPr>
        <w:t>Helenou K ř í ž k o v o u</w:t>
      </w:r>
      <w:r w:rsidRPr="00640C14">
        <w:rPr>
          <w:rFonts w:ascii="Segoe UI" w:hAnsi="Segoe UI" w:cs="Segoe UI"/>
          <w:color w:val="000000" w:themeColor="text1"/>
          <w:sz w:val="20"/>
        </w:rPr>
        <w:t>, starost</w:t>
      </w:r>
      <w:r>
        <w:rPr>
          <w:rFonts w:ascii="Segoe UI" w:hAnsi="Segoe UI" w:cs="Segoe UI"/>
          <w:color w:val="000000" w:themeColor="text1"/>
          <w:sz w:val="20"/>
        </w:rPr>
        <w:t>k</w:t>
      </w:r>
      <w:r w:rsidRPr="00640C14">
        <w:rPr>
          <w:rFonts w:ascii="Segoe UI" w:hAnsi="Segoe UI" w:cs="Segoe UI"/>
          <w:color w:val="000000" w:themeColor="text1"/>
          <w:sz w:val="20"/>
        </w:rPr>
        <w:t>ou</w:t>
      </w:r>
    </w:p>
    <w:p w14:paraId="47FD33D7" w14:textId="77777777" w:rsidR="00245F3C" w:rsidRPr="00640C14" w:rsidRDefault="00245F3C" w:rsidP="00245F3C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640C14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640C14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14:paraId="57BA9965" w14:textId="77777777" w:rsidR="00245F3C" w:rsidRPr="00DB15E6" w:rsidRDefault="00245F3C" w:rsidP="00245F3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40C14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640C14">
        <w:rPr>
          <w:rFonts w:ascii="Segoe UI" w:hAnsi="Segoe UI" w:cs="Segoe UI"/>
          <w:color w:val="000000" w:themeColor="text1"/>
          <w:sz w:val="20"/>
        </w:rPr>
        <w:tab/>
      </w:r>
      <w:r w:rsidRPr="00397677">
        <w:rPr>
          <w:rFonts w:ascii="Segoe UI" w:hAnsi="Segoe UI" w:cs="Segoe UI"/>
          <w:bCs/>
          <w:color w:val="auto"/>
          <w:sz w:val="20"/>
        </w:rPr>
        <w:t>94-</w:t>
      </w:r>
      <w:r>
        <w:rPr>
          <w:rFonts w:ascii="Segoe UI" w:hAnsi="Segoe UI" w:cs="Segoe UI"/>
          <w:bCs/>
          <w:color w:val="auto"/>
          <w:sz w:val="20"/>
        </w:rPr>
        <w:t>4312431</w:t>
      </w:r>
      <w:r w:rsidRPr="00397677">
        <w:rPr>
          <w:rFonts w:ascii="Segoe UI" w:hAnsi="Segoe UI" w:cs="Segoe UI"/>
          <w:bCs/>
          <w:color w:val="auto"/>
          <w:sz w:val="20"/>
        </w:rPr>
        <w:t>/0710</w:t>
      </w:r>
    </w:p>
    <w:p w14:paraId="2C9B8CD0" w14:textId="77777777"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14:paraId="6675C839" w14:textId="77777777"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14:paraId="4F8F298B" w14:textId="77777777"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239967B" w14:textId="77777777"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14:paraId="364ED67C" w14:textId="77777777"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098718CF" w14:textId="77777777"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1ECF74CC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14:paraId="17C08769" w14:textId="77777777"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14:paraId="50177DB1" w14:textId="77777777"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303DD222" w14:textId="77777777"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245F3C">
        <w:rPr>
          <w:rFonts w:ascii="Segoe UI" w:hAnsi="Segoe UI" w:cs="Segoe UI"/>
          <w:color w:val="000000" w:themeColor="text1"/>
          <w:sz w:val="20"/>
        </w:rPr>
        <w:t>588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245F3C">
        <w:rPr>
          <w:rFonts w:ascii="Segoe UI" w:hAnsi="Segoe UI" w:cs="Segoe UI"/>
          <w:color w:val="000000" w:themeColor="text1"/>
          <w:sz w:val="20"/>
        </w:rPr>
        <w:t>29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245F3C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14:paraId="4EB32C3B" w14:textId="77777777"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14:paraId="4AB4B105" w14:textId="77777777"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14:paraId="10F7E1A3" w14:textId="77777777"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245F3C" w:rsidRPr="00245F3C">
        <w:rPr>
          <w:rFonts w:ascii="Segoe UI" w:hAnsi="Segoe UI" w:cs="Segoe UI"/>
          <w:b/>
          <w:bCs/>
          <w:color w:val="auto"/>
          <w:sz w:val="20"/>
        </w:rPr>
        <w:t>Hydrogeologický průzkumný vrt HV 01 pro místní část Kamenická Stráň - zásobování vodou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14:paraId="1097F55F" w14:textId="77777777"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6873AD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30ACF81B" w14:textId="77777777"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14:paraId="76B6FF4B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14:paraId="656CD821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14:paraId="1BAC5BCF" w14:textId="77777777"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3E4AC44E" w14:textId="77777777"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245F3C">
        <w:rPr>
          <w:rFonts w:ascii="Segoe UI" w:hAnsi="Segoe UI" w:cs="Segoe UI"/>
          <w:b/>
          <w:color w:val="000000" w:themeColor="text1"/>
          <w:sz w:val="20"/>
        </w:rPr>
        <w:t>438 056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245F3C">
        <w:rPr>
          <w:rFonts w:ascii="Segoe UI" w:hAnsi="Segoe UI" w:cs="Segoe UI"/>
          <w:color w:val="000000" w:themeColor="text1"/>
          <w:sz w:val="20"/>
        </w:rPr>
        <w:t>čtyři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sta </w:t>
      </w:r>
      <w:r w:rsidR="00245F3C">
        <w:rPr>
          <w:rFonts w:ascii="Segoe UI" w:hAnsi="Segoe UI" w:cs="Segoe UI"/>
          <w:color w:val="000000" w:themeColor="text1"/>
          <w:sz w:val="20"/>
        </w:rPr>
        <w:t xml:space="preserve">třicet osm 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tisíc </w:t>
      </w:r>
      <w:r w:rsidR="00245F3C">
        <w:rPr>
          <w:rFonts w:ascii="Segoe UI" w:hAnsi="Segoe UI" w:cs="Segoe UI"/>
          <w:color w:val="000000" w:themeColor="text1"/>
          <w:sz w:val="20"/>
        </w:rPr>
        <w:t>padesát šest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5559AF57" w14:textId="77777777"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6873AD">
        <w:rPr>
          <w:rFonts w:ascii="Segoe UI" w:hAnsi="Segoe UI" w:cs="Segoe UI"/>
          <w:color w:val="000000" w:themeColor="text1"/>
          <w:sz w:val="20"/>
        </w:rPr>
        <w:t>5</w:t>
      </w:r>
      <w:r w:rsidR="00245F3C">
        <w:rPr>
          <w:rFonts w:ascii="Segoe UI" w:hAnsi="Segoe UI" w:cs="Segoe UI"/>
          <w:color w:val="000000" w:themeColor="text1"/>
          <w:sz w:val="20"/>
        </w:rPr>
        <w:t>47 570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6CA86FA0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245F3C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4CF30DC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14:paraId="6B921267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5DD8F93F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14:paraId="67DEBB3A" w14:textId="77777777"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6C19C00" w14:textId="77777777"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2C8A967A" w14:textId="77777777"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5BBB7E11" w14:textId="77777777"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14:paraId="42E03169" w14:textId="77777777"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14:paraId="2DD45DD1" w14:textId="77777777"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471FD824" w14:textId="77777777"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2BB3C647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14:paraId="2ACA6C88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14:paraId="32B275F9" w14:textId="77777777"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245F3C" w:rsidRPr="00245F3C">
        <w:rPr>
          <w:rFonts w:ascii="Segoe UI" w:hAnsi="Segoe UI" w:cs="Segoe UI"/>
          <w:color w:val="000000" w:themeColor="text1"/>
          <w:sz w:val="20"/>
        </w:rPr>
        <w:t>438 056</w:t>
      </w:r>
      <w:r w:rsidR="00245F3C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03649FC3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14:paraId="4651A833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elektronické podobě), opatřené podpisem statutárního zástupce příjemce podpory, případně osoby k tomu pověřené, spolu s otiskem razítka příjemce podpory.</w:t>
      </w:r>
    </w:p>
    <w:p w14:paraId="45AE7462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O prostředky nevyčerpané v daném roce či vrácené se zvýší finanční objem následujícího roku, pokud Fond tento převod akceptuje ve finančně platebním kalendáři.</w:t>
      </w:r>
    </w:p>
    <w:p w14:paraId="50B3B4DC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14:paraId="192E2CEC" w14:textId="77777777"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1B7E1AC6" w14:textId="77777777"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14:paraId="4FD5EAE1" w14:textId="77777777"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6873AD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5048A2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245F3C">
        <w:rPr>
          <w:rFonts w:ascii="Segoe UI" w:hAnsi="Segoe UI" w:cs="Segoe UI"/>
          <w:color w:val="000000" w:themeColor="text1"/>
          <w:sz w:val="20"/>
        </w:rPr>
        <w:t>109 514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5CA0A87B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1A6C625C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14:paraId="4B061792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14:paraId="43C32610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14:paraId="30980E7A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14:paraId="54702FEB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6EEB1CCA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14:paraId="4CBC6A18" w14:textId="77777777"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733EE62B" w14:textId="77777777"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F10FC73" w14:textId="77777777"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14:paraId="59B1B94B" w14:textId="77777777"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14:paraId="121E5335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Příjemce podpory je povinen takové pokyny vydané Fondem splnit. Tyto pokyny mohou být uvedeny na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formuláři finančně platebního kalendáře.</w:t>
      </w:r>
    </w:p>
    <w:p w14:paraId="306ACD61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0C55D3C4" w14:textId="77777777"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14:paraId="53A9AB4B" w14:textId="77777777"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14:paraId="2F1D32B7" w14:textId="77777777"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0E2F617D" w14:textId="77777777"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4ABBA511" w14:textId="77777777"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1BB860E8" w14:textId="77777777"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14:paraId="0B6A750F" w14:textId="77777777"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0E196C96" w14:textId="77777777"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00676973" w14:textId="77777777"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1A4501AC" w14:textId="77777777" w:rsidR="0072639A" w:rsidRPr="00431F2E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31F2E">
        <w:rPr>
          <w:rFonts w:ascii="Segoe UI" w:hAnsi="Segoe UI" w:cs="Segoe UI"/>
          <w:color w:val="auto"/>
          <w:sz w:val="20"/>
        </w:rPr>
        <w:t>akce bude provedena podle</w:t>
      </w:r>
      <w:r w:rsidR="00F42144" w:rsidRPr="00431F2E">
        <w:rPr>
          <w:rFonts w:ascii="Segoe UI" w:hAnsi="Segoe UI" w:cs="Segoe UI"/>
          <w:color w:val="auto"/>
          <w:sz w:val="20"/>
        </w:rPr>
        <w:t xml:space="preserve"> </w:t>
      </w:r>
      <w:r w:rsidR="00F42144" w:rsidRPr="00431F2E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431F2E">
        <w:rPr>
          <w:rFonts w:ascii="Segoe UI" w:hAnsi="Segoe UI" w:cs="Segoe UI"/>
          <w:bCs/>
          <w:color w:val="auto"/>
          <w:sz w:val="20"/>
        </w:rPr>
        <w:t>é</w:t>
      </w:r>
      <w:r w:rsidR="00F42144" w:rsidRPr="00431F2E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431F2E">
        <w:rPr>
          <w:rFonts w:ascii="Segoe UI" w:hAnsi="Segoe UI" w:cs="Segoe UI"/>
          <w:bCs/>
          <w:color w:val="auto"/>
          <w:sz w:val="20"/>
        </w:rPr>
        <w:t>é</w:t>
      </w:r>
      <w:r w:rsidR="00F42144" w:rsidRPr="00431F2E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431F2E">
        <w:rPr>
          <w:rFonts w:ascii="Segoe UI" w:hAnsi="Segoe UI" w:cs="Segoe UI"/>
          <w:bCs/>
          <w:color w:val="auto"/>
          <w:sz w:val="20"/>
        </w:rPr>
        <w:t>e</w:t>
      </w:r>
      <w:r w:rsidR="00F42144" w:rsidRPr="00431F2E">
        <w:rPr>
          <w:rFonts w:ascii="Segoe UI" w:hAnsi="Segoe UI" w:cs="Segoe UI"/>
          <w:bCs/>
          <w:color w:val="auto"/>
          <w:sz w:val="20"/>
        </w:rPr>
        <w:t xml:space="preserve"> „</w:t>
      </w:r>
      <w:r w:rsidR="00245F3C" w:rsidRPr="00431F2E">
        <w:rPr>
          <w:rFonts w:ascii="Segoe UI" w:hAnsi="Segoe UI" w:cs="Segoe UI"/>
          <w:bCs/>
          <w:color w:val="auto"/>
          <w:sz w:val="20"/>
        </w:rPr>
        <w:t>Hydrogeologický průzkumný vrt HV-01 pro místní část Kamenická Stráň - Zásobování vodou</w:t>
      </w:r>
      <w:r w:rsidR="00F42144" w:rsidRPr="00431F2E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431F2E">
        <w:rPr>
          <w:rFonts w:ascii="Segoe UI" w:hAnsi="Segoe UI" w:cs="Segoe UI"/>
          <w:bCs/>
          <w:color w:val="auto"/>
          <w:sz w:val="20"/>
        </w:rPr>
        <w:t>vy</w:t>
      </w:r>
      <w:r w:rsidR="00F42144" w:rsidRPr="00431F2E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Jiřím </w:t>
      </w:r>
      <w:proofErr w:type="spellStart"/>
      <w:r w:rsidR="00245F3C" w:rsidRPr="00431F2E">
        <w:rPr>
          <w:rFonts w:ascii="Segoe UI" w:hAnsi="Segoe UI" w:cs="Segoe UI"/>
          <w:bCs/>
          <w:color w:val="auto"/>
          <w:sz w:val="20"/>
        </w:rPr>
        <w:t>Drnovcem</w:t>
      </w:r>
      <w:proofErr w:type="spellEnd"/>
      <w:r w:rsidR="00245F3C" w:rsidRPr="00431F2E">
        <w:rPr>
          <w:rFonts w:ascii="Segoe UI" w:hAnsi="Segoe UI" w:cs="Segoe UI"/>
          <w:bCs/>
          <w:color w:val="auto"/>
          <w:sz w:val="20"/>
        </w:rPr>
        <w:t xml:space="preserve"> </w:t>
      </w:r>
      <w:r w:rsidR="003455FF" w:rsidRPr="00431F2E">
        <w:rPr>
          <w:rFonts w:ascii="Segoe UI" w:hAnsi="Segoe UI" w:cs="Segoe UI"/>
          <w:bCs/>
          <w:color w:val="auto"/>
          <w:sz w:val="20"/>
        </w:rPr>
        <w:t>v </w:t>
      </w:r>
      <w:r w:rsidR="006873AD" w:rsidRPr="00431F2E">
        <w:rPr>
          <w:rFonts w:ascii="Segoe UI" w:hAnsi="Segoe UI" w:cs="Segoe UI"/>
          <w:bCs/>
          <w:color w:val="auto"/>
          <w:sz w:val="20"/>
        </w:rPr>
        <w:t>6</w:t>
      </w:r>
      <w:r w:rsidR="003455FF" w:rsidRPr="00431F2E">
        <w:rPr>
          <w:rFonts w:ascii="Segoe UI" w:hAnsi="Segoe UI" w:cs="Segoe UI"/>
          <w:bCs/>
          <w:color w:val="auto"/>
          <w:sz w:val="20"/>
        </w:rPr>
        <w:t>/202</w:t>
      </w:r>
      <w:r w:rsidR="006873AD" w:rsidRPr="00431F2E">
        <w:rPr>
          <w:rFonts w:ascii="Segoe UI" w:hAnsi="Segoe UI" w:cs="Segoe UI"/>
          <w:bCs/>
          <w:color w:val="auto"/>
          <w:sz w:val="20"/>
        </w:rPr>
        <w:t>1</w:t>
      </w:r>
      <w:r w:rsidR="00AC22B7" w:rsidRPr="00431F2E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431F2E">
        <w:rPr>
          <w:rFonts w:ascii="Segoe UI" w:hAnsi="Segoe UI" w:cs="Segoe UI"/>
          <w:bCs/>
          <w:color w:val="auto"/>
          <w:sz w:val="20"/>
        </w:rPr>
        <w:t>ž</w:t>
      </w:r>
      <w:r w:rsidR="00036D9B" w:rsidRPr="00431F2E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431F2E">
        <w:rPr>
          <w:rFonts w:ascii="Segoe UI" w:hAnsi="Segoe UI" w:cs="Segoe UI"/>
          <w:bCs/>
          <w:color w:val="auto"/>
          <w:sz w:val="20"/>
        </w:rPr>
        <w:t xml:space="preserve"> </w:t>
      </w:r>
      <w:r w:rsidR="003455FF" w:rsidRPr="00431F2E">
        <w:rPr>
          <w:rFonts w:ascii="Segoe UI" w:hAnsi="Segoe UI" w:cs="Segoe UI"/>
          <w:bCs/>
          <w:color w:val="auto"/>
          <w:sz w:val="20"/>
        </w:rPr>
        <w:t>2</w:t>
      </w:r>
      <w:r w:rsidR="00245F3C" w:rsidRPr="00431F2E">
        <w:rPr>
          <w:rFonts w:ascii="Segoe UI" w:hAnsi="Segoe UI" w:cs="Segoe UI"/>
          <w:bCs/>
          <w:color w:val="auto"/>
          <w:sz w:val="20"/>
        </w:rPr>
        <w:t>8</w:t>
      </w:r>
      <w:r w:rsidR="00036D9B" w:rsidRPr="00431F2E">
        <w:rPr>
          <w:rFonts w:ascii="Segoe UI" w:hAnsi="Segoe UI" w:cs="Segoe UI"/>
          <w:bCs/>
          <w:color w:val="auto"/>
          <w:sz w:val="20"/>
        </w:rPr>
        <w:t xml:space="preserve">. </w:t>
      </w:r>
      <w:r w:rsidR="003455FF" w:rsidRPr="00431F2E">
        <w:rPr>
          <w:rFonts w:ascii="Segoe UI" w:hAnsi="Segoe UI" w:cs="Segoe UI"/>
          <w:bCs/>
          <w:color w:val="auto"/>
          <w:sz w:val="20"/>
        </w:rPr>
        <w:t>6</w:t>
      </w:r>
      <w:r w:rsidR="00036D9B" w:rsidRPr="00431F2E">
        <w:rPr>
          <w:rFonts w:ascii="Segoe UI" w:hAnsi="Segoe UI" w:cs="Segoe UI"/>
          <w:bCs/>
          <w:color w:val="auto"/>
          <w:sz w:val="20"/>
        </w:rPr>
        <w:t>. 20</w:t>
      </w:r>
      <w:r w:rsidR="005C1355" w:rsidRPr="00431F2E">
        <w:rPr>
          <w:rFonts w:ascii="Segoe UI" w:hAnsi="Segoe UI" w:cs="Segoe UI"/>
          <w:bCs/>
          <w:color w:val="auto"/>
          <w:sz w:val="20"/>
        </w:rPr>
        <w:t>2</w:t>
      </w:r>
      <w:r w:rsidR="003455FF" w:rsidRPr="00431F2E">
        <w:rPr>
          <w:rFonts w:ascii="Segoe UI" w:hAnsi="Segoe UI" w:cs="Segoe UI"/>
          <w:bCs/>
          <w:color w:val="auto"/>
          <w:sz w:val="20"/>
        </w:rPr>
        <w:t>1</w:t>
      </w:r>
      <w:r w:rsidR="00036D9B" w:rsidRPr="00431F2E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245F3C" w:rsidRPr="00431F2E">
        <w:rPr>
          <w:rFonts w:ascii="Segoe UI" w:hAnsi="Segoe UI" w:cs="Segoe UI"/>
          <w:bCs/>
          <w:color w:val="auto"/>
          <w:sz w:val="20"/>
        </w:rPr>
        <w:t>1</w:t>
      </w:r>
      <w:r w:rsidR="00036D9B" w:rsidRPr="00431F2E">
        <w:rPr>
          <w:rFonts w:ascii="Segoe UI" w:hAnsi="Segoe UI" w:cs="Segoe UI"/>
          <w:bCs/>
          <w:color w:val="auto"/>
          <w:sz w:val="20"/>
        </w:rPr>
        <w:t>.</w:t>
      </w:r>
      <w:r w:rsidR="003606A7" w:rsidRPr="00431F2E">
        <w:rPr>
          <w:rFonts w:ascii="Segoe UI" w:hAnsi="Segoe UI" w:cs="Segoe UI"/>
          <w:bCs/>
          <w:color w:val="auto"/>
          <w:sz w:val="20"/>
        </w:rPr>
        <w:t xml:space="preserve"> </w:t>
      </w:r>
      <w:r w:rsidR="006873AD" w:rsidRPr="00431F2E">
        <w:rPr>
          <w:rFonts w:ascii="Segoe UI" w:hAnsi="Segoe UI" w:cs="Segoe UI"/>
          <w:bCs/>
          <w:color w:val="auto"/>
          <w:sz w:val="20"/>
        </w:rPr>
        <w:t>1</w:t>
      </w:r>
      <w:r w:rsidR="00245F3C" w:rsidRPr="00431F2E">
        <w:rPr>
          <w:rFonts w:ascii="Segoe UI" w:hAnsi="Segoe UI" w:cs="Segoe UI"/>
          <w:bCs/>
          <w:color w:val="auto"/>
          <w:sz w:val="20"/>
        </w:rPr>
        <w:t>2</w:t>
      </w:r>
      <w:r w:rsidR="00036D9B" w:rsidRPr="00431F2E">
        <w:rPr>
          <w:rFonts w:ascii="Segoe UI" w:hAnsi="Segoe UI" w:cs="Segoe UI"/>
          <w:bCs/>
          <w:color w:val="auto"/>
          <w:sz w:val="20"/>
        </w:rPr>
        <w:t>. 20</w:t>
      </w:r>
      <w:r w:rsidR="00776F45" w:rsidRPr="00431F2E">
        <w:rPr>
          <w:rFonts w:ascii="Segoe UI" w:hAnsi="Segoe UI" w:cs="Segoe UI"/>
          <w:bCs/>
          <w:color w:val="auto"/>
          <w:sz w:val="20"/>
        </w:rPr>
        <w:t>2</w:t>
      </w:r>
      <w:r w:rsidR="006873AD" w:rsidRPr="00431F2E">
        <w:rPr>
          <w:rFonts w:ascii="Segoe UI" w:hAnsi="Segoe UI" w:cs="Segoe UI"/>
          <w:bCs/>
          <w:color w:val="auto"/>
          <w:sz w:val="20"/>
        </w:rPr>
        <w:t>3</w:t>
      </w:r>
      <w:r w:rsidR="003455FF" w:rsidRPr="00431F2E">
        <w:rPr>
          <w:rFonts w:ascii="Segoe UI" w:hAnsi="Segoe UI" w:cs="Segoe UI"/>
          <w:bCs/>
          <w:color w:val="auto"/>
          <w:sz w:val="20"/>
        </w:rPr>
        <w:t xml:space="preserve">, v souladu s podmínkami rozhodnutí </w:t>
      </w:r>
      <w:r w:rsidR="005048A2" w:rsidRPr="00431F2E">
        <w:rPr>
          <w:rFonts w:ascii="Segoe UI" w:hAnsi="Segoe UI" w:cs="Segoe UI"/>
          <w:bCs/>
          <w:color w:val="auto"/>
          <w:sz w:val="20"/>
        </w:rPr>
        <w:t xml:space="preserve"> č. j.: 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MDC/89953/2022 </w:t>
      </w:r>
      <w:r w:rsidR="005048A2" w:rsidRPr="00431F2E">
        <w:rPr>
          <w:rFonts w:ascii="Segoe UI" w:hAnsi="Segoe UI" w:cs="Segoe UI"/>
          <w:bCs/>
          <w:color w:val="auto"/>
          <w:sz w:val="20"/>
        </w:rPr>
        <w:t xml:space="preserve">ze dne </w:t>
      </w:r>
      <w:r w:rsidR="00245F3C" w:rsidRPr="00431F2E">
        <w:rPr>
          <w:rFonts w:ascii="Segoe UI" w:hAnsi="Segoe UI" w:cs="Segoe UI"/>
          <w:bCs/>
          <w:color w:val="auto"/>
          <w:sz w:val="20"/>
        </w:rPr>
        <w:t>22</w:t>
      </w:r>
      <w:r w:rsidR="005048A2" w:rsidRPr="00431F2E">
        <w:rPr>
          <w:rFonts w:ascii="Segoe UI" w:hAnsi="Segoe UI" w:cs="Segoe UI"/>
          <w:bCs/>
          <w:color w:val="auto"/>
          <w:sz w:val="20"/>
        </w:rPr>
        <w:t xml:space="preserve">. </w:t>
      </w:r>
      <w:r w:rsidR="006873AD" w:rsidRPr="00431F2E">
        <w:rPr>
          <w:rFonts w:ascii="Segoe UI" w:hAnsi="Segoe UI" w:cs="Segoe UI"/>
          <w:bCs/>
          <w:color w:val="auto"/>
          <w:sz w:val="20"/>
        </w:rPr>
        <w:t>8</w:t>
      </w:r>
      <w:r w:rsidR="005048A2" w:rsidRPr="00431F2E">
        <w:rPr>
          <w:rFonts w:ascii="Segoe UI" w:hAnsi="Segoe UI" w:cs="Segoe UI"/>
          <w:bCs/>
          <w:color w:val="auto"/>
          <w:sz w:val="20"/>
        </w:rPr>
        <w:t>. 202</w:t>
      </w:r>
      <w:r w:rsidR="00245F3C" w:rsidRPr="00431F2E">
        <w:rPr>
          <w:rFonts w:ascii="Segoe UI" w:hAnsi="Segoe UI" w:cs="Segoe UI"/>
          <w:bCs/>
          <w:color w:val="auto"/>
          <w:sz w:val="20"/>
        </w:rPr>
        <w:t>2</w:t>
      </w:r>
      <w:r w:rsidR="005048A2" w:rsidRPr="00431F2E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431F2E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431F2E">
        <w:rPr>
          <w:rFonts w:ascii="Segoe UI" w:hAnsi="Segoe UI" w:cs="Segoe UI"/>
          <w:bCs/>
          <w:color w:val="auto"/>
          <w:sz w:val="20"/>
        </w:rPr>
        <w:t xml:space="preserve">tj. </w:t>
      </w:r>
      <w:r w:rsidR="005048A2" w:rsidRPr="00431F2E">
        <w:rPr>
          <w:rFonts w:ascii="Segoe UI" w:hAnsi="Segoe UI" w:cs="Segoe UI"/>
          <w:bCs/>
          <w:color w:val="auto"/>
          <w:sz w:val="20"/>
        </w:rPr>
        <w:t xml:space="preserve">dojde k </w:t>
      </w:r>
      <w:r w:rsidR="006873AD" w:rsidRPr="00431F2E">
        <w:rPr>
          <w:rFonts w:ascii="Segoe UI" w:hAnsi="Segoe UI" w:cs="Segoe UI"/>
          <w:bCs/>
          <w:color w:val="auto"/>
          <w:sz w:val="20"/>
        </w:rPr>
        <w:t xml:space="preserve">vyhloubení průzkumného hydrogeologického vrtu 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HV - 01 na pozemku p. č. 199/3 k. </w:t>
      </w:r>
      <w:proofErr w:type="spellStart"/>
      <w:r w:rsidR="00245F3C" w:rsidRPr="00431F2E">
        <w:rPr>
          <w:rFonts w:ascii="Segoe UI" w:hAnsi="Segoe UI" w:cs="Segoe UI"/>
          <w:bCs/>
          <w:color w:val="auto"/>
          <w:sz w:val="20"/>
        </w:rPr>
        <w:t>ú.</w:t>
      </w:r>
      <w:proofErr w:type="spellEnd"/>
      <w:r w:rsidR="00245F3C" w:rsidRPr="00431F2E">
        <w:rPr>
          <w:rFonts w:ascii="Segoe UI" w:hAnsi="Segoe UI" w:cs="Segoe UI"/>
          <w:bCs/>
          <w:color w:val="auto"/>
          <w:sz w:val="20"/>
        </w:rPr>
        <w:t xml:space="preserve"> Kamenická Stráň a vybud</w:t>
      </w:r>
      <w:r w:rsidR="00431F2E" w:rsidRPr="00431F2E">
        <w:rPr>
          <w:rFonts w:ascii="Segoe UI" w:hAnsi="Segoe UI" w:cs="Segoe UI"/>
          <w:bCs/>
          <w:color w:val="auto"/>
          <w:sz w:val="20"/>
        </w:rPr>
        <w:t>ování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 odběrné</w:t>
      </w:r>
      <w:r w:rsidR="00431F2E" w:rsidRPr="00431F2E">
        <w:rPr>
          <w:rFonts w:ascii="Segoe UI" w:hAnsi="Segoe UI" w:cs="Segoe UI"/>
          <w:bCs/>
          <w:color w:val="auto"/>
          <w:sz w:val="20"/>
        </w:rPr>
        <w:t>ho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 míst</w:t>
      </w:r>
      <w:r w:rsidR="00431F2E" w:rsidRPr="00431F2E">
        <w:rPr>
          <w:rFonts w:ascii="Segoe UI" w:hAnsi="Segoe UI" w:cs="Segoe UI"/>
          <w:bCs/>
          <w:color w:val="auto"/>
          <w:sz w:val="20"/>
        </w:rPr>
        <w:t>a</w:t>
      </w:r>
      <w:r w:rsidR="00245F3C" w:rsidRPr="00431F2E">
        <w:rPr>
          <w:rFonts w:ascii="Segoe UI" w:hAnsi="Segoe UI" w:cs="Segoe UI"/>
          <w:bCs/>
          <w:color w:val="auto"/>
          <w:sz w:val="20"/>
        </w:rPr>
        <w:t xml:space="preserve"> pitné vody pro veřejnost</w:t>
      </w:r>
      <w:r w:rsidR="0072639A" w:rsidRPr="00431F2E">
        <w:rPr>
          <w:rFonts w:ascii="Segoe UI" w:hAnsi="Segoe UI" w:cs="Segoe UI"/>
          <w:bCs/>
          <w:color w:val="auto"/>
          <w:sz w:val="20"/>
        </w:rPr>
        <w:t>,</w:t>
      </w:r>
      <w:r w:rsidR="00431F2E" w:rsidRPr="00431F2E">
        <w:rPr>
          <w:rFonts w:ascii="Segoe UI" w:hAnsi="Segoe UI" w:cs="Segoe UI"/>
          <w:bCs/>
          <w:color w:val="auto"/>
          <w:sz w:val="20"/>
        </w:rPr>
        <w:t xml:space="preserve"> přičemž v případě negativních výsledků průzkumných prací bude projekt ukončen ve fázi průzkumu a vrt bude odborně zlikvidován,</w:t>
      </w:r>
    </w:p>
    <w:p w14:paraId="645DF35C" w14:textId="77777777"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14:paraId="034DEA65" w14:textId="77777777"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5F25E5CD" w14:textId="77777777"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4BEDE3C2" w14:textId="77777777"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14:paraId="004764BE" w14:textId="77777777"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4DF089A4" w14:textId="77777777"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14:paraId="1FDD3066" w14:textId="77777777"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14:paraId="0396766D" w14:textId="77777777"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14:paraId="3E49DE02" w14:textId="77777777"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873AD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C24529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a převzetí díla). Přitom se konstatuje, že akce b</w:t>
      </w:r>
      <w:r w:rsidR="00C24529">
        <w:rPr>
          <w:rFonts w:ascii="Segoe UI" w:hAnsi="Segoe UI" w:cs="Segoe UI"/>
          <w:color w:val="000000" w:themeColor="text1"/>
          <w:sz w:val="20"/>
        </w:rPr>
        <w:t>ude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45F3C">
        <w:rPr>
          <w:rFonts w:ascii="Segoe UI" w:hAnsi="Segoe UI" w:cs="Segoe UI"/>
          <w:color w:val="000000" w:themeColor="text1"/>
          <w:sz w:val="20"/>
        </w:rPr>
        <w:t>3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14:paraId="32D6C539" w14:textId="77777777"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873AD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873AD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14:paraId="7458F505" w14:textId="77777777"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13BCAE71" w14:textId="77777777"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14:paraId="487CCEA3" w14:textId="77777777"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14:paraId="771015C8" w14:textId="77777777" w:rsidR="00161E9E" w:rsidRPr="00F82841" w:rsidRDefault="006873AD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závěrečnou zprávu o realizaci vrtu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14:paraId="3F20A04E" w14:textId="77777777"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1B2938B" w14:textId="77777777"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14:paraId="1AD33914" w14:textId="77777777"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14:paraId="3441783A" w14:textId="77777777"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4EAE193E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080B4701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3AF9EEC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737087FE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F1E0752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7E0BABED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0CFACD1" w14:textId="77777777" w:rsidR="007E7BD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5A25A25E" w14:textId="77777777" w:rsidR="00431F2E" w:rsidRPr="00F82841" w:rsidRDefault="00431F2E" w:rsidP="00431F2E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14:paraId="70D2E52F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65AF31A2" w14:textId="77777777"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0D1013E8" w14:textId="77777777"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14:paraId="3CD86F04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5627CE15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5019EF78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0E04A165" w14:textId="77777777"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14:paraId="62B04827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1FCCDD4E" w14:textId="77777777"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152CAB6" w14:textId="77777777"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303765A2" w14:textId="77777777"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5842D68F" w14:textId="77777777"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14:paraId="172E1C92" w14:textId="77777777"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5F0AC0BD" w14:textId="77777777"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3A90F93D" w14:textId="77777777"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66B6662F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14:paraId="7E7B0EC8" w14:textId="77777777"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14:paraId="51F31C92" w14:textId="77777777"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69BE813" w14:textId="77777777"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56231557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AF68EF0" w14:textId="77777777"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14:paraId="7FD648FA" w14:textId="77777777" w:rsidR="006873AD" w:rsidRDefault="006873AD" w:rsidP="006873AD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14:paraId="5ABA9D13" w14:textId="77777777" w:rsidR="006873AD" w:rsidRPr="00F82841" w:rsidRDefault="006873AD" w:rsidP="006873AD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14:paraId="4428BE4A" w14:textId="77777777"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14:paraId="6A18F54C" w14:textId="77777777"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14:paraId="5A874B56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14:paraId="1361FD35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14:paraId="313BA15D" w14:textId="77777777"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14:paraId="57AA2EB9" w14:textId="77777777"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36CF430D" w14:textId="77777777"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484C2D61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2D75AC0B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1655F89E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7B2F77F9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14:paraId="671A7C99" w14:textId="77777777"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7E2ADE35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14:paraId="4D9B9548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4BAD913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F2699A6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14:paraId="36E156CA" w14:textId="77777777"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7DCB42FE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14:paraId="79D612A4" w14:textId="77777777"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14:paraId="24960DE6" w14:textId="77777777"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2B9FEED2" w14:textId="77777777"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3199C5F5" w14:textId="77777777"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734C0F68" w14:textId="77777777"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104A" w14:textId="77777777" w:rsidR="00C355BE" w:rsidRDefault="00C355BE">
      <w:r>
        <w:separator/>
      </w:r>
    </w:p>
  </w:endnote>
  <w:endnote w:type="continuationSeparator" w:id="0">
    <w:p w14:paraId="21E03519" w14:textId="77777777" w:rsidR="00C355BE" w:rsidRDefault="00C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96AA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C62DE1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7244E67B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DE">
          <w:rPr>
            <w:noProof/>
          </w:rPr>
          <w:t>7</w:t>
        </w:r>
        <w:r>
          <w:fldChar w:fldCharType="end"/>
        </w:r>
      </w:p>
    </w:sdtContent>
  </w:sdt>
  <w:p w14:paraId="584B013B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1DBC8FA3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DE">
          <w:rPr>
            <w:noProof/>
          </w:rPr>
          <w:t>1</w:t>
        </w:r>
        <w:r>
          <w:fldChar w:fldCharType="end"/>
        </w:r>
      </w:p>
    </w:sdtContent>
  </w:sdt>
  <w:p w14:paraId="65DF19A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D65E" w14:textId="77777777" w:rsidR="00C355BE" w:rsidRDefault="00C355BE">
      <w:r>
        <w:separator/>
      </w:r>
    </w:p>
  </w:footnote>
  <w:footnote w:type="continuationSeparator" w:id="0">
    <w:p w14:paraId="6B8AE344" w14:textId="77777777" w:rsidR="00C355BE" w:rsidRDefault="00C3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C733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880824465">
    <w:abstractNumId w:val="11"/>
  </w:num>
  <w:num w:numId="2" w16cid:durableId="1310747141">
    <w:abstractNumId w:val="18"/>
  </w:num>
  <w:num w:numId="3" w16cid:durableId="567879591">
    <w:abstractNumId w:val="14"/>
  </w:num>
  <w:num w:numId="4" w16cid:durableId="1906866219">
    <w:abstractNumId w:val="9"/>
  </w:num>
  <w:num w:numId="5" w16cid:durableId="580875698">
    <w:abstractNumId w:val="13"/>
  </w:num>
  <w:num w:numId="6" w16cid:durableId="861283551">
    <w:abstractNumId w:val="1"/>
  </w:num>
  <w:num w:numId="7" w16cid:durableId="438523818">
    <w:abstractNumId w:val="15"/>
  </w:num>
  <w:num w:numId="8" w16cid:durableId="402684468">
    <w:abstractNumId w:val="16"/>
  </w:num>
  <w:num w:numId="9" w16cid:durableId="236940231">
    <w:abstractNumId w:val="8"/>
  </w:num>
  <w:num w:numId="10" w16cid:durableId="1648587204">
    <w:abstractNumId w:val="2"/>
  </w:num>
  <w:num w:numId="11" w16cid:durableId="1038774581">
    <w:abstractNumId w:val="12"/>
  </w:num>
  <w:num w:numId="12" w16cid:durableId="2039771381">
    <w:abstractNumId w:val="3"/>
  </w:num>
  <w:num w:numId="13" w16cid:durableId="192574726">
    <w:abstractNumId w:val="0"/>
  </w:num>
  <w:num w:numId="14" w16cid:durableId="1944533629">
    <w:abstractNumId w:val="10"/>
  </w:num>
  <w:num w:numId="15" w16cid:durableId="403113619">
    <w:abstractNumId w:val="6"/>
  </w:num>
  <w:num w:numId="16" w16cid:durableId="159741236">
    <w:abstractNumId w:val="5"/>
  </w:num>
  <w:num w:numId="17" w16cid:durableId="152183570">
    <w:abstractNumId w:val="19"/>
  </w:num>
  <w:num w:numId="18" w16cid:durableId="338968032">
    <w:abstractNumId w:val="7"/>
  </w:num>
  <w:num w:numId="19" w16cid:durableId="1165630636">
    <w:abstractNumId w:val="4"/>
  </w:num>
  <w:num w:numId="20" w16cid:durableId="1147472041">
    <w:abstractNumId w:val="10"/>
  </w:num>
  <w:num w:numId="21" w16cid:durableId="13122472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2794806">
    <w:abstractNumId w:val="17"/>
  </w:num>
  <w:num w:numId="23" w16cid:durableId="514348579">
    <w:abstractNumId w:val="11"/>
  </w:num>
  <w:num w:numId="24" w16cid:durableId="50347492">
    <w:abstractNumId w:val="10"/>
  </w:num>
  <w:num w:numId="25" w16cid:durableId="120077086">
    <w:abstractNumId w:val="11"/>
  </w:num>
  <w:num w:numId="26" w16cid:durableId="203661585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4451"/>
    <w:rsid w:val="00026DF4"/>
    <w:rsid w:val="00027A9F"/>
    <w:rsid w:val="00030FEC"/>
    <w:rsid w:val="000311C5"/>
    <w:rsid w:val="0003141B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1575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45F3C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1F2E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2B3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3AD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4859"/>
    <w:rsid w:val="007D5EF3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04E5"/>
    <w:rsid w:val="00A3347F"/>
    <w:rsid w:val="00A356A8"/>
    <w:rsid w:val="00A360DE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0D77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355BE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24D76"/>
    <w:rsid w:val="00D32112"/>
    <w:rsid w:val="00D333D5"/>
    <w:rsid w:val="00D36AFE"/>
    <w:rsid w:val="00D3719D"/>
    <w:rsid w:val="00D37CA6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E6BA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05A6-FFC0-4A93-BB01-CEF159BB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2823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19239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2023-12-01T12:41:00Z</cp:lastPrinted>
  <dcterms:created xsi:type="dcterms:W3CDTF">2023-12-14T12:20:00Z</dcterms:created>
  <dcterms:modified xsi:type="dcterms:W3CDTF">2023-12-14T12:20:00Z</dcterms:modified>
</cp:coreProperties>
</file>