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21FE9FA1" w:rsidR="00D859C2" w:rsidRPr="00726B26" w:rsidRDefault="00DA6319" w:rsidP="00D859C2">
      <w:pPr>
        <w:rPr>
          <w:b/>
        </w:rPr>
      </w:pPr>
      <w:r>
        <w:rPr>
          <w:b/>
        </w:rPr>
        <w:t>medisap,s.r.o.</w:t>
      </w:r>
    </w:p>
    <w:p w14:paraId="3DADA2B1" w14:textId="6EF1F560" w:rsidR="00D859C2" w:rsidRDefault="00D859C2" w:rsidP="00D859C2">
      <w:r>
        <w:t xml:space="preserve">IČ: </w:t>
      </w:r>
      <w:r w:rsidR="00DA6319">
        <w:tab/>
      </w:r>
      <w:r w:rsidR="00DA6319">
        <w:tab/>
        <w:t>48029360</w:t>
      </w:r>
    </w:p>
    <w:p w14:paraId="494735B8" w14:textId="3922A791" w:rsidR="00D859C2" w:rsidRPr="00512AB9" w:rsidRDefault="00D859C2" w:rsidP="00D859C2">
      <w:r>
        <w:t xml:space="preserve">DIČ: </w:t>
      </w:r>
      <w:r w:rsidR="00DA6319">
        <w:tab/>
      </w:r>
      <w:r w:rsidR="00DA6319">
        <w:tab/>
        <w:t>CZ48029360</w:t>
      </w:r>
    </w:p>
    <w:p w14:paraId="4BE4B061" w14:textId="2981DAA4" w:rsidR="00D859C2" w:rsidRPr="00512AB9" w:rsidRDefault="00D859C2" w:rsidP="00D859C2">
      <w:r>
        <w:t>se sídlem</w:t>
      </w:r>
      <w:r w:rsidRPr="00512AB9">
        <w:t xml:space="preserve">:  </w:t>
      </w:r>
      <w:r w:rsidR="00DA6319">
        <w:tab/>
        <w:t>Na rovnosti 2244/5, 130 00 Praha 3</w:t>
      </w:r>
    </w:p>
    <w:p w14:paraId="1F4F5F98" w14:textId="143DFF8F" w:rsidR="00D859C2" w:rsidRPr="00512AB9" w:rsidRDefault="00D859C2" w:rsidP="00D859C2">
      <w:r>
        <w:t>zastoupena</w:t>
      </w:r>
      <w:r w:rsidRPr="00512AB9">
        <w:t xml:space="preserve">: </w:t>
      </w:r>
      <w:r w:rsidR="00DA6319">
        <w:tab/>
        <w:t>Ing. Milanem Šamánkem, jednatelem společnosti</w:t>
      </w:r>
    </w:p>
    <w:p w14:paraId="43130257" w14:textId="34EE9A49" w:rsidR="00D859C2" w:rsidRPr="00512AB9" w:rsidRDefault="00D859C2" w:rsidP="00D859C2">
      <w:r w:rsidRPr="00512AB9">
        <w:t xml:space="preserve">bankovní spojení: </w:t>
      </w:r>
      <w:r w:rsidR="00DA6319">
        <w:t>Česk</w:t>
      </w:r>
      <w:r w:rsidR="009238A7">
        <w:t xml:space="preserve">oslovenská obchodní banka, </w:t>
      </w:r>
      <w:r w:rsidR="00DA6319">
        <w:t>a.s.</w:t>
      </w:r>
    </w:p>
    <w:p w14:paraId="4B4D9F51" w14:textId="6506BA2C" w:rsidR="00D859C2" w:rsidRPr="00512AB9" w:rsidRDefault="00D859C2" w:rsidP="00D859C2">
      <w:r w:rsidRPr="00512AB9">
        <w:t xml:space="preserve">číslo účtu: </w:t>
      </w:r>
      <w:r w:rsidR="00DA6319">
        <w:tab/>
      </w:r>
      <w:bookmarkStart w:id="0" w:name="_Hlk148019844"/>
      <w:r w:rsidR="009238A7" w:rsidRPr="009238A7">
        <w:t>270908369/0300</w:t>
      </w:r>
      <w:bookmarkEnd w:id="0"/>
    </w:p>
    <w:p w14:paraId="7BE5CCD9" w14:textId="35B60F8D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DA6319">
        <w:t xml:space="preserve">Městským </w:t>
      </w:r>
      <w:r w:rsidRPr="00652864">
        <w:t>soudem v</w:t>
      </w:r>
      <w:r w:rsidR="00DA6319">
        <w:t> Praze,</w:t>
      </w:r>
      <w:r w:rsidRPr="00652864">
        <w:t xml:space="preserve"> oddíl </w:t>
      </w:r>
      <w:r w:rsidR="00DA6319">
        <w:t>C</w:t>
      </w:r>
      <w:r w:rsidRPr="00652864">
        <w:t xml:space="preserve">, vložka </w:t>
      </w:r>
      <w:r w:rsidR="00DA6319">
        <w:t>14601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6A1FEE06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C71C6C" w:rsidRPr="00C71C6C">
        <w:rPr>
          <w:rFonts w:eastAsia="Arial"/>
          <w:b/>
        </w:rPr>
        <w:t>Anesteziologický přístroj</w:t>
      </w:r>
      <w:r w:rsidR="719E714E" w:rsidRPr="38690F1A">
        <w:rPr>
          <w:rFonts w:eastAsia="Arial"/>
        </w:rPr>
        <w:t>“</w:t>
      </w:r>
      <w:r>
        <w:t>,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6B1EBC11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EB210A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Pr="00B61C8D" w:rsidRDefault="00BA5EEC" w:rsidP="00BA5EEC">
      <w:pPr>
        <w:pStyle w:val="Odstavecsmlouvy"/>
        <w:numPr>
          <w:ilvl w:val="1"/>
          <w:numId w:val="2"/>
        </w:numPr>
        <w:rPr>
          <w:color w:val="000000" w:themeColor="text1"/>
        </w:rPr>
      </w:pPr>
      <w:r w:rsidRPr="00B61C8D">
        <w:rPr>
          <w:color w:val="000000" w:themeColor="text1"/>
        </w:rPr>
        <w:t xml:space="preserve">Prodávající je povinen do 2 týdnů od převzetí Zboží Kupujícím provést zaškolení, tj. instruktáž uživatele </w:t>
      </w:r>
      <w:r w:rsidR="00994805" w:rsidRPr="00B61C8D">
        <w:rPr>
          <w:color w:val="000000" w:themeColor="text1"/>
        </w:rPr>
        <w:t xml:space="preserve">dle § 41 </w:t>
      </w:r>
      <w:r w:rsidR="001E2240" w:rsidRPr="00B61C8D">
        <w:rPr>
          <w:color w:val="000000" w:themeColor="text1"/>
        </w:rPr>
        <w:t>zákona č. 375/2022 Sb., o zdravotnických prostředcích a diagnostických zdravotnických prostředcích in vitro, ve znění pozdějších předpisů (dále jen „</w:t>
      </w:r>
      <w:r w:rsidR="001E2240" w:rsidRPr="00B61C8D">
        <w:rPr>
          <w:b/>
          <w:color w:val="000000" w:themeColor="text1"/>
        </w:rPr>
        <w:t>ZoZP</w:t>
      </w:r>
      <w:r w:rsidR="001E2240" w:rsidRPr="00B61C8D">
        <w:rPr>
          <w:color w:val="000000" w:themeColor="text1"/>
        </w:rPr>
        <w:t>“),</w:t>
      </w:r>
      <w:r w:rsidR="00994805" w:rsidRPr="00B61C8D">
        <w:rPr>
          <w:color w:val="000000" w:themeColor="text1"/>
        </w:rPr>
        <w:t xml:space="preserve"> </w:t>
      </w:r>
      <w:r w:rsidRPr="00B61C8D">
        <w:rPr>
          <w:color w:val="000000" w:themeColor="text1"/>
        </w:rPr>
        <w:t xml:space="preserve">na pracovišti Kupujícího k obsluze Zboží dle </w:t>
      </w:r>
      <w:r w:rsidR="009A7E08" w:rsidRPr="00B61C8D">
        <w:rPr>
          <w:color w:val="000000" w:themeColor="text1"/>
        </w:rPr>
        <w:t>platných právních předpisů</w:t>
      </w:r>
      <w:r w:rsidRPr="00B61C8D">
        <w:rPr>
          <w:color w:val="000000" w:themeColor="text1"/>
        </w:rPr>
        <w:t>, včetně doložení pověření školitele výrobcem nebo zplnomocněným zástupcem, a to alespoň v rozsahu nezbytném pro řádnou obsluhu Zboží (dále též jen „</w:t>
      </w:r>
      <w:r w:rsidRPr="00B61C8D">
        <w:rPr>
          <w:b/>
          <w:color w:val="000000" w:themeColor="text1"/>
        </w:rPr>
        <w:t>Instruktáž</w:t>
      </w:r>
      <w:r w:rsidRPr="00B61C8D">
        <w:rPr>
          <w:color w:val="000000" w:themeColor="text1"/>
        </w:rPr>
        <w:t xml:space="preserve">“). Plnění podle tohoto odstavce smlouvy je Prodávající povinen poskytnout </w:t>
      </w:r>
      <w:r w:rsidRPr="00B61C8D">
        <w:rPr>
          <w:b/>
          <w:color w:val="000000" w:themeColor="text1"/>
          <w:u w:val="single"/>
        </w:rPr>
        <w:t>bezplatně</w:t>
      </w:r>
      <w:r w:rsidRPr="00B61C8D">
        <w:rPr>
          <w:color w:val="000000" w:themeColor="text1"/>
        </w:rPr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B61C8D">
      <w:pPr>
        <w:pStyle w:val="Odstavecsmlouvy"/>
        <w:numPr>
          <w:ilvl w:val="0"/>
          <w:numId w:val="0"/>
        </w:numPr>
        <w:ind w:left="567" w:hanging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65A98FD2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A31F8B">
        <w:t>1</w:t>
      </w:r>
      <w:r w:rsidR="002F4F30" w:rsidRPr="00D859C2">
        <w:t xml:space="preserve"> ks </w:t>
      </w:r>
      <w:r w:rsidR="00A31F8B">
        <w:t>Anesteziologického přístroje</w:t>
      </w:r>
      <w:r w:rsidR="008645D8" w:rsidRPr="00D859C2">
        <w:rPr>
          <w:b/>
        </w:rPr>
        <w:t xml:space="preserve">, typ: </w:t>
      </w:r>
      <w:r w:rsidR="00A31F8B">
        <w:rPr>
          <w:b/>
        </w:rPr>
        <w:t>Carestation,</w:t>
      </w:r>
      <w:r w:rsidR="004453FF" w:rsidRPr="00D859C2">
        <w:rPr>
          <w:b/>
        </w:rPr>
        <w:t xml:space="preserve"> výrobce </w:t>
      </w:r>
      <w:r w:rsidR="00A31F8B" w:rsidRPr="00A31F8B">
        <w:rPr>
          <w:b/>
        </w:rPr>
        <w:t>Datex-Ohmeda, Inc.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>v elektronické podobě na CD/DVD/USB flash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r w:rsidR="00994805" w:rsidRPr="00994805">
        <w:rPr>
          <w:b/>
        </w:rPr>
        <w:t>ZoTPV</w:t>
      </w:r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r w:rsidR="00994805">
        <w:t xml:space="preserve">ZoZP,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B61C8D" w:rsidRDefault="003A1056" w:rsidP="00D859C2">
      <w:pPr>
        <w:pStyle w:val="Zkladntext3"/>
        <w:spacing w:line="240" w:lineRule="auto"/>
        <w:ind w:left="567"/>
        <w:rPr>
          <w:color w:val="000000" w:themeColor="text1"/>
          <w:sz w:val="22"/>
          <w:szCs w:val="22"/>
        </w:rPr>
      </w:pPr>
    </w:p>
    <w:p w14:paraId="75136A6A" w14:textId="71B7526D" w:rsidR="003F7B02" w:rsidRPr="00B61C8D" w:rsidRDefault="003A1056" w:rsidP="38690F1A">
      <w:pPr>
        <w:pStyle w:val="Odstavecsmlouvy"/>
        <w:rPr>
          <w:color w:val="000000" w:themeColor="text1"/>
        </w:rPr>
      </w:pPr>
      <w:r w:rsidRPr="00B61C8D">
        <w:rPr>
          <w:color w:val="000000" w:themeColor="text1"/>
        </w:rPr>
        <w:t xml:space="preserve">Prodávající se zavazuje dodat </w:t>
      </w:r>
      <w:r w:rsidR="003F7B02" w:rsidRPr="00B61C8D">
        <w:rPr>
          <w:color w:val="000000" w:themeColor="text1"/>
        </w:rPr>
        <w:t xml:space="preserve">Zboží </w:t>
      </w:r>
      <w:r w:rsidR="009A3D16" w:rsidRPr="00B61C8D">
        <w:rPr>
          <w:color w:val="000000" w:themeColor="text1"/>
        </w:rPr>
        <w:t xml:space="preserve">a veškeré doklady, které se ke Zboží vztahují, </w:t>
      </w:r>
      <w:r w:rsidRPr="00B61C8D">
        <w:rPr>
          <w:color w:val="000000" w:themeColor="text1"/>
        </w:rPr>
        <w:t>Kupujícímu</w:t>
      </w:r>
      <w:r w:rsidR="003F7B02" w:rsidRPr="00B61C8D">
        <w:rPr>
          <w:color w:val="000000" w:themeColor="text1"/>
        </w:rPr>
        <w:t xml:space="preserve"> nejpozději </w:t>
      </w:r>
      <w:r w:rsidR="00B61C8D" w:rsidRPr="00B61C8D">
        <w:rPr>
          <w:rFonts w:eastAsia="Arial"/>
          <w:b/>
          <w:bCs/>
          <w:color w:val="000000" w:themeColor="text1"/>
        </w:rPr>
        <w:t>do 6 týdnů</w:t>
      </w:r>
      <w:r w:rsidRPr="00B61C8D">
        <w:rPr>
          <w:color w:val="000000" w:themeColor="text1"/>
        </w:rPr>
        <w:t xml:space="preserve"> </w:t>
      </w:r>
      <w:r w:rsidR="003F7B02" w:rsidRPr="00B61C8D">
        <w:rPr>
          <w:color w:val="000000" w:themeColor="text1"/>
        </w:rPr>
        <w:t xml:space="preserve">ode dne </w:t>
      </w:r>
      <w:r w:rsidR="00D071E8" w:rsidRPr="00B61C8D">
        <w:rPr>
          <w:color w:val="000000" w:themeColor="text1"/>
        </w:rPr>
        <w:t xml:space="preserve">nabytí účinnosti </w:t>
      </w:r>
      <w:r w:rsidR="003F7B02" w:rsidRPr="00B61C8D">
        <w:rPr>
          <w:color w:val="000000" w:themeColor="text1"/>
        </w:rPr>
        <w:t xml:space="preserve">této </w:t>
      </w:r>
      <w:r w:rsidR="00250E90" w:rsidRPr="00B61C8D">
        <w:rPr>
          <w:color w:val="000000" w:themeColor="text1"/>
        </w:rPr>
        <w:t>smlouvy a Kupující se zavazuje dodané Zboží převzít.</w:t>
      </w:r>
      <w:r w:rsidR="19907203" w:rsidRPr="00B61C8D">
        <w:rPr>
          <w:color w:val="000000" w:themeColor="text1"/>
        </w:rPr>
        <w:t xml:space="preserve"> Současně, </w:t>
      </w:r>
      <w:r w:rsidR="19907203" w:rsidRPr="00B61C8D">
        <w:rPr>
          <w:b/>
          <w:bCs/>
          <w:color w:val="000000" w:themeColor="text1"/>
        </w:rPr>
        <w:t>5 dnů před plánovaným předáním, je prodávající povinen zaslat na uvedený e-mail vyplněnou Importní tabulku</w:t>
      </w:r>
      <w:r w:rsidR="19907203" w:rsidRPr="00B61C8D">
        <w:rPr>
          <w:color w:val="000000" w:themeColor="text1"/>
        </w:rPr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48BFA510" w:rsidR="00BE2371" w:rsidRPr="00B61C8D" w:rsidRDefault="003F7B02" w:rsidP="00B61C8D">
      <w:pPr>
        <w:pStyle w:val="Odstavecsmlouvy"/>
        <w:rPr>
          <w:color w:val="000000" w:themeColor="text1"/>
        </w:rPr>
      </w:pPr>
      <w:r w:rsidRPr="00B61C8D">
        <w:rPr>
          <w:color w:val="000000" w:themeColor="text1"/>
        </w:rPr>
        <w:t xml:space="preserve">Místem dodání Zboží </w:t>
      </w:r>
      <w:r w:rsidR="00D50BBE" w:rsidRPr="00B61C8D">
        <w:rPr>
          <w:color w:val="000000" w:themeColor="text1"/>
        </w:rPr>
        <w:t xml:space="preserve">je </w:t>
      </w:r>
      <w:r w:rsidR="001F106D" w:rsidRPr="00B61C8D">
        <w:rPr>
          <w:color w:val="000000" w:themeColor="text1"/>
        </w:rPr>
        <w:t>Klinika dětské anesteziologie a resuscitace, Fakultní ne</w:t>
      </w:r>
      <w:r w:rsidR="00B61C8D" w:rsidRPr="00B61C8D">
        <w:rPr>
          <w:color w:val="000000" w:themeColor="text1"/>
        </w:rPr>
        <w:t>mocnice Brno – Dětská nemocnice, Černopolní 9, Brno, 613 00</w:t>
      </w:r>
    </w:p>
    <w:p w14:paraId="75136A6D" w14:textId="77777777" w:rsidR="00BE2371" w:rsidRPr="00085CEA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color w:val="FF0000"/>
          <w:sz w:val="22"/>
          <w:szCs w:val="22"/>
        </w:rPr>
      </w:pPr>
    </w:p>
    <w:p w14:paraId="75136A6F" w14:textId="6EE086C7" w:rsidR="00D82704" w:rsidRPr="00B61C8D" w:rsidRDefault="009A3D16" w:rsidP="001F106D">
      <w:pPr>
        <w:pStyle w:val="Odstavecsmlouvy"/>
        <w:rPr>
          <w:color w:val="000000" w:themeColor="text1"/>
        </w:rPr>
      </w:pPr>
      <w:r w:rsidRPr="00B61C8D">
        <w:rPr>
          <w:color w:val="000000" w:themeColor="text1"/>
        </w:rPr>
        <w:t xml:space="preserve">Prodávající se zavazuje oznámit </w:t>
      </w:r>
      <w:r w:rsidR="00560C16" w:rsidRPr="00B61C8D">
        <w:rPr>
          <w:color w:val="000000" w:themeColor="text1"/>
        </w:rPr>
        <w:t xml:space="preserve">Kupujícímu </w:t>
      </w:r>
      <w:r w:rsidRPr="00B61C8D">
        <w:rPr>
          <w:color w:val="000000" w:themeColor="text1"/>
        </w:rPr>
        <w:t xml:space="preserve">konkrétní termín dodání Zboží </w:t>
      </w:r>
      <w:r w:rsidR="00FB373A" w:rsidRPr="00B61C8D">
        <w:rPr>
          <w:color w:val="000000" w:themeColor="text1"/>
        </w:rPr>
        <w:t>pět</w:t>
      </w:r>
      <w:r w:rsidRPr="00B61C8D">
        <w:rPr>
          <w:color w:val="000000" w:themeColor="text1"/>
        </w:rPr>
        <w:t xml:space="preserve"> pracovní</w:t>
      </w:r>
      <w:r w:rsidR="00FB373A" w:rsidRPr="00B61C8D">
        <w:rPr>
          <w:color w:val="000000" w:themeColor="text1"/>
        </w:rPr>
        <w:t>ch dnů</w:t>
      </w:r>
      <w:r w:rsidRPr="00B61C8D">
        <w:rPr>
          <w:color w:val="000000" w:themeColor="text1"/>
        </w:rPr>
        <w:t xml:space="preserve"> před plánovaným termínem </w:t>
      </w:r>
      <w:r w:rsidR="00735D41" w:rsidRPr="00B61C8D">
        <w:rPr>
          <w:color w:val="000000" w:themeColor="text1"/>
        </w:rPr>
        <w:t xml:space="preserve">dodání </w:t>
      </w:r>
      <w:r w:rsidRPr="00B61C8D">
        <w:rPr>
          <w:color w:val="000000" w:themeColor="text1"/>
        </w:rPr>
        <w:t xml:space="preserve">na </w:t>
      </w:r>
      <w:r w:rsidR="00B41494" w:rsidRPr="00B61C8D">
        <w:rPr>
          <w:color w:val="000000" w:themeColor="text1"/>
        </w:rPr>
        <w:t>o</w:t>
      </w:r>
      <w:r w:rsidR="002F4EDA" w:rsidRPr="00B61C8D">
        <w:rPr>
          <w:color w:val="000000" w:themeColor="text1"/>
        </w:rPr>
        <w:t>bchodní oddělení</w:t>
      </w:r>
      <w:r w:rsidRPr="00B61C8D">
        <w:rPr>
          <w:color w:val="000000" w:themeColor="text1"/>
        </w:rPr>
        <w:t xml:space="preserve"> </w:t>
      </w:r>
      <w:r w:rsidR="00560C16" w:rsidRPr="00B61C8D">
        <w:rPr>
          <w:color w:val="000000" w:themeColor="text1"/>
        </w:rPr>
        <w:t>FN Brno</w:t>
      </w:r>
      <w:r w:rsidR="00B41494" w:rsidRPr="00B61C8D">
        <w:rPr>
          <w:color w:val="000000" w:themeColor="text1"/>
        </w:rPr>
        <w:t xml:space="preserve"> paní</w:t>
      </w:r>
      <w:r w:rsidR="36698B26" w:rsidRPr="00B61C8D">
        <w:rPr>
          <w:color w:val="000000" w:themeColor="text1"/>
        </w:rPr>
        <w:t xml:space="preserve"> </w:t>
      </w:r>
      <w:r w:rsidR="00A73F35">
        <w:rPr>
          <w:rFonts w:eastAsia="Arial"/>
          <w:bCs/>
          <w:color w:val="000000" w:themeColor="text1"/>
        </w:rPr>
        <w:t>XXX</w:t>
      </w:r>
      <w:r w:rsidR="00DE3A3F" w:rsidRPr="00B61C8D">
        <w:rPr>
          <w:color w:val="000000" w:themeColor="text1"/>
        </w:rPr>
        <w:t xml:space="preserve">, tel.: </w:t>
      </w:r>
      <w:r w:rsidR="00A73F35">
        <w:rPr>
          <w:color w:val="000000" w:themeColor="text1"/>
        </w:rPr>
        <w:t>XXX</w:t>
      </w:r>
      <w:r w:rsidR="001F106D" w:rsidRPr="00B61C8D">
        <w:rPr>
          <w:color w:val="000000" w:themeColor="text1"/>
        </w:rPr>
        <w:t xml:space="preserve"> a písemně na e-mail: </w:t>
      </w:r>
      <w:r w:rsidR="00A73F35">
        <w:rPr>
          <w:color w:val="000000" w:themeColor="text1"/>
        </w:rPr>
        <w:t>XXX</w:t>
      </w:r>
      <w:r w:rsidRPr="00B61C8D">
        <w:rPr>
          <w:color w:val="000000" w:themeColor="text1"/>
        </w:rPr>
        <w:t>. Bez tohoto oznámení není Kupující povinen Zboží převzít.</w:t>
      </w:r>
      <w:r w:rsidR="00B91037" w:rsidRPr="00B61C8D">
        <w:rPr>
          <w:color w:val="000000" w:themeColor="text1"/>
        </w:rPr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workflow),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ZoZP</w:t>
      </w:r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r w:rsidR="00094B12">
        <w:t>ZoZP</w:t>
      </w:r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1" w:name="_Ref31278541"/>
      <w:r>
        <w:t>Montáž</w:t>
      </w:r>
      <w:bookmarkEnd w:id="1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</w:t>
      </w:r>
      <w:r>
        <w:lastRenderedPageBreak/>
        <w:t>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6"/>
        <w:gridCol w:w="3807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22AC2FBE" w:rsidR="00D859C2" w:rsidRPr="005B49AA" w:rsidRDefault="001D039F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38A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255.000,-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417028C6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1D039F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00C13733" w:rsidR="00D859C2" w:rsidRPr="005B49AA" w:rsidRDefault="009238A7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D039F">
              <w:rPr>
                <w:b/>
                <w:sz w:val="22"/>
                <w:szCs w:val="22"/>
              </w:rPr>
              <w:t xml:space="preserve">263.550,-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002A5009" w:rsidR="00D859C2" w:rsidRPr="005B49AA" w:rsidRDefault="001D039F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38A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518.550,-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</w:t>
      </w:r>
      <w:r w:rsidRPr="00D859C2">
        <w:rPr>
          <w:color w:val="000000"/>
        </w:rPr>
        <w:lastRenderedPageBreak/>
        <w:t>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r w:rsidR="00994805">
        <w:t>ZoZP, MDR, IVDR a ZoTPV</w:t>
      </w:r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</w:t>
      </w:r>
      <w:r w:rsidRPr="00D859C2">
        <w:lastRenderedPageBreak/>
        <w:t xml:space="preserve">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> Kč (slovy: padesáttisíc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4A4F42D6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EB210A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>1 000,- Kč (slovy: jedentisíc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3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4" w:name="_Ref41464712"/>
      <w:bookmarkStart w:id="5" w:name="_Ref30156764"/>
      <w:r>
        <w:lastRenderedPageBreak/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lastRenderedPageBreak/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2E03C3C3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="00085CEA">
        <w:rPr>
          <w:snapToGrid w:val="0"/>
        </w:rPr>
        <w:t xml:space="preserve"> je </w:t>
      </w:r>
      <w:r w:rsidR="00085CEA" w:rsidRPr="00B61C8D">
        <w:rPr>
          <w:snapToGrid w:val="0"/>
          <w:color w:val="000000" w:themeColor="text1"/>
        </w:rPr>
        <w:t xml:space="preserve">sepsána ve dvou </w:t>
      </w:r>
      <w:r w:rsidRPr="00B61C8D">
        <w:rPr>
          <w:snapToGrid w:val="0"/>
          <w:color w:val="000000" w:themeColor="text1"/>
        </w:rPr>
        <w:t xml:space="preserve">vyhotoveních stejné </w:t>
      </w:r>
      <w:r w:rsidRPr="00684BFA">
        <w:rPr>
          <w:snapToGrid w:val="0"/>
        </w:rPr>
        <w:t xml:space="preserve">platnosti a závaznosti, přičemž </w:t>
      </w:r>
      <w:r>
        <w:rPr>
          <w:snapToGrid w:val="0"/>
        </w:rPr>
        <w:t>Prodávající obdrží jed</w:t>
      </w:r>
      <w:r w:rsidR="00085CEA">
        <w:rPr>
          <w:snapToGrid w:val="0"/>
        </w:rPr>
        <w:t xml:space="preserve">no vyhotovení a Kupující obdrží jedno </w:t>
      </w:r>
      <w:r>
        <w:rPr>
          <w:snapToGrid w:val="0"/>
        </w:rPr>
        <w:t xml:space="preserve">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0"/>
        <w:gridCol w:w="1000"/>
        <w:gridCol w:w="3795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5B7F418D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31F8B">
              <w:rPr>
                <w:sz w:val="22"/>
                <w:szCs w:val="22"/>
              </w:rPr>
              <w:t>Praze</w:t>
            </w:r>
            <w:r w:rsidRPr="001150C5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46EFA1E8" w:rsidR="00094B12" w:rsidRPr="001150C5" w:rsidRDefault="00A31F8B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Milan Šamánek</w:t>
            </w:r>
          </w:p>
          <w:p w14:paraId="17D23793" w14:textId="36370607" w:rsidR="00094B12" w:rsidRPr="00D722DC" w:rsidRDefault="00A31F8B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společnosti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52C63BE6" w:rsidR="00094B12" w:rsidRDefault="00094B12">
      <w:pPr>
        <w:spacing w:line="240" w:lineRule="auto"/>
        <w:jc w:val="left"/>
      </w:pPr>
    </w:p>
    <w:p w14:paraId="7B2C34FE" w14:textId="77777777" w:rsidR="00B61C8D" w:rsidRDefault="00B61C8D">
      <w:pPr>
        <w:spacing w:line="240" w:lineRule="auto"/>
        <w:jc w:val="left"/>
      </w:pPr>
    </w:p>
    <w:p w14:paraId="69FA00D6" w14:textId="77777777" w:rsidR="00B61C8D" w:rsidRDefault="00B61C8D">
      <w:pPr>
        <w:spacing w:line="240" w:lineRule="auto"/>
        <w:jc w:val="left"/>
      </w:pPr>
    </w:p>
    <w:p w14:paraId="36FF08A7" w14:textId="77777777" w:rsidR="00B61C8D" w:rsidRDefault="00B61C8D">
      <w:pPr>
        <w:spacing w:line="240" w:lineRule="auto"/>
        <w:jc w:val="left"/>
      </w:pPr>
    </w:p>
    <w:p w14:paraId="70FBD29F" w14:textId="77777777" w:rsidR="00B61C8D" w:rsidRDefault="00B61C8D">
      <w:pPr>
        <w:spacing w:line="240" w:lineRule="auto"/>
        <w:jc w:val="left"/>
      </w:pPr>
    </w:p>
    <w:p w14:paraId="07CC0371" w14:textId="77777777" w:rsidR="00B61C8D" w:rsidRDefault="00B61C8D">
      <w:pPr>
        <w:spacing w:line="240" w:lineRule="auto"/>
        <w:jc w:val="left"/>
      </w:pPr>
    </w:p>
    <w:p w14:paraId="38ACCC42" w14:textId="77777777" w:rsidR="00B61C8D" w:rsidRDefault="00B61C8D">
      <w:pPr>
        <w:spacing w:line="240" w:lineRule="auto"/>
        <w:jc w:val="left"/>
      </w:pPr>
    </w:p>
    <w:p w14:paraId="5824E162" w14:textId="77777777" w:rsidR="00B61C8D" w:rsidRDefault="00B61C8D">
      <w:pPr>
        <w:spacing w:line="240" w:lineRule="auto"/>
        <w:jc w:val="left"/>
      </w:pPr>
    </w:p>
    <w:p w14:paraId="19E74B8A" w14:textId="77777777" w:rsidR="00B61C8D" w:rsidRDefault="00B61C8D">
      <w:pPr>
        <w:spacing w:line="240" w:lineRule="auto"/>
        <w:jc w:val="left"/>
      </w:pPr>
    </w:p>
    <w:p w14:paraId="34D57D0B" w14:textId="77777777" w:rsidR="00B61C8D" w:rsidRDefault="00B61C8D">
      <w:pPr>
        <w:spacing w:line="240" w:lineRule="auto"/>
        <w:jc w:val="left"/>
      </w:pPr>
    </w:p>
    <w:p w14:paraId="5949A5ED" w14:textId="77777777" w:rsidR="00B61C8D" w:rsidRDefault="00B61C8D">
      <w:pPr>
        <w:spacing w:line="240" w:lineRule="auto"/>
        <w:jc w:val="left"/>
      </w:pPr>
    </w:p>
    <w:p w14:paraId="796F6929" w14:textId="42223198" w:rsidR="00B61C8D" w:rsidRPr="000729CF" w:rsidRDefault="00094B12" w:rsidP="00B61C8D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4626D337" w14:textId="77777777" w:rsidR="00D407FF" w:rsidRDefault="00D407FF" w:rsidP="00094B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1000"/>
        <w:gridCol w:w="3393"/>
        <w:gridCol w:w="1352"/>
      </w:tblGrid>
      <w:tr w:rsidR="00D407FF" w:rsidRPr="00D407FF" w14:paraId="4E5CA459" w14:textId="77777777" w:rsidTr="00824E0B">
        <w:trPr>
          <w:trHeight w:val="315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A9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2E63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30A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9D8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FF" w:rsidRPr="00D407FF" w14:paraId="71193820" w14:textId="77777777" w:rsidTr="00824E0B">
        <w:trPr>
          <w:trHeight w:val="300"/>
        </w:trPr>
        <w:tc>
          <w:tcPr>
            <w:tcW w:w="18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19CA8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Výběrové řízení:</w:t>
            </w:r>
          </w:p>
        </w:tc>
        <w:tc>
          <w:tcPr>
            <w:tcW w:w="31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F7BF2AA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VZMR</w:t>
            </w:r>
          </w:p>
        </w:tc>
      </w:tr>
      <w:tr w:rsidR="00D407FF" w:rsidRPr="00D407FF" w14:paraId="4425F8BB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8B11B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Číslo: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532AD0F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142/ 2023</w:t>
            </w:r>
          </w:p>
        </w:tc>
      </w:tr>
      <w:tr w:rsidR="00D407FF" w:rsidRPr="00D407FF" w14:paraId="16D5B890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C4076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Název: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E5DFD93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Anesteziologický přístroj</w:t>
            </w:r>
          </w:p>
        </w:tc>
      </w:tr>
      <w:tr w:rsidR="00D407FF" w:rsidRPr="00D407FF" w14:paraId="5D1AAEF5" w14:textId="77777777" w:rsidTr="00824E0B">
        <w:trPr>
          <w:trHeight w:val="315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161CB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Klinika: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B587F5C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 xml:space="preserve">KDAR - DN </w:t>
            </w:r>
          </w:p>
        </w:tc>
      </w:tr>
      <w:tr w:rsidR="00D407FF" w:rsidRPr="00D407FF" w14:paraId="09104D01" w14:textId="77777777" w:rsidTr="00824E0B">
        <w:trPr>
          <w:trHeight w:val="315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D23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0A7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3DA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CB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FF" w:rsidRPr="00D407FF" w14:paraId="0B3AA8CF" w14:textId="77777777" w:rsidTr="00824E0B">
        <w:trPr>
          <w:trHeight w:val="300"/>
        </w:trPr>
        <w:tc>
          <w:tcPr>
            <w:tcW w:w="18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66CEA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Dodavatel:</w:t>
            </w:r>
          </w:p>
        </w:tc>
        <w:tc>
          <w:tcPr>
            <w:tcW w:w="31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B81"/>
            <w:noWrap/>
            <w:vAlign w:val="bottom"/>
            <w:hideMark/>
          </w:tcPr>
          <w:p w14:paraId="70125B0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medisap, s.r.o.</w:t>
            </w:r>
          </w:p>
        </w:tc>
      </w:tr>
      <w:tr w:rsidR="00D407FF" w:rsidRPr="00D407FF" w14:paraId="396CD12E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6AC68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Výrobce: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B81"/>
            <w:noWrap/>
            <w:vAlign w:val="bottom"/>
            <w:hideMark/>
          </w:tcPr>
          <w:p w14:paraId="6F4EB46E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 xml:space="preserve">Datex-Ohmeda, Inc. /GE Medical Systems </w:t>
            </w:r>
          </w:p>
        </w:tc>
      </w:tr>
      <w:tr w:rsidR="00D407FF" w:rsidRPr="00D407FF" w14:paraId="19B42DC3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A196D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Výrobní model: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EFB81"/>
            <w:noWrap/>
            <w:vAlign w:val="bottom"/>
            <w:hideMark/>
          </w:tcPr>
          <w:p w14:paraId="3825B597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750; B155</w:t>
            </w:r>
          </w:p>
        </w:tc>
      </w:tr>
      <w:tr w:rsidR="00D407FF" w:rsidRPr="00D407FF" w14:paraId="4B99305D" w14:textId="77777777" w:rsidTr="00824E0B">
        <w:trPr>
          <w:trHeight w:val="36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4C456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Kód KZT</w:t>
            </w:r>
            <w:r w:rsidRPr="00D407FF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1</w:t>
            </w:r>
            <w:r w:rsidRPr="00D407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EFB81"/>
            <w:noWrap/>
            <w:vAlign w:val="bottom"/>
            <w:hideMark/>
          </w:tcPr>
          <w:p w14:paraId="790EE5F7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II.B</w:t>
            </w:r>
          </w:p>
        </w:tc>
      </w:tr>
      <w:tr w:rsidR="00D407FF" w:rsidRPr="00D407FF" w14:paraId="536737B6" w14:textId="77777777" w:rsidTr="00824E0B">
        <w:trPr>
          <w:trHeight w:val="315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E8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3F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3AE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DB7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FF" w:rsidRPr="00D407FF" w14:paraId="26C771E2" w14:textId="77777777" w:rsidTr="00D407FF">
        <w:trPr>
          <w:trHeight w:val="133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9D1200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Zadavatel upozorňuje, že v případě číselně vyjádřených technických parametrů je možné se od nich odchýlit o +/- 10 %, pokud nejsou blíže specifikovány, např. min., max., interval hodnot.</w:t>
            </w:r>
          </w:p>
        </w:tc>
      </w:tr>
      <w:tr w:rsidR="00D407FF" w:rsidRPr="00D407FF" w14:paraId="25F1C4AD" w14:textId="77777777" w:rsidTr="00824E0B">
        <w:trPr>
          <w:trHeight w:val="315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8C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782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8D0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B7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FF" w:rsidRPr="00D407FF" w14:paraId="55393156" w14:textId="77777777" w:rsidTr="00824E0B">
        <w:trPr>
          <w:trHeight w:val="915"/>
        </w:trPr>
        <w:tc>
          <w:tcPr>
            <w:tcW w:w="1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712ED46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Technická specifikace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257AC2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Vyhovuje (ano / ne)</w:t>
            </w: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E346A3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Poznámka dodavatele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E198CBF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Možnost ověření v nabídce</w:t>
            </w:r>
          </w:p>
        </w:tc>
      </w:tr>
      <w:tr w:rsidR="00D407FF" w:rsidRPr="00D407FF" w14:paraId="0E1E2364" w14:textId="77777777" w:rsidTr="00824E0B">
        <w:trPr>
          <w:trHeight w:val="600"/>
        </w:trPr>
        <w:tc>
          <w:tcPr>
            <w:tcW w:w="18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E2681B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Anesteziologický přístroj pro pacienty všech věkových skupin – novorozenci, děti a dospělí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64A27C8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5E5249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12BA3F6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6F7E8F60" w14:textId="77777777" w:rsidTr="00824E0B">
        <w:trPr>
          <w:trHeight w:val="12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5405AD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Připojení k centrálnímu rozvodu plynů s koncovkami MZ Liberec – vzduch, N2O, O2. Dále umožňuje i připojení k tlakovým lahvím a jejich umístění na přístroji.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0E8D33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EFB2C1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4D80D3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73194AC9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54F44C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Pojízdný podvozek, brzděná kolečka nebo centrální brzda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D0E0CD0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F0E59D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centrální brzda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34992B2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1ECA0AD4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C56F62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Lišta pro upevnění min dvou odpařovačů anestetik s elektronickým snímáním průtoku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F2D4C9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7E03FA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2 odpařovače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0F7D59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4</w:t>
            </w:r>
          </w:p>
        </w:tc>
      </w:tr>
      <w:tr w:rsidR="00D407FF" w:rsidRPr="00D407FF" w14:paraId="03D174F3" w14:textId="77777777" w:rsidTr="00824E0B">
        <w:trPr>
          <w:trHeight w:val="15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80E1BF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Přístroj umožňuje pořizování elektronického zápisu o provedené anestezii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054A2D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9F8A59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možnost pořízení elektronického zápisu propojením datovým kabelem s nabízeným monitorem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42F6741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monitor str. 1</w:t>
            </w:r>
          </w:p>
        </w:tc>
      </w:tr>
      <w:tr w:rsidR="00D407FF" w:rsidRPr="00D407FF" w14:paraId="19D20DB6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5803DC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Elektronické snímání spotřeby plynů a anestetik a jejich zobrazení po každé anestézii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3CF01A3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77EBE3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licence ecoflow součást nabídky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453B1A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055592AB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A64B6A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lastRenderedPageBreak/>
              <w:t>Aktuální zobrazení nákladů použitého anestetika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4BF7BE7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101545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licence ecoflow součást nabídky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5B0C639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2</w:t>
            </w:r>
          </w:p>
        </w:tc>
      </w:tr>
      <w:tr w:rsidR="00D407FF" w:rsidRPr="00D407FF" w14:paraId="75B3EDA0" w14:textId="77777777" w:rsidTr="00824E0B">
        <w:trPr>
          <w:trHeight w:val="9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EE8526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Nastavení požadovaného procenta kyslíku v uzavřeném okruhu a kontinuální sledování průtoku v průběhu provozu.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1AF3B85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A8B5D4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elektronická ochrana před hypoxií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7F86E95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návod 11-11</w:t>
            </w:r>
          </w:p>
        </w:tc>
      </w:tr>
      <w:tr w:rsidR="00D407FF" w:rsidRPr="00D407FF" w14:paraId="5819DC7C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2B006B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Měření koncentrace kyslíku v inspirační větvi pacientského okruhu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5FF64FE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1D2201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min. 25% O2, garance hypoxické směsi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525041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4</w:t>
            </w:r>
          </w:p>
        </w:tc>
      </w:tr>
      <w:tr w:rsidR="00D407FF" w:rsidRPr="00D407FF" w14:paraId="4DD92E67" w14:textId="77777777" w:rsidTr="00824E0B">
        <w:trPr>
          <w:trHeight w:val="12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32C78D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Minimal-flow a low-flow anestézie s těsným pacientským okruhem se systémem odtahu přebytečných plynů a návratem vzorku plynu zpět do pacientského okruhu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C25546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F23F48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od 0,3l/min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71686AE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01F10CC5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FD5F83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Elektronické průtokoměry s kalibrací pro low-flow anestézii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EA024CD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0B0CFF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A2754E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7351CFCD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78395C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Průtok čerstvé směsi v rozsahu 0 až 15 l/min.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E165761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A22EB6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0-15l/min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18AE572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spec str. 6</w:t>
            </w:r>
          </w:p>
        </w:tc>
      </w:tr>
      <w:tr w:rsidR="00D407FF" w:rsidRPr="00D407FF" w14:paraId="5A444F78" w14:textId="77777777" w:rsidTr="00824E0B">
        <w:trPr>
          <w:trHeight w:val="9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49DCF8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Směšování čerstvých plynů pro O2, N2O a vzduchu vybaveno systémem zamezujícím vytvoření hypoxické směsi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52E4E38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C7BA9A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5F299BA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6</w:t>
            </w:r>
          </w:p>
        </w:tc>
      </w:tr>
      <w:tr w:rsidR="00D407FF" w:rsidRPr="00D407FF" w14:paraId="7046F619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9A9A29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Výstup kyslíku pro kyslíkové brýle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4BCF0EDC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179FAD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1F99F48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str.6</w:t>
            </w:r>
          </w:p>
        </w:tc>
      </w:tr>
      <w:tr w:rsidR="00D407FF" w:rsidRPr="00D407FF" w14:paraId="4A2836C2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D5BFE1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Výstup pro jednocestný dýchací okruh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D308110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48D43D9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114CCB8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6</w:t>
            </w:r>
          </w:p>
        </w:tc>
      </w:tr>
      <w:tr w:rsidR="00D407FF" w:rsidRPr="00D407FF" w14:paraId="58B4066C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3C985F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Integrovaná odsávačka pro odsávání sekretu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5255E9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5AAF5D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integrováno v přístroji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AA50B6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2-2</w:t>
            </w:r>
          </w:p>
        </w:tc>
      </w:tr>
      <w:tr w:rsidR="00D407FF" w:rsidRPr="00D407FF" w14:paraId="4915A2BA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D67556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Popis tlačítek, menu a alarmy v českém jazyce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044D132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B1A578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lokalizace ČJ včetně tlačítek, menu, alarmy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3C9C091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 xml:space="preserve">CS 750 návod </w:t>
            </w:r>
          </w:p>
        </w:tc>
      </w:tr>
      <w:tr w:rsidR="00D407FF" w:rsidRPr="00D407FF" w14:paraId="6C694066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E109E9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Integrovaný elektronický ventilátor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EA0418C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4FF710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elektronicky řízený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769FD2D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3</w:t>
            </w:r>
          </w:p>
        </w:tc>
      </w:tr>
      <w:tr w:rsidR="00D407FF" w:rsidRPr="00D407FF" w14:paraId="1B39F9FD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CD87A4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Automatický test po spuštění přístroje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7D79497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46C316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25B13B3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19</w:t>
            </w:r>
          </w:p>
        </w:tc>
      </w:tr>
      <w:tr w:rsidR="00D407FF" w:rsidRPr="00D407FF" w14:paraId="7356907C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A38113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Okamžité uvedení přístroje do provozu bez nutnosti testování v akutních případech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3F833B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3E4755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možnost obejití testu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3E76EC5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3-9</w:t>
            </w:r>
          </w:p>
        </w:tc>
      </w:tr>
      <w:tr w:rsidR="00D407FF" w:rsidRPr="00D407FF" w14:paraId="268F5FC5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AF1EA0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Přepínání ruční a řízené ventilace jedním úkonem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DAC91B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05F250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jeden úkon mechanickou páčkou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4D1B2CB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2-2</w:t>
            </w:r>
          </w:p>
        </w:tc>
      </w:tr>
      <w:tr w:rsidR="00D407FF" w:rsidRPr="00D407FF" w14:paraId="4F694926" w14:textId="77777777" w:rsidTr="00824E0B">
        <w:trPr>
          <w:trHeight w:val="9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559C2A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Ovládání ventilátoru pomocí dotykového displeje s uhlopříčkou min. 15“ a ovládacími prvky na čelní straně přístroje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F8CB84A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486B6E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15" s ovládacími prvky na čelní straně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F2311A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55DCF7F5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5281EF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F3862EA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137708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76E54D8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</w:tr>
      <w:tr w:rsidR="00D407FF" w:rsidRPr="00D407FF" w14:paraId="4C6C1652" w14:textId="77777777" w:rsidTr="00824E0B">
        <w:trPr>
          <w:trHeight w:val="12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92154D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lastRenderedPageBreak/>
              <w:t>Základní parametry: objemová ventilace IMV, SIMV, tlaková ventilace PCV a PCV VG s garantovaným objemem a spontánní ventilace pacienta s tlakovou podporou PSV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EC05F9F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521345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vše požadované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5E20F2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43B87632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9A128B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Měřitelný Tv od 5 ml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6A502DF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36C1CE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od 5ml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459D6F0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2</w:t>
            </w:r>
          </w:p>
        </w:tc>
      </w:tr>
      <w:tr w:rsidR="00D407FF" w:rsidRPr="00D407FF" w14:paraId="3FFF3974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69B272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Dechová frekvence až 100/min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93A6FA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1D9CA4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až 100min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B33097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3</w:t>
            </w:r>
          </w:p>
        </w:tc>
      </w:tr>
      <w:tr w:rsidR="00D407FF" w:rsidRPr="00D407FF" w14:paraId="2FC32509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D4BF07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Elektronický PEEP až 30 cmH20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5547FC3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5B62BB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až 30cmH20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28B7D71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3</w:t>
            </w:r>
          </w:p>
        </w:tc>
      </w:tr>
      <w:tr w:rsidR="00D407FF" w:rsidRPr="00D407FF" w14:paraId="0EDB43D7" w14:textId="77777777" w:rsidTr="00824E0B">
        <w:trPr>
          <w:trHeight w:val="9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C708D0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Kompenzace úniků a poddajnosti ventilačního okruhu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4DF3FAD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39AACAE" w14:textId="480E27CB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 poddajnosti</w:t>
            </w:r>
            <w:r w:rsidR="00824E0B">
              <w:rPr>
                <w:rFonts w:ascii="Calibri" w:hAnsi="Calibri" w:cs="Calibri"/>
                <w:color w:val="974706"/>
              </w:rPr>
              <w:t xml:space="preserve"> </w:t>
            </w:r>
            <w:r w:rsidRPr="00D407FF">
              <w:rPr>
                <w:rFonts w:ascii="Calibri" w:hAnsi="Calibri" w:cs="Calibri"/>
                <w:color w:val="974706"/>
              </w:rPr>
              <w:t>ventilačníhoventilačního okruhu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FDF917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633CF394" w14:textId="77777777" w:rsidTr="00824E0B">
        <w:trPr>
          <w:trHeight w:val="15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CC653E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Vizuální kontrola netěsností systémem měchu v průhledném válci.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F8D21EE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45B619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netěsností systémemměchuměchu vv průhlednémprůhledném válci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50BC4F5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1</w:t>
            </w:r>
          </w:p>
        </w:tc>
      </w:tr>
      <w:tr w:rsidR="00D407FF" w:rsidRPr="00D407FF" w14:paraId="76F1D165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4596456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Záložní zdroj el. energie pro pohon přístroje, min. na 30 min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46AFC7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764A7D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90min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B88B76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4</w:t>
            </w:r>
          </w:p>
        </w:tc>
      </w:tr>
      <w:tr w:rsidR="00D407FF" w:rsidRPr="00D407FF" w14:paraId="560BCD5A" w14:textId="77777777" w:rsidTr="00824E0B">
        <w:trPr>
          <w:trHeight w:val="9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5FB193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Zobrazení spirometrie, uložení spirometrických smyček a jejich zpětné vyvolání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D0205E6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1A942F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spirometrie-Carestation 750 spec str. 5, CS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57BB64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5, CS 750 návod 3-35</w:t>
            </w:r>
          </w:p>
        </w:tc>
      </w:tr>
      <w:tr w:rsidR="00D407FF" w:rsidRPr="00D407FF" w14:paraId="1FB9808D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DD1EB8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Anesteziologický monitor pevně připojený k anesteziologickému přístroji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9469C1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44DE578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 xml:space="preserve">nesteziologický-ávod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20D17D1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2-3</w:t>
            </w:r>
          </w:p>
        </w:tc>
      </w:tr>
      <w:tr w:rsidR="00D407FF" w:rsidRPr="00D407FF" w14:paraId="4689BC60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A8571D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Modulární monitor vitálních funkcí s barevným dotykovým displejem s uhlopříčkou min. 15“.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C6D566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69981BE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funkcí-B1x5M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B7299F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B1x5M spec str.2</w:t>
            </w:r>
          </w:p>
        </w:tc>
      </w:tr>
      <w:tr w:rsidR="00D407FF" w:rsidRPr="00D407FF" w14:paraId="1D71AD04" w14:textId="77777777" w:rsidTr="00824E0B">
        <w:trPr>
          <w:trHeight w:val="9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D0C7D5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Modul vitálních funkcí se základními parametry (3-5 svodů EKG, HR, respirace, ST analýza, NIBP, SpO2,  2 x teplota, 2 x IBP).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330B9CF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F55202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B155M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4FC0405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B1x5M spec str.2</w:t>
            </w:r>
          </w:p>
        </w:tc>
      </w:tr>
      <w:tr w:rsidR="00D407FF" w:rsidRPr="00D407FF" w14:paraId="7C0555C4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D0730A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Monitorování všech složek anestézie s číselným zobrazením a trendem.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7E1FAA5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359311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trend až 144h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FBDB63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B1x5M spec str.2</w:t>
            </w:r>
          </w:p>
        </w:tc>
      </w:tr>
      <w:tr w:rsidR="00D407FF" w:rsidRPr="00D407FF" w14:paraId="7437FBD5" w14:textId="77777777" w:rsidTr="00824E0B">
        <w:trPr>
          <w:trHeight w:val="12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3B839F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Plynová analýza pro inspirační a exspirační hodnoty  O2, N2O, CO2 a anesteziologické plyny s automatickou detekcí a s paramagnetickým měřením O2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D9472A6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42FF33E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s-CAiOV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5376160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modul EsCAiOVx</w:t>
            </w:r>
          </w:p>
        </w:tc>
      </w:tr>
      <w:tr w:rsidR="00D407FF" w:rsidRPr="00D407FF" w14:paraId="25C83965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2C50CC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Návrat změřeného vzorku plynu zpět pacientovi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C88AFA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2C830DA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vzorku plynuzpětzpět pacientovi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7506ED3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8-18</w:t>
            </w:r>
          </w:p>
        </w:tc>
      </w:tr>
      <w:tr w:rsidR="00D407FF" w:rsidRPr="00D407FF" w14:paraId="4718E4CC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D4E917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lastRenderedPageBreak/>
              <w:t>Minimální alveolární koncentrace MAC , MAC přepočtený na věk pacienta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A2F376F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06E4F7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42EADC7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Carestation 750 spec str. 5</w:t>
            </w:r>
          </w:p>
        </w:tc>
      </w:tr>
      <w:tr w:rsidR="00D407FF" w:rsidRPr="00D407FF" w14:paraId="0251E89C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10E53F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Modul pro měření hloubky vědomí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DB79C6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47F89A7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Entropy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274AF97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spec E-Entropy</w:t>
            </w:r>
          </w:p>
        </w:tc>
      </w:tr>
      <w:tr w:rsidR="00D407FF" w:rsidRPr="00D407FF" w14:paraId="3D6C15B2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B5564F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Modul relaxometrie.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6102038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3B0DAD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NMT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52C7289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spec E-NMT</w:t>
            </w:r>
          </w:p>
        </w:tc>
      </w:tr>
      <w:tr w:rsidR="00D407FF" w:rsidRPr="00D407FF" w14:paraId="254E5681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689316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Odpařovač pro Sevoflurane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838C078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43C67E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Sevo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1C69E3A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10-7</w:t>
            </w:r>
          </w:p>
        </w:tc>
      </w:tr>
      <w:tr w:rsidR="00D407FF" w:rsidRPr="00D407FF" w14:paraId="1E4AFF44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959637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Bypass CO2 při výměně absorbéru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54A76F9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4C2E9A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při výměněabsorbéru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148A722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11-3</w:t>
            </w:r>
          </w:p>
        </w:tc>
      </w:tr>
      <w:tr w:rsidR="00D407FF" w:rsidRPr="00D407FF" w14:paraId="23740A18" w14:textId="77777777" w:rsidTr="00824E0B">
        <w:trPr>
          <w:trHeight w:val="6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E2FA22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Test těsnosti odpařovačů při spuštění hlavního autotestu anesteziologického přístroje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446C92D3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14498EA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 xml:space="preserve">těsnosti-ávod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64F1987E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CS 750 návod 4-2</w:t>
            </w:r>
          </w:p>
        </w:tc>
      </w:tr>
      <w:tr w:rsidR="00D407FF" w:rsidRPr="00D407FF" w14:paraId="20283149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5B3F8E9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460D357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198A28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779EBF9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</w:tr>
      <w:tr w:rsidR="00D407FF" w:rsidRPr="00D407FF" w14:paraId="551919AE" w14:textId="77777777" w:rsidTr="00824E0B">
        <w:trPr>
          <w:trHeight w:val="12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0F7911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Kompatibilní s používanými moduly Datex-Ohmeda (E-SCAIOV, E-NMT, E-ENTROPY,)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748500F4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D82914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050CBF72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 xml:space="preserve">modul EsCaiOVx, E-NMT, E-Entropy spec. </w:t>
            </w:r>
          </w:p>
        </w:tc>
      </w:tr>
      <w:tr w:rsidR="00D407FF" w:rsidRPr="00D407FF" w14:paraId="21CB84D2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B1AE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D407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D375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15C7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D712C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</w:tr>
      <w:tr w:rsidR="00D407FF" w:rsidRPr="00D407FF" w14:paraId="7E423AEE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14:paraId="17B32BF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07FF">
              <w:rPr>
                <w:rFonts w:ascii="Calibri" w:hAnsi="Calibri" w:cs="Calibri"/>
                <w:b/>
                <w:bCs/>
                <w:color w:val="000000"/>
              </w:rPr>
              <w:t>Příslušenství v rámci dodávky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FAAFEC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DFD9DF1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14:paraId="35A10B7B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</w:tr>
      <w:tr w:rsidR="00D407FF" w:rsidRPr="00D407FF" w14:paraId="13CF4C30" w14:textId="77777777" w:rsidTr="00824E0B">
        <w:trPr>
          <w:trHeight w:val="300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DDBC714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Kabel pro ekvipotenciální pospojení.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0371259B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26BC6EE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součást dodávky 2ks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25F71AE3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 </w:t>
            </w:r>
          </w:p>
        </w:tc>
      </w:tr>
      <w:tr w:rsidR="00D407FF" w:rsidRPr="00D407FF" w14:paraId="484E355C" w14:textId="77777777" w:rsidTr="00824E0B">
        <w:trPr>
          <w:trHeight w:val="915"/>
        </w:trPr>
        <w:tc>
          <w:tcPr>
            <w:tcW w:w="1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2AA7920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Spotřební materiál nutný k prvotnímu použití a ověření funkce přístroje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30F57021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ANO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B81"/>
            <w:vAlign w:val="bottom"/>
            <w:hideMark/>
          </w:tcPr>
          <w:p w14:paraId="52DB81F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součást dodávky kompetní spotřební materiál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B81"/>
            <w:vAlign w:val="bottom"/>
            <w:hideMark/>
          </w:tcPr>
          <w:p w14:paraId="4A15FB15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407FF">
              <w:rPr>
                <w:rFonts w:ascii="Calibri" w:hAnsi="Calibri" w:cs="Calibri"/>
              </w:rPr>
              <w:t> </w:t>
            </w:r>
          </w:p>
        </w:tc>
      </w:tr>
      <w:tr w:rsidR="00D407FF" w:rsidRPr="00D407FF" w14:paraId="38766F54" w14:textId="77777777" w:rsidTr="00824E0B">
        <w:trPr>
          <w:trHeight w:val="315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1F75D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AF08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B6AC" w14:textId="77777777" w:rsidR="00D407FF" w:rsidRPr="00D407FF" w:rsidRDefault="00D407FF" w:rsidP="00D40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ACC8F" w14:textId="77777777" w:rsidR="00D407FF" w:rsidRPr="00D407FF" w:rsidRDefault="00D407FF" w:rsidP="00D407FF">
            <w:pPr>
              <w:spacing w:line="240" w:lineRule="auto"/>
              <w:jc w:val="left"/>
              <w:rPr>
                <w:rFonts w:ascii="Calibri" w:hAnsi="Calibri" w:cs="Calibri"/>
                <w:color w:val="974706"/>
              </w:rPr>
            </w:pPr>
            <w:r w:rsidRPr="00D407FF">
              <w:rPr>
                <w:rFonts w:ascii="Calibri" w:hAnsi="Calibri" w:cs="Calibri"/>
                <w:color w:val="974706"/>
              </w:rPr>
              <w:t> </w:t>
            </w:r>
          </w:p>
        </w:tc>
      </w:tr>
    </w:tbl>
    <w:p w14:paraId="6330399C" w14:textId="77777777" w:rsidR="00D407FF" w:rsidRDefault="00D407FF" w:rsidP="00094B12"/>
    <w:sectPr w:rsidR="00D407FF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B61C8D" w:rsidRPr="00B61C8D">
          <w:rPr>
            <w:rFonts w:ascii="Arial" w:hAnsi="Arial"/>
            <w:noProof/>
            <w:sz w:val="20"/>
            <w:lang w:val="cs-CZ"/>
          </w:rPr>
          <w:t>6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92694">
    <w:abstractNumId w:val="1"/>
  </w:num>
  <w:num w:numId="2" w16cid:durableId="1280988985">
    <w:abstractNumId w:val="6"/>
  </w:num>
  <w:num w:numId="3" w16cid:durableId="743646848">
    <w:abstractNumId w:val="6"/>
  </w:num>
  <w:num w:numId="4" w16cid:durableId="1786146313">
    <w:abstractNumId w:val="10"/>
  </w:num>
  <w:num w:numId="5" w16cid:durableId="600841649">
    <w:abstractNumId w:val="7"/>
  </w:num>
  <w:num w:numId="6" w16cid:durableId="712266586">
    <w:abstractNumId w:val="2"/>
  </w:num>
  <w:num w:numId="7" w16cid:durableId="354230148">
    <w:abstractNumId w:val="5"/>
  </w:num>
  <w:num w:numId="8" w16cid:durableId="2048408129">
    <w:abstractNumId w:val="11"/>
  </w:num>
  <w:num w:numId="9" w16cid:durableId="702360517">
    <w:abstractNumId w:val="4"/>
  </w:num>
  <w:num w:numId="10" w16cid:durableId="1254050487">
    <w:abstractNumId w:val="8"/>
  </w:num>
  <w:num w:numId="11" w16cid:durableId="34432176">
    <w:abstractNumId w:val="9"/>
  </w:num>
  <w:num w:numId="12" w16cid:durableId="623853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41531">
    <w:abstractNumId w:val="6"/>
  </w:num>
  <w:num w:numId="14" w16cid:durableId="613908412">
    <w:abstractNumId w:val="0"/>
  </w:num>
  <w:num w:numId="15" w16cid:durableId="32239156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CEA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039F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06D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C1071"/>
    <w:rsid w:val="002C2981"/>
    <w:rsid w:val="002C7AE0"/>
    <w:rsid w:val="002E1388"/>
    <w:rsid w:val="002E3B0B"/>
    <w:rsid w:val="002E48E0"/>
    <w:rsid w:val="002F4EDA"/>
    <w:rsid w:val="002F4F30"/>
    <w:rsid w:val="002F5A56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D75DF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3304B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24E0B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D78A4"/>
    <w:rsid w:val="008E5700"/>
    <w:rsid w:val="008F5230"/>
    <w:rsid w:val="008F6BCC"/>
    <w:rsid w:val="00901F83"/>
    <w:rsid w:val="00903293"/>
    <w:rsid w:val="00916EE4"/>
    <w:rsid w:val="009206F6"/>
    <w:rsid w:val="0092292F"/>
    <w:rsid w:val="009238A7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1F8B"/>
    <w:rsid w:val="00A36B03"/>
    <w:rsid w:val="00A4060F"/>
    <w:rsid w:val="00A51741"/>
    <w:rsid w:val="00A51E29"/>
    <w:rsid w:val="00A52F13"/>
    <w:rsid w:val="00A71BE8"/>
    <w:rsid w:val="00A739A7"/>
    <w:rsid w:val="00A73C62"/>
    <w:rsid w:val="00A73F35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61C8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C6C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07FF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6319"/>
    <w:rsid w:val="00DA7CB9"/>
    <w:rsid w:val="00DB1636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210A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0D75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8527DE822C40AEC34F27B881A1A2" ma:contentTypeVersion="4" ma:contentTypeDescription="Vytvoří nový dokument" ma:contentTypeScope="" ma:versionID="7a2670175d4d2a1ec266662f7f67c95f">
  <xsd:schema xmlns:xsd="http://www.w3.org/2001/XMLSchema" xmlns:xs="http://www.w3.org/2001/XMLSchema" xmlns:p="http://schemas.microsoft.com/office/2006/metadata/properties" xmlns:ns2="78c52381-f758-41be-8546-d878b91803ec" xmlns:ns3="0ff553f6-0ed0-4de2-a1de-7fd64a41b840" targetNamespace="http://schemas.microsoft.com/office/2006/metadata/properties" ma:root="true" ma:fieldsID="bab7d6cc6fe594c08178c3059b152c22" ns2:_="" ns3:_="">
    <xsd:import namespace="78c52381-f758-41be-8546-d878b91803ec"/>
    <xsd:import namespace="0ff553f6-0ed0-4de2-a1de-7fd64a41b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2381-f758-41be-8546-d878b918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53f6-0ed0-4de2-a1de-7fd64a41b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78c52381-f758-41be-8546-d878b91803ec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0ff553f6-0ed0-4de2-a1de-7fd64a41b840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C9E08-A794-4384-BFDD-E509B43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2381-f758-41be-8546-d878b91803ec"/>
    <ds:schemaRef ds:uri="0ff553f6-0ed0-4de2-a1de-7fd64a41b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8FDB3-95C5-41D8-B6BC-332206D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5308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Mičánková Lucie</cp:lastModifiedBy>
  <cp:revision>4</cp:revision>
  <cp:lastPrinted>2023-09-20T13:45:00Z</cp:lastPrinted>
  <dcterms:created xsi:type="dcterms:W3CDTF">2023-11-03T08:49:00Z</dcterms:created>
  <dcterms:modified xsi:type="dcterms:W3CDTF">2023-12-14T09:30:00Z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0x0101009B868527DE822C40AEC34F27B881A1A2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