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119C" w14:textId="435A7D9B" w:rsidR="000C5D90" w:rsidRDefault="00BE5489">
      <w:pPr>
        <w:tabs>
          <w:tab w:val="left" w:pos="5103"/>
          <w:tab w:val="right" w:leader="underscore" w:pos="9781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Číslo smlouvy kupujícího: </w:t>
      </w:r>
      <w:r w:rsidR="00950306">
        <w:rPr>
          <w:rFonts w:ascii="Times New Roman" w:hAnsi="Times New Roman"/>
          <w:sz w:val="22"/>
          <w:szCs w:val="22"/>
        </w:rPr>
        <w:t>2803</w:t>
      </w:r>
      <w:r>
        <w:rPr>
          <w:rFonts w:ascii="Times New Roman" w:hAnsi="Times New Roman"/>
          <w:sz w:val="22"/>
          <w:szCs w:val="22"/>
        </w:rPr>
        <w:t>/202</w:t>
      </w:r>
      <w:r w:rsidR="00E92FED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/IT</w:t>
      </w:r>
    </w:p>
    <w:p w14:paraId="0F26900D" w14:textId="593CE836" w:rsidR="000C5D90" w:rsidRDefault="00BE5489">
      <w:pPr>
        <w:tabs>
          <w:tab w:val="left" w:pos="5103"/>
          <w:tab w:val="right" w:leader="underscore" w:pos="97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Identifikátor veřejné zakázky</w:t>
      </w:r>
      <w:r w:rsidRPr="006E0ED5">
        <w:rPr>
          <w:rFonts w:ascii="Times New Roman" w:hAnsi="Times New Roman"/>
          <w:sz w:val="22"/>
          <w:szCs w:val="22"/>
        </w:rPr>
        <w:t xml:space="preserve">: </w:t>
      </w:r>
      <w:r w:rsidR="006E0ED5" w:rsidRPr="006E0ED5">
        <w:rPr>
          <w:rStyle w:val="radekformulare"/>
          <w:rFonts w:ascii="Times New Roman" w:hAnsi="Times New Roman"/>
          <w:sz w:val="22"/>
          <w:szCs w:val="22"/>
        </w:rPr>
        <w:t>P23V00259224</w:t>
      </w:r>
    </w:p>
    <w:p w14:paraId="69F25093" w14:textId="77777777" w:rsidR="000C5D90" w:rsidRDefault="00BE5489" w:rsidP="00C34B41">
      <w:pPr>
        <w:tabs>
          <w:tab w:val="left" w:pos="5103"/>
          <w:tab w:val="right" w:leader="underscore" w:pos="9781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Číslo smlouvy prodávajícího: </w:t>
      </w:r>
      <w:r>
        <w:rPr>
          <w:rFonts w:ascii="Times New Roman" w:hAnsi="Times New Roman"/>
          <w:sz w:val="22"/>
          <w:szCs w:val="22"/>
        </w:rPr>
        <w:tab/>
      </w:r>
    </w:p>
    <w:p w14:paraId="100A16DC" w14:textId="77777777" w:rsidR="000C5D90" w:rsidRDefault="00BE5489">
      <w:pPr>
        <w:pStyle w:val="SBSTitulekmal"/>
        <w:jc w:val="lef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Kupní smlouva</w:t>
      </w:r>
    </w:p>
    <w:p w14:paraId="6E1BA845" w14:textId="77777777" w:rsidR="000C5D90" w:rsidRDefault="00BE5489">
      <w:pPr>
        <w:pStyle w:val="SBSTitulekmal"/>
        <w:spacing w:after="360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361361AB" w14:textId="77777777" w:rsidR="000C5D90" w:rsidRDefault="00BE54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  <w:gridCol w:w="3050"/>
        <w:gridCol w:w="284"/>
        <w:gridCol w:w="1525"/>
        <w:gridCol w:w="3168"/>
      </w:tblGrid>
      <w:tr w:rsidR="000C5D90" w14:paraId="6C01150A" w14:textId="77777777">
        <w:trPr>
          <w:trHeight w:val="273"/>
        </w:trPr>
        <w:tc>
          <w:tcPr>
            <w:tcW w:w="4786" w:type="dxa"/>
            <w:gridSpan w:val="2"/>
          </w:tcPr>
          <w:p w14:paraId="2096A7AD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Statutární město Ostrava</w:t>
            </w:r>
          </w:p>
        </w:tc>
        <w:tc>
          <w:tcPr>
            <w:tcW w:w="284" w:type="dxa"/>
          </w:tcPr>
          <w:p w14:paraId="4EAB676C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</w:tcPr>
          <w:p w14:paraId="20AB7054" w14:textId="3CAFAF79" w:rsidR="000C5D90" w:rsidRPr="006E0ED5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 w:rsidRPr="006E0ED5">
              <w:rPr>
                <w:rFonts w:ascii="Times New Roman" w:hAnsi="Times New Roman"/>
                <w:b/>
              </w:rPr>
              <w:t>Alternetivo s.r.o.</w:t>
            </w:r>
          </w:p>
        </w:tc>
      </w:tr>
      <w:tr w:rsidR="000C5D90" w14:paraId="078BC2A2" w14:textId="77777777">
        <w:tc>
          <w:tcPr>
            <w:tcW w:w="4786" w:type="dxa"/>
            <w:gridSpan w:val="2"/>
          </w:tcPr>
          <w:p w14:paraId="00910843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Prokešovo náměstí 8, 729 30 Ostrava</w:t>
            </w:r>
          </w:p>
        </w:tc>
        <w:tc>
          <w:tcPr>
            <w:tcW w:w="284" w:type="dxa"/>
          </w:tcPr>
          <w:p w14:paraId="56F6ADE8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</w:tcPr>
          <w:p w14:paraId="507A86A2" w14:textId="1178294D" w:rsidR="000C5D90" w:rsidRPr="006E0ED5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6E0ED5">
              <w:rPr>
                <w:rFonts w:ascii="Times New Roman" w:hAnsi="Times New Roman"/>
              </w:rPr>
              <w:t>Žirovnická 2389</w:t>
            </w:r>
            <w:r w:rsidR="00830632">
              <w:rPr>
                <w:rFonts w:ascii="Times New Roman" w:hAnsi="Times New Roman"/>
              </w:rPr>
              <w:t>/1a</w:t>
            </w:r>
            <w:r w:rsidRPr="006E0ED5">
              <w:rPr>
                <w:rFonts w:ascii="Times New Roman" w:hAnsi="Times New Roman"/>
              </w:rPr>
              <w:t xml:space="preserve">, </w:t>
            </w:r>
            <w:r w:rsidR="00830632">
              <w:rPr>
                <w:rFonts w:ascii="Times New Roman" w:hAnsi="Times New Roman"/>
              </w:rPr>
              <w:t>1</w:t>
            </w:r>
            <w:r w:rsidRPr="006E0ED5">
              <w:rPr>
                <w:rFonts w:ascii="Times New Roman" w:hAnsi="Times New Roman"/>
              </w:rPr>
              <w:t>06</w:t>
            </w:r>
            <w:r w:rsidR="00830632">
              <w:rPr>
                <w:rFonts w:ascii="Times New Roman" w:hAnsi="Times New Roman"/>
              </w:rPr>
              <w:t xml:space="preserve"> </w:t>
            </w:r>
            <w:r w:rsidRPr="006E0ED5">
              <w:rPr>
                <w:rFonts w:ascii="Times New Roman" w:hAnsi="Times New Roman"/>
              </w:rPr>
              <w:t>00</w:t>
            </w:r>
            <w:r w:rsidR="00830632">
              <w:rPr>
                <w:rFonts w:ascii="Times New Roman" w:hAnsi="Times New Roman"/>
              </w:rPr>
              <w:t xml:space="preserve"> Praha 10</w:t>
            </w:r>
          </w:p>
        </w:tc>
      </w:tr>
      <w:tr w:rsidR="000C5D90" w14:paraId="2519D1CC" w14:textId="77777777">
        <w:tc>
          <w:tcPr>
            <w:tcW w:w="4786" w:type="dxa"/>
            <w:gridSpan w:val="2"/>
          </w:tcPr>
          <w:p w14:paraId="17B662CC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zastoupené náměstkyní primátora</w:t>
            </w:r>
          </w:p>
        </w:tc>
        <w:tc>
          <w:tcPr>
            <w:tcW w:w="284" w:type="dxa"/>
          </w:tcPr>
          <w:p w14:paraId="4AF8EA73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</w:tcPr>
          <w:p w14:paraId="4A471C69" w14:textId="6215E188" w:rsidR="000C5D90" w:rsidRPr="006E0ED5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6E0ED5">
              <w:rPr>
                <w:rFonts w:ascii="Times New Roman" w:hAnsi="Times New Roman"/>
              </w:rPr>
              <w:t>zastoupena prokuristou</w:t>
            </w:r>
          </w:p>
        </w:tc>
      </w:tr>
      <w:tr w:rsidR="000C5D90" w14:paraId="1B79944B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6A9236EE" w14:textId="218E6496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4C223B">
              <w:rPr>
                <w:rFonts w:ascii="Times New Roman" w:hAnsi="Times New Roman"/>
              </w:rPr>
              <w:t>Andreou</w:t>
            </w:r>
            <w:r>
              <w:rPr>
                <w:rFonts w:ascii="Times New Roman" w:hAnsi="Times New Roman"/>
              </w:rPr>
              <w:t xml:space="preserve"> </w:t>
            </w:r>
            <w:r w:rsidR="004C223B">
              <w:rPr>
                <w:rFonts w:ascii="Times New Roman" w:hAnsi="Times New Roman"/>
              </w:rPr>
              <w:t>Hoffmannovou Ph.D.</w:t>
            </w:r>
          </w:p>
        </w:tc>
        <w:tc>
          <w:tcPr>
            <w:tcW w:w="284" w:type="dxa"/>
          </w:tcPr>
          <w:p w14:paraId="06522EAB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19D5004F" w14:textId="0BAED3CE" w:rsidR="000C5D90" w:rsidRPr="006E0ED5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 w:rsidRPr="006E0ED5">
              <w:rPr>
                <w:rFonts w:ascii="Times New Roman" w:hAnsi="Times New Roman"/>
              </w:rPr>
              <w:t>Lukášem Reifem</w:t>
            </w:r>
          </w:p>
        </w:tc>
      </w:tr>
      <w:tr w:rsidR="000C5D90" w14:paraId="28486B7E" w14:textId="77777777">
        <w:tc>
          <w:tcPr>
            <w:tcW w:w="1668" w:type="dxa"/>
          </w:tcPr>
          <w:p w14:paraId="223AC090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3118" w:type="dxa"/>
          </w:tcPr>
          <w:p w14:paraId="42FA1A72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00845451</w:t>
            </w:r>
          </w:p>
        </w:tc>
        <w:tc>
          <w:tcPr>
            <w:tcW w:w="284" w:type="dxa"/>
          </w:tcPr>
          <w:p w14:paraId="0FD561DB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817CB41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3243" w:type="dxa"/>
          </w:tcPr>
          <w:p w14:paraId="13DD350A" w14:textId="0844AAE3" w:rsidR="000C5D90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C90AD3">
              <w:rPr>
                <w:rFonts w:ascii="Times New Roman" w:hAnsi="Times New Roman"/>
              </w:rPr>
              <w:t>5098314</w:t>
            </w:r>
          </w:p>
        </w:tc>
      </w:tr>
      <w:tr w:rsidR="000C5D90" w14:paraId="580F6D9F" w14:textId="77777777">
        <w:tc>
          <w:tcPr>
            <w:tcW w:w="1668" w:type="dxa"/>
          </w:tcPr>
          <w:p w14:paraId="7D5096B6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118" w:type="dxa"/>
          </w:tcPr>
          <w:p w14:paraId="17B2D16F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CZ00845451 (plátce DPH)</w:t>
            </w:r>
          </w:p>
        </w:tc>
        <w:tc>
          <w:tcPr>
            <w:tcW w:w="284" w:type="dxa"/>
          </w:tcPr>
          <w:p w14:paraId="421958FB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1775DDD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243" w:type="dxa"/>
          </w:tcPr>
          <w:p w14:paraId="3B58C878" w14:textId="472A285D" w:rsidR="000C5D90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A11270">
              <w:rPr>
                <w:rFonts w:cs="Arial"/>
              </w:rPr>
              <w:t>CZ25098314</w:t>
            </w:r>
          </w:p>
        </w:tc>
      </w:tr>
      <w:tr w:rsidR="000C5D90" w14:paraId="7B7F31BC" w14:textId="77777777">
        <w:tc>
          <w:tcPr>
            <w:tcW w:w="1668" w:type="dxa"/>
          </w:tcPr>
          <w:p w14:paraId="62ED5848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Peněžní ústav:</w:t>
            </w:r>
          </w:p>
        </w:tc>
        <w:tc>
          <w:tcPr>
            <w:tcW w:w="3118" w:type="dxa"/>
          </w:tcPr>
          <w:p w14:paraId="4660B519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Česká spořitelna a.s.,</w:t>
            </w:r>
          </w:p>
          <w:p w14:paraId="07104BFD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okresní pobočka Ostrava</w:t>
            </w:r>
          </w:p>
        </w:tc>
        <w:tc>
          <w:tcPr>
            <w:tcW w:w="284" w:type="dxa"/>
          </w:tcPr>
          <w:p w14:paraId="173FDC77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7F97383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Peněžní ústav:</w:t>
            </w:r>
          </w:p>
        </w:tc>
        <w:tc>
          <w:tcPr>
            <w:tcW w:w="3243" w:type="dxa"/>
          </w:tcPr>
          <w:p w14:paraId="07D11780" w14:textId="1F32C204" w:rsidR="000C5D90" w:rsidRDefault="006E0ED5" w:rsidP="001975F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U</w:t>
            </w:r>
            <w:r w:rsidRPr="00315D02">
              <w:rPr>
                <w:rFonts w:ascii="Times New Roman" w:hAnsi="Times New Roman"/>
              </w:rPr>
              <w:t>nicreditBank</w:t>
            </w:r>
            <w:r>
              <w:rPr>
                <w:rFonts w:ascii="Times New Roman" w:hAnsi="Times New Roman"/>
              </w:rPr>
              <w:t xml:space="preserve"> </w:t>
            </w:r>
            <w:r w:rsidR="001975F4">
              <w:rPr>
                <w:rFonts w:ascii="Times New Roman" w:hAnsi="Times New Roman"/>
              </w:rPr>
              <w:t>Czech Republic and Slovakia, a.s.</w:t>
            </w:r>
          </w:p>
        </w:tc>
      </w:tr>
      <w:tr w:rsidR="000C5D90" w14:paraId="6696DDAA" w14:textId="77777777">
        <w:tc>
          <w:tcPr>
            <w:tcW w:w="1668" w:type="dxa"/>
          </w:tcPr>
          <w:p w14:paraId="59A3E7E4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3118" w:type="dxa"/>
          </w:tcPr>
          <w:p w14:paraId="0003F391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19-1649297309/0800</w:t>
            </w:r>
          </w:p>
        </w:tc>
        <w:tc>
          <w:tcPr>
            <w:tcW w:w="284" w:type="dxa"/>
          </w:tcPr>
          <w:p w14:paraId="32A3BE12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EBF7B73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3243" w:type="dxa"/>
          </w:tcPr>
          <w:p w14:paraId="22EFDA4F" w14:textId="0F0694E2" w:rsidR="000C5D90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 w:rsidRPr="00315D02">
              <w:rPr>
                <w:rFonts w:ascii="Times New Roman" w:hAnsi="Times New Roman"/>
              </w:rPr>
              <w:t>2114949942/2700</w:t>
            </w:r>
          </w:p>
        </w:tc>
      </w:tr>
      <w:tr w:rsidR="000C5D90" w14:paraId="6E121873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44C2C236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7EA16A54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11791B1E" w14:textId="1392C5C3" w:rsidR="000C5D90" w:rsidRDefault="006E0ED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Zapsaná v obchodním rejstříku </w:t>
            </w:r>
            <w:r>
              <w:rPr>
                <w:rFonts w:ascii="Times New Roman" w:hAnsi="Times New Roman"/>
                <w:iCs/>
              </w:rPr>
              <w:t>vedeném u </w:t>
            </w:r>
            <w:r w:rsidRPr="00315D02">
              <w:rPr>
                <w:rFonts w:ascii="Times New Roman" w:hAnsi="Times New Roman"/>
                <w:iCs/>
              </w:rPr>
              <w:t>Městského soudu v</w:t>
            </w:r>
            <w:r>
              <w:rPr>
                <w:rFonts w:ascii="Times New Roman" w:hAnsi="Times New Roman"/>
                <w:iCs/>
              </w:rPr>
              <w:t> </w:t>
            </w:r>
            <w:r w:rsidRPr="00315D02">
              <w:rPr>
                <w:rFonts w:ascii="Times New Roman" w:hAnsi="Times New Roman"/>
                <w:iCs/>
              </w:rPr>
              <w:t>Praze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BC10FD">
              <w:rPr>
                <w:rFonts w:ascii="Times New Roman" w:hAnsi="Times New Roman"/>
                <w:iCs/>
              </w:rPr>
              <w:t xml:space="preserve">oddíl </w:t>
            </w:r>
            <w:r>
              <w:rPr>
                <w:rFonts w:ascii="Times New Roman" w:hAnsi="Times New Roman"/>
                <w:iCs/>
              </w:rPr>
              <w:t>C</w:t>
            </w:r>
            <w:r w:rsidRPr="00BC10FD">
              <w:rPr>
                <w:rFonts w:ascii="Times New Roman" w:hAnsi="Times New Roman"/>
                <w:iCs/>
              </w:rPr>
              <w:t xml:space="preserve">, vložka </w:t>
            </w:r>
            <w:r w:rsidRPr="00315D02">
              <w:rPr>
                <w:rFonts w:ascii="Times New Roman" w:hAnsi="Times New Roman"/>
                <w:iCs/>
              </w:rPr>
              <w:t>49492</w:t>
            </w:r>
          </w:p>
        </w:tc>
      </w:tr>
    </w:tbl>
    <w:p w14:paraId="4740E9B7" w14:textId="1307FD38" w:rsidR="000C5D90" w:rsidRDefault="00BE5489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kupující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prodávající </w:t>
      </w:r>
      <w:r>
        <w:rPr>
          <w:rFonts w:ascii="Times New Roman" w:hAnsi="Times New Roman"/>
          <w:sz w:val="22"/>
          <w:szCs w:val="22"/>
        </w:rPr>
        <w:tab/>
      </w:r>
    </w:p>
    <w:p w14:paraId="2052E7BA" w14:textId="77777777" w:rsidR="000C5D90" w:rsidRDefault="000C5D9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279080AC" w14:textId="77777777" w:rsidR="000C5D90" w:rsidRDefault="00BE54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Obsah smlouvy</w:t>
      </w:r>
    </w:p>
    <w:p w14:paraId="6DA4FF81" w14:textId="77777777" w:rsidR="000C5D90" w:rsidRDefault="00BE5489" w:rsidP="00942004">
      <w:pPr>
        <w:pStyle w:val="Nadpis1"/>
      </w:pPr>
      <w:r>
        <w:br/>
        <w:t>Úvodní ustanovení</w:t>
      </w:r>
    </w:p>
    <w:p w14:paraId="6DEADA77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uzavřena podle zákona č. 89/2012 Sb., občanský zákoník, ve znění pozdějších předpisů (dále jen „občanský zákoník“).</w:t>
      </w:r>
    </w:p>
    <w:p w14:paraId="65CC08EE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straně.</w:t>
      </w:r>
    </w:p>
    <w:p w14:paraId="5F7F7C7C" w14:textId="77CAD250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prohlašují, že osoby podepisující tuto smlouvu jsou k tomuto </w:t>
      </w:r>
      <w:r w:rsidR="00CE7E69">
        <w:rPr>
          <w:rFonts w:ascii="Times New Roman" w:hAnsi="Times New Roman"/>
          <w:sz w:val="22"/>
          <w:szCs w:val="22"/>
        </w:rPr>
        <w:t xml:space="preserve">jednání </w:t>
      </w:r>
      <w:r>
        <w:rPr>
          <w:rFonts w:ascii="Times New Roman" w:hAnsi="Times New Roman"/>
          <w:sz w:val="22"/>
          <w:szCs w:val="22"/>
        </w:rPr>
        <w:t>oprávněny.</w:t>
      </w:r>
    </w:p>
    <w:p w14:paraId="38D77BB6" w14:textId="097CEA33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Účelem uzavření této smlouvy je </w:t>
      </w:r>
      <w:r w:rsidR="00B671D4">
        <w:rPr>
          <w:rFonts w:ascii="Times New Roman" w:hAnsi="Times New Roman"/>
          <w:sz w:val="22"/>
          <w:szCs w:val="22"/>
        </w:rPr>
        <w:t>dodávka switchů pro potřeby kupujícího</w:t>
      </w:r>
      <w:r w:rsidR="00ED435A">
        <w:rPr>
          <w:rFonts w:ascii="Times New Roman" w:hAnsi="Times New Roman"/>
          <w:sz w:val="22"/>
          <w:szCs w:val="22"/>
        </w:rPr>
        <w:t xml:space="preserve">, a to pro zajištění provozu </w:t>
      </w:r>
      <w:r w:rsidR="000711E9">
        <w:rPr>
          <w:rFonts w:ascii="Times New Roman" w:hAnsi="Times New Roman"/>
          <w:sz w:val="22"/>
          <w:szCs w:val="22"/>
        </w:rPr>
        <w:t xml:space="preserve">datové </w:t>
      </w:r>
      <w:r w:rsidR="00ED435A">
        <w:rPr>
          <w:rFonts w:ascii="Times New Roman" w:hAnsi="Times New Roman"/>
          <w:sz w:val="22"/>
          <w:szCs w:val="22"/>
        </w:rPr>
        <w:t>sítě úřadu v prostorách budovy Nové Radnice</w:t>
      </w:r>
      <w:r w:rsidR="00E42717">
        <w:rPr>
          <w:rFonts w:ascii="Times New Roman" w:hAnsi="Times New Roman"/>
          <w:sz w:val="22"/>
          <w:szCs w:val="22"/>
        </w:rPr>
        <w:t>.</w:t>
      </w:r>
    </w:p>
    <w:p w14:paraId="3DB1C6B7" w14:textId="77777777" w:rsidR="000C5D90" w:rsidRDefault="00BE548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prohlašuje, že je odborně způsobilý k zajištění předmětu smlouvy.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68212CE6" w14:textId="77777777" w:rsidR="000C5D90" w:rsidRDefault="00BE5489">
      <w:pPr>
        <w:numPr>
          <w:ilvl w:val="0"/>
          <w:numId w:val="1"/>
        </w:numPr>
        <w:tabs>
          <w:tab w:val="clear" w:pos="284"/>
          <w:tab w:val="num" w:pos="-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prohlašuje, že není nespolehlivým plátcem DPH a v případě, že by se jím v průběhu trvání smluvního vztahu stal, tuto informaci neprodleně sdělí kupujícímu.</w:t>
      </w:r>
    </w:p>
    <w:p w14:paraId="5BC46C43" w14:textId="77777777" w:rsidR="000C5D90" w:rsidRDefault="00BE5489">
      <w:pPr>
        <w:numPr>
          <w:ilvl w:val="0"/>
          <w:numId w:val="1"/>
        </w:numPr>
        <w:tabs>
          <w:tab w:val="clear" w:pos="284"/>
          <w:tab w:val="num" w:pos="-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Prodávající prohlašuje, že si je vědom, že smlouva odkazuje na některé podmínky uvedené mimo vlastní text smlouvy, a dále prohlašuje, že vzhledem k jeho odborné způsobilosti a hospodářskému postavení a s ohledem na obsah smlouvy, zadávacích podmínek a právních předpisů mu je obsah a význam těchto podmínek, jejichž nedodržení má stejné následky jako nedodržení povinností v samotné smlouvě, znám.</w:t>
      </w:r>
    </w:p>
    <w:p w14:paraId="197A3815" w14:textId="77777777" w:rsidR="000C5D90" w:rsidRDefault="00BE5489" w:rsidP="00942004">
      <w:pPr>
        <w:pStyle w:val="Nadpis1"/>
      </w:pPr>
      <w:r>
        <w:lastRenderedPageBreak/>
        <w:br/>
        <w:t>Předmět koupě</w:t>
      </w:r>
    </w:p>
    <w:p w14:paraId="00C64D22" w14:textId="274AEA5A" w:rsidR="000C5D90" w:rsidRPr="006E0ED5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13"/>
        </w:tabs>
        <w:ind w:right="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Předmětem </w:t>
      </w:r>
      <w:r w:rsidR="00E92FED">
        <w:rPr>
          <w:rFonts w:ascii="Times New Roman" w:hAnsi="Times New Roman"/>
          <w:sz w:val="22"/>
          <w:szCs w:val="22"/>
        </w:rPr>
        <w:t>koupě j</w:t>
      </w:r>
      <w:r w:rsidR="00B671D4">
        <w:rPr>
          <w:rFonts w:ascii="Times New Roman" w:hAnsi="Times New Roman"/>
          <w:sz w:val="22"/>
          <w:szCs w:val="22"/>
        </w:rPr>
        <w:t xml:space="preserve">sou nové a nepoužívané switche pro potřeby kupujícího </w:t>
      </w:r>
      <w:r w:rsidR="00E92FED">
        <w:rPr>
          <w:rFonts w:ascii="Times New Roman" w:hAnsi="Times New Roman"/>
          <w:sz w:val="22"/>
          <w:szCs w:val="22"/>
        </w:rPr>
        <w:t>(dále také „zboží“ nebo „předmět koupě“)</w:t>
      </w:r>
      <w:r w:rsidR="00A64ABC">
        <w:rPr>
          <w:rFonts w:ascii="Times New Roman" w:hAnsi="Times New Roman"/>
          <w:color w:val="000000"/>
          <w:sz w:val="22"/>
          <w:szCs w:val="22"/>
        </w:rPr>
        <w:t>.</w:t>
      </w:r>
      <w:r w:rsidR="00E92F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2FED" w:rsidRPr="006E0ED5">
        <w:rPr>
          <w:rFonts w:ascii="Times New Roman" w:hAnsi="Times New Roman"/>
          <w:color w:val="000000"/>
          <w:sz w:val="22"/>
          <w:szCs w:val="22"/>
        </w:rPr>
        <w:t>Předmět koupě sestává ze zařízení:</w:t>
      </w:r>
    </w:p>
    <w:p w14:paraId="30E78A3F" w14:textId="6605EA13" w:rsidR="00E92FED" w:rsidRPr="006E0ED5" w:rsidRDefault="00B671D4" w:rsidP="00B3736E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b/>
          <w:color w:val="000000"/>
        </w:rPr>
      </w:pPr>
      <w:r w:rsidRPr="006E0ED5">
        <w:rPr>
          <w:rFonts w:ascii="Times New Roman" w:hAnsi="Times New Roman"/>
          <w:b/>
          <w:color w:val="000000"/>
        </w:rPr>
        <w:t>Switch -</w:t>
      </w:r>
      <w:r w:rsidR="00CC0640" w:rsidRPr="006E0ED5">
        <w:rPr>
          <w:rFonts w:ascii="Times New Roman" w:hAnsi="Times New Roman"/>
          <w:b/>
          <w:color w:val="000000"/>
        </w:rPr>
        <w:t xml:space="preserve"> </w:t>
      </w:r>
      <w:r w:rsidRPr="006E0ED5">
        <w:rPr>
          <w:rFonts w:ascii="Times New Roman" w:hAnsi="Times New Roman"/>
          <w:b/>
          <w:color w:val="000000"/>
        </w:rPr>
        <w:t>6</w:t>
      </w:r>
      <w:r w:rsidR="00B3736E" w:rsidRPr="006E0ED5">
        <w:rPr>
          <w:rFonts w:ascii="Times New Roman" w:hAnsi="Times New Roman"/>
          <w:b/>
          <w:color w:val="000000"/>
        </w:rPr>
        <w:t xml:space="preserve"> ks</w:t>
      </w:r>
      <w:r w:rsidR="006E0ED5" w:rsidRPr="006E0ED5">
        <w:rPr>
          <w:rFonts w:ascii="Times New Roman" w:hAnsi="Times New Roman"/>
          <w:color w:val="000000"/>
        </w:rPr>
        <w:t xml:space="preserve"> (Huawei S5731-S48P4X (48*10/100/1000BASE-T ports,4*10GE SFP+ ports,PoE+)</w:t>
      </w:r>
    </w:p>
    <w:p w14:paraId="28046126" w14:textId="77777777" w:rsidR="006E0ED5" w:rsidRDefault="00E92FED" w:rsidP="006E0ED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</w:pPr>
      <w:r w:rsidRPr="00183937">
        <w:rPr>
          <w:rFonts w:ascii="Times New Roman" w:hAnsi="Times New Roman"/>
          <w:sz w:val="22"/>
          <w:szCs w:val="22"/>
        </w:rPr>
        <w:t>Jednoznačná a podrobná specifikace zboží spolu s kalkulací kupní ceny je uvedena v Příloze č. 1 této smlouvy</w:t>
      </w:r>
      <w:r>
        <w:t xml:space="preserve">. </w:t>
      </w:r>
    </w:p>
    <w:p w14:paraId="5289BA1D" w14:textId="306B861A" w:rsidR="000C5D90" w:rsidRDefault="00BE5489" w:rsidP="006E0ED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13"/>
        </w:tabs>
        <w:ind w:right="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Nabízené zboží musí být pokryto oficiální podporou výrobce tak, aby v případě závady, kterou není prodávající schopen odstranit, mohl kupující tuto závadu eskalovat přímo k technické podpoře výrobce. Kupující musí mít možnost si sám legálně stahovat bezpečnostní záplaty i nové verze souvisejícího software nebo firmware přímo ze stránek výrobce, na základě zaregistrování čísla aktivovaného servisního kontraktu.</w:t>
      </w:r>
    </w:p>
    <w:p w14:paraId="08B5BD30" w14:textId="46A9908D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49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se zavazu</w:t>
      </w:r>
      <w:r w:rsidR="00A64ABC">
        <w:rPr>
          <w:rFonts w:ascii="Times New Roman" w:hAnsi="Times New Roman"/>
          <w:sz w:val="22"/>
          <w:szCs w:val="22"/>
        </w:rPr>
        <w:t>je dodat kupujícímu pouze nové</w:t>
      </w:r>
      <w:r>
        <w:rPr>
          <w:rFonts w:ascii="Times New Roman" w:hAnsi="Times New Roman"/>
          <w:sz w:val="22"/>
          <w:szCs w:val="22"/>
        </w:rPr>
        <w:t>, originální, nepoužité ani nerepasované zboží s veškerými doklady, které se k předmětu koupě vztahují, jsou potřebné k nabytí vlastnického práva a k jeho řádnému užívání. V databázi výrobce, pokud taková existuje, musí být kupující veden jako první uživatel zboží. Soulad s výše uvedenými skutečnostmi prodávající doloží prohlášením o původu dodávaného zboží (včetně sériových čísel). Kupující si vyhrazuje právo kdykoli v průběhu plnění (nebo po podpisu) této smlouvy vyžádat si od prodávajícího prokázání výše uvedených skutečností</w:t>
      </w:r>
      <w:r w:rsidR="005A2AB9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 to prohlášením výrobce, eventuálně znaleckým posudkem či jiným srovnatelným způsobem.</w:t>
      </w:r>
    </w:p>
    <w:p w14:paraId="3F27806D" w14:textId="0DFFB8F5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se zavazuje odevzdat zboží, jež je předmětem koupě, kupujícímu a umožnit mu nabýt vlastnické právo k</w:t>
      </w:r>
      <w:r w:rsidR="00201E64">
        <w:rPr>
          <w:rFonts w:ascii="Times New Roman" w:hAnsi="Times New Roman"/>
          <w:sz w:val="22"/>
          <w:szCs w:val="22"/>
        </w:rPr>
        <w:t xml:space="preserve"> němu </w:t>
      </w:r>
      <w:r>
        <w:rPr>
          <w:rFonts w:ascii="Times New Roman" w:hAnsi="Times New Roman"/>
          <w:sz w:val="22"/>
          <w:szCs w:val="22"/>
        </w:rPr>
        <w:t>a nakládat s</w:t>
      </w:r>
      <w:r w:rsidR="00201E64">
        <w:rPr>
          <w:rFonts w:ascii="Times New Roman" w:hAnsi="Times New Roman"/>
          <w:sz w:val="22"/>
          <w:szCs w:val="22"/>
        </w:rPr>
        <w:t xml:space="preserve"> ním. </w:t>
      </w:r>
    </w:p>
    <w:p w14:paraId="6976B2F5" w14:textId="77777777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koupě bude prodávajícím odevzdán v souladu s příslušnými právními předpisy, ustanoveními této smlouvy, podmínkami uvedenými v zadávací dokumentaci k této veřejné zakázce.</w:t>
      </w:r>
    </w:p>
    <w:p w14:paraId="09BC4749" w14:textId="77777777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se zavazuje předmět koupě převzít a zaplatit za něj prodávajícímu kupní cenu.</w:t>
      </w:r>
    </w:p>
    <w:p w14:paraId="17076CAD" w14:textId="77777777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nabyde vlastnické právo k předmětu koupě jeho převzetím.</w:t>
      </w:r>
    </w:p>
    <w:p w14:paraId="12E0E252" w14:textId="77777777" w:rsidR="000C5D90" w:rsidRDefault="00BE548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plnění je i doprava zboží do místa plnění.</w:t>
      </w:r>
    </w:p>
    <w:p w14:paraId="5857237A" w14:textId="77777777" w:rsidR="000C5D90" w:rsidRDefault="00BE5489" w:rsidP="00942004">
      <w:pPr>
        <w:pStyle w:val="Nadpis1"/>
      </w:pPr>
      <w:r>
        <w:br/>
        <w:t>Kupní cena</w:t>
      </w:r>
    </w:p>
    <w:p w14:paraId="21F8E84C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Kupní cena předmětu koupě dle článku II. této smlouvy je stanovena dohodou smluvních stran a činí </w:t>
      </w:r>
    </w:p>
    <w:p w14:paraId="10B0E0FB" w14:textId="3C1BB66B" w:rsidR="000C5D90" w:rsidRDefault="00BE5489">
      <w:pPr>
        <w:pStyle w:val="Odstavecseseznamem"/>
        <w:numPr>
          <w:ilvl w:val="0"/>
          <w:numId w:val="27"/>
        </w:numPr>
        <w:tabs>
          <w:tab w:val="decimal" w:leader="underscore" w:pos="6237"/>
        </w:tabs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bez DPH </w:t>
      </w:r>
      <w:r w:rsidR="00B3736E">
        <w:rPr>
          <w:rFonts w:ascii="Times New Roman" w:hAnsi="Times New Roman"/>
        </w:rPr>
        <w:tab/>
        <w:t xml:space="preserve"> </w:t>
      </w:r>
      <w:r w:rsidR="006E0ED5">
        <w:rPr>
          <w:rFonts w:ascii="Times New Roman" w:hAnsi="Times New Roman"/>
        </w:rPr>
        <w:t>320 922,00</w:t>
      </w:r>
      <w:r w:rsidR="006E0ED5">
        <w:rPr>
          <w:rFonts w:ascii="Times New Roman" w:hAnsi="Times New Roman"/>
          <w:i/>
        </w:rPr>
        <w:t> </w:t>
      </w:r>
      <w:r>
        <w:rPr>
          <w:rFonts w:ascii="Times New Roman" w:hAnsi="Times New Roman"/>
        </w:rPr>
        <w:t>Kč</w:t>
      </w:r>
    </w:p>
    <w:p w14:paraId="6CB3CA5B" w14:textId="65B6358D" w:rsidR="000C5D90" w:rsidRDefault="00BE5489">
      <w:pPr>
        <w:pStyle w:val="Odstavecseseznamem"/>
        <w:numPr>
          <w:ilvl w:val="0"/>
          <w:numId w:val="27"/>
        </w:numPr>
        <w:tabs>
          <w:tab w:val="decimal" w:leader="underscore" w:pos="6237"/>
        </w:tabs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DPH </w:t>
      </w:r>
      <w:r w:rsidR="00B3736E">
        <w:rPr>
          <w:rFonts w:ascii="Times New Roman" w:hAnsi="Times New Roman"/>
        </w:rPr>
        <w:tab/>
        <w:t xml:space="preserve"> </w:t>
      </w:r>
      <w:r w:rsidR="006E0ED5">
        <w:rPr>
          <w:rFonts w:ascii="Times New Roman" w:hAnsi="Times New Roman"/>
        </w:rPr>
        <w:t>67 393,62</w:t>
      </w:r>
      <w:r w:rsidR="006E0ED5">
        <w:rPr>
          <w:rFonts w:ascii="Times New Roman" w:hAnsi="Times New Roman"/>
          <w:i/>
        </w:rPr>
        <w:t> </w:t>
      </w:r>
      <w:r>
        <w:rPr>
          <w:rFonts w:ascii="Times New Roman" w:hAnsi="Times New Roman"/>
        </w:rPr>
        <w:t>Kč</w:t>
      </w:r>
    </w:p>
    <w:p w14:paraId="486708B5" w14:textId="599F1D2A" w:rsidR="000C5D90" w:rsidRDefault="006E0ED5">
      <w:pPr>
        <w:pStyle w:val="Odstavecseseznamem"/>
        <w:numPr>
          <w:ilvl w:val="0"/>
          <w:numId w:val="27"/>
        </w:numPr>
        <w:tabs>
          <w:tab w:val="decimal" w:leader="underscore" w:pos="6237"/>
        </w:tabs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celkem včetně DPH</w:t>
      </w:r>
      <w:r>
        <w:rPr>
          <w:rFonts w:ascii="Times New Roman" w:hAnsi="Times New Roman"/>
        </w:rPr>
        <w:tab/>
      </w:r>
      <w:r w:rsidR="00B3736E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B963E3">
        <w:t xml:space="preserve"> </w:t>
      </w:r>
      <w:r w:rsidRPr="00B963E3">
        <w:rPr>
          <w:rFonts w:ascii="Times New Roman" w:hAnsi="Times New Roman"/>
        </w:rPr>
        <w:t>388 315,62</w:t>
      </w:r>
      <w:r w:rsidR="00BE5489">
        <w:rPr>
          <w:rFonts w:ascii="Times New Roman" w:hAnsi="Times New Roman"/>
          <w:i/>
        </w:rPr>
        <w:t> </w:t>
      </w:r>
      <w:r w:rsidR="00BE5489">
        <w:rPr>
          <w:rFonts w:ascii="Times New Roman" w:hAnsi="Times New Roman"/>
        </w:rPr>
        <w:t>Kč</w:t>
      </w:r>
    </w:p>
    <w:p w14:paraId="33C5E724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bez DPH uvedená v odst. 1. tohoto článku je dohodnuta jako nejvýše přípustná a platí po celou dobu účinnosti smlouvy.</w:t>
      </w:r>
    </w:p>
    <w:p w14:paraId="4A410C52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sjednané ceny bez DPH jsou veškeré náklady spojené s odevzdáním zboží v místě plnění a s úplným splněním této smlouvy.</w:t>
      </w:r>
    </w:p>
    <w:p w14:paraId="3C828121" w14:textId="77777777" w:rsidR="000C5D90" w:rsidRDefault="00BE548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dojde-li v průběhu plnění předmětu této smlouvy ke změně zákonné sazby DPH stanovené pro příslušné plnění vyplývající z této smlouvy, je smluvní strana odpovědná za odvedení DPH povinna stanovit DPH v platné sazbě. O změně sazby není nutné uzavírat dodatek k této smlouvě.</w:t>
      </w:r>
    </w:p>
    <w:p w14:paraId="75A09292" w14:textId="77777777" w:rsidR="000C5D90" w:rsidRDefault="00BE5489" w:rsidP="00942004">
      <w:pPr>
        <w:pStyle w:val="Nadpis1"/>
      </w:pPr>
      <w:r>
        <w:br/>
        <w:t>Doba, místo a způsob plnění</w:t>
      </w:r>
    </w:p>
    <w:p w14:paraId="2C23E519" w14:textId="7C95BA75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je povinen dodat kupujícímu předmět koupě dle článku II. této smlouvy </w:t>
      </w:r>
      <w:r w:rsidR="00E92FED">
        <w:rPr>
          <w:rFonts w:ascii="Times New Roman" w:hAnsi="Times New Roman"/>
          <w:sz w:val="22"/>
          <w:szCs w:val="22"/>
        </w:rPr>
        <w:t>do</w:t>
      </w:r>
      <w:r w:rsidR="006E0ED5">
        <w:rPr>
          <w:rFonts w:ascii="Times New Roman" w:hAnsi="Times New Roman"/>
          <w:sz w:val="22"/>
          <w:szCs w:val="22"/>
        </w:rPr>
        <w:t xml:space="preserve"> 30 </w:t>
      </w:r>
      <w:r w:rsidR="00224624">
        <w:rPr>
          <w:rFonts w:ascii="Times New Roman" w:hAnsi="Times New Roman"/>
          <w:sz w:val="22"/>
          <w:szCs w:val="22"/>
        </w:rPr>
        <w:t>pracovních</w:t>
      </w:r>
      <w:r>
        <w:rPr>
          <w:rFonts w:ascii="Times New Roman" w:hAnsi="Times New Roman"/>
          <w:sz w:val="22"/>
          <w:szCs w:val="22"/>
        </w:rPr>
        <w:t xml:space="preserve"> dnů</w:t>
      </w:r>
      <w:r w:rsidR="00E92F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 nabytí účinnosti této smlouvy.</w:t>
      </w:r>
    </w:p>
    <w:p w14:paraId="7818C5DF" w14:textId="534B7962" w:rsidR="000C5D90" w:rsidRPr="00F54351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Místem odevzdání a převzetí předmětu koupě je Magistrát města Ostravy, Prokešovo nám. č. 8, Ostrava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0E79A13B" w14:textId="17E11C93" w:rsidR="00F54351" w:rsidRPr="00542627" w:rsidRDefault="00F54351" w:rsidP="00F54351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42627">
        <w:rPr>
          <w:rFonts w:ascii="Times New Roman" w:hAnsi="Times New Roman"/>
          <w:sz w:val="22"/>
          <w:szCs w:val="22"/>
        </w:rPr>
        <w:lastRenderedPageBreak/>
        <w:t xml:space="preserve">Za kupujícího je oprávněn předmět koupě převzít vedoucí odboru projektů IT služeb a outsourcingu Magistrátu města Ostravy, případně osoba jím k tomuto </w:t>
      </w:r>
      <w:r w:rsidR="005A2AB9">
        <w:rPr>
          <w:rFonts w:ascii="Times New Roman" w:hAnsi="Times New Roman"/>
          <w:sz w:val="22"/>
          <w:szCs w:val="22"/>
        </w:rPr>
        <w:t>jednání</w:t>
      </w:r>
      <w:r w:rsidRPr="00542627">
        <w:rPr>
          <w:rFonts w:ascii="Times New Roman" w:hAnsi="Times New Roman"/>
          <w:sz w:val="22"/>
          <w:szCs w:val="22"/>
        </w:rPr>
        <w:t xml:space="preserve"> pověřená.</w:t>
      </w:r>
    </w:p>
    <w:p w14:paraId="696BFB63" w14:textId="77777777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je povinen odevzdat předmět koupě v ujednaném provedení, množství a jakosti vhodné pro účel patrný z této smlouvy.</w:t>
      </w:r>
    </w:p>
    <w:p w14:paraId="6E97FD13" w14:textId="46409198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koupě musí splňovat technické požadavky podle příslušných ustanovení zákona č. 22/1997 Sb., o</w:t>
      </w:r>
      <w:r w:rsidR="00224624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technických požadavcích na výrobky a o změně a doplnění některých zákonů, ve znění pozdějších předpisů. V souladu s tímto zákonem je prodávající povinen přiložit k dodávce předmětu koupě doklad o shodě.</w:t>
      </w:r>
    </w:p>
    <w:p w14:paraId="57D4A242" w14:textId="77777777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Nebezpečí škody na předmětu koupě přechází na kupujícího okamžikem jeho převzetí kupujícím.</w:t>
      </w:r>
    </w:p>
    <w:p w14:paraId="1361AE99" w14:textId="77777777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Převzetí předmětu koupě kupující potvrdí na příslušném dokladu – předávacím protokolu, který bude obsahovat soupis prodávajícím odevzdaných a kupujícím převzatých věcí, včetně dokladů, které se k předmětu koupě vztahují, jsou potřebné k nabytí vlastnického práva a k jeho řádnému užívání.</w:t>
      </w:r>
    </w:p>
    <w:p w14:paraId="2573D749" w14:textId="77777777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při převzetí předmět koupě prohlédne a s vynaložením obvyklé pozornosti provede kontrolu:</w:t>
      </w:r>
    </w:p>
    <w:p w14:paraId="6816CBBB" w14:textId="77777777" w:rsidR="000C5D90" w:rsidRDefault="00BE5489">
      <w:pPr>
        <w:numPr>
          <w:ilvl w:val="0"/>
          <w:numId w:val="9"/>
        </w:numPr>
        <w:tabs>
          <w:tab w:val="clear" w:pos="56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dodaného provedení a množství,</w:t>
      </w:r>
    </w:p>
    <w:p w14:paraId="4D92B853" w14:textId="77777777" w:rsidR="000C5D90" w:rsidRDefault="00BE5489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zjevných jakostních vlastností,</w:t>
      </w:r>
    </w:p>
    <w:p w14:paraId="10B61781" w14:textId="77777777" w:rsidR="000C5D90" w:rsidRDefault="00BE5489">
      <w:pPr>
        <w:numPr>
          <w:ilvl w:val="0"/>
          <w:numId w:val="9"/>
        </w:numPr>
        <w:tabs>
          <w:tab w:val="clear" w:pos="56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dodaných dokladů</w:t>
      </w:r>
      <w:r>
        <w:t>.</w:t>
      </w:r>
    </w:p>
    <w:p w14:paraId="34B0710D" w14:textId="77777777" w:rsidR="000C5D90" w:rsidRDefault="00BE5489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vad zjištěných při předání předmětu koupě může kupující odmítnout převzetí jeho vadné části nebo celého předmětu koupě, což s důvody uvede v předávacím protokolu.</w:t>
      </w:r>
    </w:p>
    <w:p w14:paraId="6FEDDA9C" w14:textId="77777777" w:rsidR="000C5D90" w:rsidRDefault="00BE5489" w:rsidP="00942004">
      <w:pPr>
        <w:pStyle w:val="Nadpis1"/>
      </w:pPr>
      <w:r>
        <w:br/>
        <w:t>Práva z vadného plnění a záruka za jakost</w:t>
      </w:r>
    </w:p>
    <w:p w14:paraId="12E8792D" w14:textId="65135177" w:rsidR="000C5D90" w:rsidRDefault="00BE548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kupujícího z vadného plnění se řídí příslušnými ustanoveními občanského zákoníku.</w:t>
      </w:r>
    </w:p>
    <w:p w14:paraId="1E8CE819" w14:textId="77777777" w:rsidR="00A64ABC" w:rsidRDefault="00A64ABC" w:rsidP="00A64ABC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Zboží má vady, pokud nemá vlastnosti, které stanoví tato smlouva, nebo existují vady v dokladech a dokumentech nebo zboží má právní vady. Zárukou za jakost zboží se prodávající zavazuje, že zboží bude po dobu záruční doby způsobilé k použití pro účel dle této smlouvy, jinak pro obvyklý účel, a zachová si vlastnosti a parametry vymezené touto smlouvou.</w:t>
      </w:r>
    </w:p>
    <w:p w14:paraId="7858EAEF" w14:textId="765476AC" w:rsidR="00F338C9" w:rsidRPr="004626A7" w:rsidRDefault="00F338C9" w:rsidP="00F338C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A5C7B">
        <w:rPr>
          <w:rFonts w:ascii="Times New Roman" w:hAnsi="Times New Roman"/>
          <w:sz w:val="22"/>
          <w:szCs w:val="22"/>
        </w:rPr>
        <w:t xml:space="preserve">Prodávající poskytuje na předmět koupě dle čl. II. odst. 1 </w:t>
      </w:r>
      <w:r w:rsidR="003460D1">
        <w:rPr>
          <w:rFonts w:ascii="Times New Roman" w:hAnsi="Times New Roman"/>
          <w:sz w:val="22"/>
          <w:szCs w:val="22"/>
        </w:rPr>
        <w:t xml:space="preserve">této smlouvy </w:t>
      </w:r>
      <w:r w:rsidRPr="006A5C7B">
        <w:rPr>
          <w:rFonts w:ascii="Times New Roman" w:hAnsi="Times New Roman"/>
          <w:sz w:val="22"/>
          <w:szCs w:val="22"/>
        </w:rPr>
        <w:t xml:space="preserve">záruku za jakost v délce </w:t>
      </w:r>
      <w:r w:rsidR="006E0ED5">
        <w:rPr>
          <w:rFonts w:ascii="Times New Roman" w:hAnsi="Times New Roman"/>
          <w:sz w:val="22"/>
          <w:szCs w:val="22"/>
        </w:rPr>
        <w:t xml:space="preserve">- </w:t>
      </w:r>
      <w:r w:rsidR="006E0ED5" w:rsidRPr="00C04E25">
        <w:rPr>
          <w:rFonts w:ascii="Times New Roman" w:hAnsi="Times New Roman"/>
          <w:sz w:val="22"/>
          <w:szCs w:val="22"/>
        </w:rPr>
        <w:t>doživotní limitovaná AHR 9x5x10BD-S</w:t>
      </w:r>
      <w:r w:rsidR="006E0ED5">
        <w:rPr>
          <w:rFonts w:ascii="Times New Roman" w:hAnsi="Times New Roman"/>
          <w:sz w:val="22"/>
          <w:szCs w:val="22"/>
        </w:rPr>
        <w:t xml:space="preserve"> na switch; na zdroj 12</w:t>
      </w:r>
      <w:r w:rsidR="006E0ED5" w:rsidRPr="006A5C7B">
        <w:rPr>
          <w:rFonts w:ascii="Times New Roman" w:hAnsi="Times New Roman"/>
          <w:sz w:val="22"/>
          <w:szCs w:val="22"/>
        </w:rPr>
        <w:t>měsíců</w:t>
      </w:r>
      <w:r w:rsidRPr="004626A7"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</w:p>
    <w:p w14:paraId="17A75E41" w14:textId="77777777" w:rsidR="000C5D90" w:rsidRDefault="00BE548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Záruční doba běží od odevzdání předmětu koupě kupujícímu. Záruční doba se staví po dobu, po kterou nemůže kupující předmět koupě řádně užívat pro vady, za které nese odpovědnost prodávající.</w:t>
      </w:r>
    </w:p>
    <w:p w14:paraId="320A4858" w14:textId="2B809CA2" w:rsidR="00CE73C4" w:rsidRPr="00CC0640" w:rsidRDefault="00CC0640" w:rsidP="00CE73C4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C0640">
        <w:rPr>
          <w:rFonts w:ascii="Times New Roman" w:hAnsi="Times New Roman"/>
          <w:sz w:val="22"/>
          <w:szCs w:val="22"/>
        </w:rPr>
        <w:t xml:space="preserve">V případě zjištění vady na předmětu koupě v záruční době, oznámí kupující prodávajícímu její výskyt, popíše, jak se projevuje a sdělí, že požaduje zahájení bezplatného odstranění vady v místě plnění uvedeném v odst. 2 článku IV. této </w:t>
      </w:r>
      <w:r w:rsidR="00B0157A" w:rsidRPr="00CC0640">
        <w:rPr>
          <w:rFonts w:ascii="Times New Roman" w:hAnsi="Times New Roman"/>
          <w:sz w:val="22"/>
          <w:szCs w:val="22"/>
        </w:rPr>
        <w:t>smlouvy,</w:t>
      </w:r>
      <w:r w:rsidRPr="00CC0640">
        <w:rPr>
          <w:rFonts w:ascii="Times New Roman" w:hAnsi="Times New Roman"/>
          <w:sz w:val="22"/>
          <w:szCs w:val="22"/>
        </w:rPr>
        <w:t xml:space="preserve"> a to nejpozději do konce následujícího pracovního dne po nahlášení vady kupujícím (služba NBD). V případě, že prodávající nebude schopen zajistit výměnu nebo opravu v místě plnění, zajistí prodávající na své náklady dopravu vadné části předmětu koupě nezbytnou k zajištění odstranění vady od kupujícího a dopravu opravené nebo vyměněné části předmětu koupě zpět kupujícímu. Vada bude odstraněna nejpozději do 10pracovních dnů od započetí prací, pokud se smluvní strany nedohodnou jinak.</w:t>
      </w:r>
      <w:r w:rsidR="00CE73C4" w:rsidRPr="00CC0640" w:rsidDel="007405CD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0DD187C1" w14:textId="4E4CE8D1" w:rsidR="000C5D90" w:rsidRDefault="00BE5489" w:rsidP="00C81820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73C4">
        <w:rPr>
          <w:rFonts w:ascii="Times New Roman" w:hAnsi="Times New Roman"/>
          <w:sz w:val="22"/>
          <w:szCs w:val="22"/>
        </w:rPr>
        <w:t xml:space="preserve">Veškeré vady zboží je kupující povinen uplatnit u prodávajícího bez zbytečného odkladu poté, kdy vadu zjistil, a to na telefonní číslo </w:t>
      </w:r>
      <w:hyperlink r:id="rId8" w:history="1">
        <w:r w:rsidR="006E0ED5" w:rsidRPr="00C72643">
          <w:rPr>
            <w:rFonts w:ascii="Times New Roman" w:hAnsi="Times New Roman"/>
            <w:sz w:val="22"/>
            <w:szCs w:val="22"/>
          </w:rPr>
          <w:t>221 771 881</w:t>
        </w:r>
      </w:hyperlink>
      <w:r w:rsidR="006E0ED5" w:rsidRPr="00092B82">
        <w:rPr>
          <w:rFonts w:ascii="Times New Roman" w:hAnsi="Times New Roman"/>
          <w:sz w:val="22"/>
          <w:szCs w:val="22"/>
        </w:rPr>
        <w:t>,  e-mail</w:t>
      </w:r>
      <w:r w:rsidR="006E0ED5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6E0ED5" w:rsidRPr="00BA1D35">
          <w:rPr>
            <w:rStyle w:val="Hypertextovodkaz"/>
            <w:sz w:val="22"/>
            <w:szCs w:val="22"/>
          </w:rPr>
          <w:t>rma@alternetivo.cz</w:t>
        </w:r>
      </w:hyperlink>
      <w:r w:rsidRPr="00CE73C4">
        <w:rPr>
          <w:rFonts w:ascii="Times New Roman" w:hAnsi="Times New Roman"/>
          <w:sz w:val="22"/>
          <w:szCs w:val="22"/>
        </w:rPr>
        <w:t xml:space="preserve">, popřípadě formou písemného oznámení s uvedením co nejpodrobnější specifikace zjištěné vady. </w:t>
      </w:r>
    </w:p>
    <w:p w14:paraId="277D2FE6" w14:textId="111880F3" w:rsidR="00CE73C4" w:rsidRDefault="00CE73C4" w:rsidP="00CE73C4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D7E9E">
        <w:rPr>
          <w:rFonts w:ascii="Times New Roman" w:hAnsi="Times New Roman"/>
          <w:sz w:val="22"/>
          <w:szCs w:val="22"/>
        </w:rPr>
        <w:t>Prodávající započne s odstraněním vady neprodleně</w:t>
      </w:r>
      <w:r>
        <w:rPr>
          <w:rFonts w:ascii="Times New Roman" w:hAnsi="Times New Roman"/>
          <w:sz w:val="22"/>
          <w:szCs w:val="22"/>
        </w:rPr>
        <w:t xml:space="preserve"> v </w:t>
      </w:r>
      <w:r w:rsidR="00B3736E">
        <w:rPr>
          <w:rFonts w:ascii="Times New Roman" w:hAnsi="Times New Roman"/>
          <w:sz w:val="22"/>
          <w:szCs w:val="22"/>
        </w:rPr>
        <w:t>místě plnění</w:t>
      </w:r>
      <w:r w:rsidR="00D1121A">
        <w:rPr>
          <w:rFonts w:ascii="Times New Roman" w:hAnsi="Times New Roman"/>
          <w:sz w:val="22"/>
          <w:szCs w:val="22"/>
        </w:rPr>
        <w:t xml:space="preserve"> </w:t>
      </w:r>
      <w:r w:rsidR="003460D1">
        <w:rPr>
          <w:rFonts w:ascii="Times New Roman" w:hAnsi="Times New Roman"/>
          <w:sz w:val="22"/>
          <w:szCs w:val="22"/>
        </w:rPr>
        <w:t>dle čl. IV. odst. 2 této smlouvy</w:t>
      </w:r>
      <w:r w:rsidRPr="00CD7E9E">
        <w:rPr>
          <w:rFonts w:ascii="Times New Roman" w:hAnsi="Times New Roman"/>
          <w:sz w:val="22"/>
          <w:szCs w:val="22"/>
        </w:rPr>
        <w:t xml:space="preserve">, nejpozději však </w:t>
      </w:r>
      <w:r>
        <w:rPr>
          <w:rFonts w:ascii="Times New Roman" w:hAnsi="Times New Roman"/>
          <w:sz w:val="22"/>
          <w:szCs w:val="22"/>
        </w:rPr>
        <w:t>následující</w:t>
      </w:r>
      <w:r w:rsidRPr="00CD7E9E">
        <w:rPr>
          <w:rFonts w:ascii="Times New Roman" w:hAnsi="Times New Roman"/>
          <w:sz w:val="22"/>
          <w:szCs w:val="22"/>
        </w:rPr>
        <w:t xml:space="preserve"> pracovní d</w:t>
      </w:r>
      <w:r>
        <w:rPr>
          <w:rFonts w:ascii="Times New Roman" w:hAnsi="Times New Roman"/>
          <w:sz w:val="22"/>
          <w:szCs w:val="22"/>
        </w:rPr>
        <w:t>e</w:t>
      </w:r>
      <w:r w:rsidRPr="00CD7E9E">
        <w:rPr>
          <w:rFonts w:ascii="Times New Roman" w:hAnsi="Times New Roman"/>
          <w:sz w:val="22"/>
          <w:szCs w:val="22"/>
        </w:rPr>
        <w:t>n od doby, kdy se o vadě dozvěděl. Vada bude odstraněna neprodleně, nejpozději však do 48 hodin od započetí prací</w:t>
      </w:r>
      <w:r w:rsidR="00C64AB3">
        <w:rPr>
          <w:rFonts w:ascii="Times New Roman" w:hAnsi="Times New Roman"/>
          <w:sz w:val="22"/>
          <w:szCs w:val="22"/>
        </w:rPr>
        <w:t xml:space="preserve"> souvisejících s odstraněním vady</w:t>
      </w:r>
      <w:r w:rsidRPr="00CD7E9E">
        <w:rPr>
          <w:rFonts w:ascii="Times New Roman" w:hAnsi="Times New Roman"/>
          <w:sz w:val="22"/>
          <w:szCs w:val="22"/>
        </w:rPr>
        <w:t>, pokud se smluvní strany nedohodnou jinak</w:t>
      </w:r>
      <w:r>
        <w:rPr>
          <w:rFonts w:ascii="Times New Roman" w:hAnsi="Times New Roman"/>
          <w:sz w:val="22"/>
          <w:szCs w:val="22"/>
        </w:rPr>
        <w:t>.</w:t>
      </w:r>
    </w:p>
    <w:p w14:paraId="3A519D41" w14:textId="3103D9EF" w:rsidR="000C5D90" w:rsidRDefault="00BE548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věc opravenou nebo vyměněnou v záruční době, která je součástí předmětu koupě, běží záruční doba ve stejné délce jako je sjednána v odst. </w:t>
      </w:r>
      <w:r w:rsidR="00B027BD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 tohoto článku této smlouvy.</w:t>
      </w:r>
    </w:p>
    <w:p w14:paraId="680A8B8C" w14:textId="4E5EEBD6" w:rsidR="000C5D90" w:rsidRDefault="00BE548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prohlašuje, že na předmětu koupě neváznou žádné dluhy, zástavní práva, jiné právní povinnosti vůči třetím osobám ani jiné závady.</w:t>
      </w:r>
    </w:p>
    <w:p w14:paraId="5D7245A9" w14:textId="77777777" w:rsidR="00CE73C4" w:rsidRPr="00977072" w:rsidRDefault="00CE73C4" w:rsidP="00CE73C4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D7E9E">
        <w:rPr>
          <w:rFonts w:ascii="Times New Roman" w:hAnsi="Times New Roman"/>
          <w:sz w:val="22"/>
          <w:szCs w:val="22"/>
        </w:rPr>
        <w:lastRenderedPageBreak/>
        <w:t>Neodstraní-li prodávající vady ve stanovené lhůtě, je kupující oprávněn pověřit odstraněním vady jiný subjekt nebo odstranit vady sám a prodávající je povinen náklady takto vynaložené kupujícímu v plné výši uhradit</w:t>
      </w:r>
      <w:r>
        <w:rPr>
          <w:rFonts w:ascii="Times New Roman" w:hAnsi="Times New Roman"/>
          <w:sz w:val="22"/>
          <w:szCs w:val="22"/>
        </w:rPr>
        <w:t>.</w:t>
      </w:r>
    </w:p>
    <w:p w14:paraId="779857E4" w14:textId="77777777" w:rsidR="000C5D90" w:rsidRPr="00942004" w:rsidRDefault="00BE5489" w:rsidP="00942004">
      <w:pPr>
        <w:pStyle w:val="Nadpis1"/>
      </w:pPr>
      <w:r w:rsidRPr="00942004">
        <w:br/>
        <w:t>Platební podmínky</w:t>
      </w:r>
    </w:p>
    <w:p w14:paraId="2A70C475" w14:textId="77777777" w:rsidR="000C5D90" w:rsidRDefault="00BE5489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Zálohy nejsou sjednány.</w:t>
      </w:r>
    </w:p>
    <w:p w14:paraId="432D9572" w14:textId="77777777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>Podkladem pro úhradu smluvní ceny je vyúčtování nazvané FAKTURA (dále jen „faktura“), které bude mít náležitosti daňového dokladu dle zákona č. 235/2004 Sb., o dani z přidané hodnoty, ve znění pozdějších předpisů (dále jen „zákon o DPH“).</w:t>
      </w:r>
    </w:p>
    <w:p w14:paraId="46CB0131" w14:textId="77777777" w:rsidR="000C5D90" w:rsidRDefault="00BE5489">
      <w:pPr>
        <w:pStyle w:val="Zkladntextodsazen-slo"/>
        <w:numPr>
          <w:ilvl w:val="0"/>
          <w:numId w:val="4"/>
        </w:numPr>
        <w:tabs>
          <w:tab w:val="clear" w:pos="284"/>
        </w:tabs>
        <w:outlineLvl w:val="9"/>
      </w:pPr>
      <w:r>
        <w:t>Faktura bude vystavena do 10 dnů po podpisu předávacího protokolu kupujícím.</w:t>
      </w:r>
    </w:p>
    <w:p w14:paraId="74F99947" w14:textId="77777777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>Kromě náležitostí stanovených platnými právními předpisy pro daňový doklad musí faktura obsahovat i tyto údaje:</w:t>
      </w:r>
    </w:p>
    <w:p w14:paraId="377F5C1D" w14:textId="5D71186A" w:rsidR="000C5D90" w:rsidRDefault="00BE5489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sm</w:t>
      </w:r>
      <w:r w:rsidR="005374FF">
        <w:rPr>
          <w:rFonts w:ascii="Times New Roman" w:hAnsi="Times New Roman"/>
          <w:sz w:val="22"/>
          <w:szCs w:val="22"/>
        </w:rPr>
        <w:t>louvy a datum jejího uzavření, identifikátor</w:t>
      </w:r>
      <w:r>
        <w:rPr>
          <w:rFonts w:ascii="Times New Roman" w:hAnsi="Times New Roman"/>
          <w:sz w:val="22"/>
          <w:szCs w:val="22"/>
        </w:rPr>
        <w:t xml:space="preserve"> veřejné zakázky, </w:t>
      </w:r>
    </w:p>
    <w:p w14:paraId="2BFDA199" w14:textId="77777777" w:rsidR="000C5D90" w:rsidRDefault="00BE5489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smlouvy a jeho přesnou specifikaci ve slovním vyjádření (nestačí pouze odkaz na číslo uzavřené smlouvy),</w:t>
      </w:r>
    </w:p>
    <w:p w14:paraId="2D568F8C" w14:textId="77777777" w:rsidR="000C5D90" w:rsidRDefault="00BE5489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dobu splatnosti faktury,</w:t>
      </w:r>
    </w:p>
    <w:p w14:paraId="6CCDCC31" w14:textId="46369726" w:rsidR="000C5D90" w:rsidRDefault="00BE5489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označení banky a číslo účtu, na který musí být zaplaceno,</w:t>
      </w:r>
    </w:p>
    <w:p w14:paraId="2E1F67F1" w14:textId="063FE303" w:rsidR="000C5D90" w:rsidRDefault="00BE5489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označení útvaru kupujícího, který akci likviduje (tj. odbor projek</w:t>
      </w:r>
      <w:r w:rsidR="005374FF">
        <w:rPr>
          <w:rFonts w:ascii="Times New Roman" w:hAnsi="Times New Roman"/>
          <w:sz w:val="22"/>
          <w:szCs w:val="22"/>
        </w:rPr>
        <w:t xml:space="preserve">tů IT služeb a outsourcingu), </w:t>
      </w:r>
    </w:p>
    <w:p w14:paraId="63F6C183" w14:textId="77777777" w:rsidR="005374FF" w:rsidRDefault="005374FF" w:rsidP="005374FF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jméno osoby, která fakturu vystavila, vč. kontaktního telefonu.</w:t>
      </w:r>
    </w:p>
    <w:p w14:paraId="31A541D5" w14:textId="4FE97912" w:rsidR="00697AFE" w:rsidRDefault="00697AFE" w:rsidP="00697AFE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Doba splatnosti faktury činí </w:t>
      </w:r>
      <w:r w:rsidR="00CC0640"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 xml:space="preserve"> kalendářních dnů po jejím doručení kupujícímu. Pro placení jiných plateb (např. úroků z prodlení, smluvních pokut, náhrady škody aj.) si smluvní strany sjednávají 10denní dobu splatnosti od doručení výzvy k úhradě </w:t>
      </w:r>
    </w:p>
    <w:p w14:paraId="2A382893" w14:textId="66F64C18" w:rsidR="00697AFE" w:rsidRDefault="00697AFE" w:rsidP="00697AF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Pokyn Generálního finančního ředitelství k jednotnému postupu při uplatňování některých ustanovení zákona č. 586/1992 Sb., o daních z příjmů, ve znění pozdějších předpisů</w:t>
      </w:r>
      <w:r w:rsidR="00D1121A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 </w:t>
      </w:r>
    </w:p>
    <w:p w14:paraId="05E35103" w14:textId="1327B7E4" w:rsidR="000C5D90" w:rsidRDefault="00BE5489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Nebude-li faktura obsahovat některou povinnou nebo dohodnutou náležitost, </w:t>
      </w:r>
      <w:r w:rsidR="003A345E">
        <w:rPr>
          <w:rFonts w:ascii="Times New Roman" w:hAnsi="Times New Roman"/>
          <w:sz w:val="22"/>
          <w:szCs w:val="22"/>
        </w:rPr>
        <w:t xml:space="preserve">nebo </w:t>
      </w:r>
      <w:r>
        <w:rPr>
          <w:rFonts w:ascii="Times New Roman" w:hAnsi="Times New Roman"/>
          <w:sz w:val="22"/>
          <w:szCs w:val="22"/>
        </w:rPr>
        <w:t>bude</w:t>
      </w:r>
      <w:r w:rsidR="003A345E">
        <w:rPr>
          <w:rFonts w:ascii="Times New Roman" w:hAnsi="Times New Roman"/>
          <w:sz w:val="22"/>
          <w:szCs w:val="22"/>
        </w:rPr>
        <w:t xml:space="preserve"> chybně</w:t>
      </w:r>
      <w:r>
        <w:rPr>
          <w:rFonts w:ascii="Times New Roman" w:hAnsi="Times New Roman"/>
          <w:sz w:val="22"/>
          <w:szCs w:val="22"/>
        </w:rPr>
        <w:t xml:space="preserve"> vyúčtována cena nebo DPH, je kupující oprávněn fakturu před uplynutím doby splatnosti vrátit </w:t>
      </w:r>
      <w:r w:rsidR="003A345E">
        <w:rPr>
          <w:rFonts w:ascii="Times New Roman" w:hAnsi="Times New Roman"/>
          <w:sz w:val="22"/>
          <w:szCs w:val="22"/>
        </w:rPr>
        <w:t xml:space="preserve">druhé smluvní straně </w:t>
      </w:r>
      <w:r>
        <w:rPr>
          <w:rFonts w:ascii="Times New Roman" w:hAnsi="Times New Roman"/>
          <w:sz w:val="22"/>
          <w:szCs w:val="22"/>
        </w:rPr>
        <w:t>k provedení opravy</w:t>
      </w:r>
      <w:r w:rsidR="003A345E">
        <w:rPr>
          <w:rFonts w:ascii="Times New Roman" w:hAnsi="Times New Roman"/>
          <w:sz w:val="22"/>
          <w:szCs w:val="22"/>
        </w:rPr>
        <w:t xml:space="preserve"> s </w:t>
      </w:r>
      <w:r>
        <w:rPr>
          <w:rFonts w:ascii="Times New Roman" w:hAnsi="Times New Roman"/>
          <w:sz w:val="22"/>
          <w:szCs w:val="22"/>
        </w:rPr>
        <w:t>vyznač</w:t>
      </w:r>
      <w:r w:rsidR="003A345E">
        <w:rPr>
          <w:rFonts w:ascii="Times New Roman" w:hAnsi="Times New Roman"/>
          <w:sz w:val="22"/>
          <w:szCs w:val="22"/>
        </w:rPr>
        <w:t>ením</w:t>
      </w:r>
      <w:r>
        <w:rPr>
          <w:rFonts w:ascii="Times New Roman" w:hAnsi="Times New Roman"/>
          <w:sz w:val="22"/>
          <w:szCs w:val="22"/>
        </w:rPr>
        <w:t xml:space="preserve"> důvod</w:t>
      </w:r>
      <w:r w:rsidR="003A345E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vrácení. Prodávající provede opravu vystavením nové faktury. Ode dne odeslání </w:t>
      </w:r>
      <w:r w:rsidR="003A345E">
        <w:rPr>
          <w:rFonts w:ascii="Times New Roman" w:hAnsi="Times New Roman"/>
          <w:sz w:val="22"/>
          <w:szCs w:val="22"/>
        </w:rPr>
        <w:t>chybné</w:t>
      </w:r>
      <w:r>
        <w:rPr>
          <w:rFonts w:ascii="Times New Roman" w:hAnsi="Times New Roman"/>
          <w:sz w:val="22"/>
          <w:szCs w:val="22"/>
        </w:rPr>
        <w:t xml:space="preserve"> faktury přestává běžet původní doba splatnosti. Celá doba splatnosti běží opět ode dne doručení nově vyhotovené faktury kupujícímu. </w:t>
      </w:r>
    </w:p>
    <w:p w14:paraId="63BF9896" w14:textId="77777777" w:rsidR="000C5D90" w:rsidRDefault="00BE5489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 bude doručena do datové schránky kupujícího nebo na elektronickou podatelnu kupujícího </w:t>
      </w:r>
      <w:hyperlink r:id="rId10" w:history="1">
        <w:r>
          <w:rPr>
            <w:rStyle w:val="Hypertextovodkaz"/>
            <w:sz w:val="22"/>
            <w:szCs w:val="22"/>
          </w:rPr>
          <w:t>posta@ostrava.cz</w:t>
        </w:r>
      </w:hyperlink>
      <w:r>
        <w:rPr>
          <w:rFonts w:ascii="Times New Roman" w:hAnsi="Times New Roman"/>
          <w:sz w:val="22"/>
          <w:szCs w:val="22"/>
        </w:rPr>
        <w:t xml:space="preserve"> nebo osobně proti podpisu zástupce prodávajícího nebo jako doporučené psaní prostřednictvím držitele poštovní licence.</w:t>
      </w:r>
    </w:p>
    <w:p w14:paraId="484D909A" w14:textId="697BFF58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 xml:space="preserve">Smluvní strany se dohodly, že platba bude provedena na číslo účtu uvedené prodávajícím ve faktuře bez ohledu na číslo účtu uvedené v záhlaví této smlouvy. Musí se však jednat o číslo účtu zveřejněné způsobem umožňujícím dálkový přístup podle § 96 zákona </w:t>
      </w:r>
      <w:r w:rsidR="003A345E">
        <w:t xml:space="preserve">č. 235/2004 Sb., </w:t>
      </w:r>
      <w:r>
        <w:t xml:space="preserve">o </w:t>
      </w:r>
      <w:r w:rsidR="003A345E">
        <w:t>dani z přidané hodnoty, ve znění pozdějších předpisů</w:t>
      </w:r>
      <w:r>
        <w:t>. Zároveň se musí jednat o účet vedený v tuzemsku.</w:t>
      </w:r>
    </w:p>
    <w:p w14:paraId="62B1432D" w14:textId="151C4F40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 xml:space="preserve">Pokud se stane prodávající nespolehlivým plátcem daně dle § 106a zákona </w:t>
      </w:r>
      <w:r w:rsidR="003A345E">
        <w:t xml:space="preserve">č. 235/2004 Sb., </w:t>
      </w:r>
      <w:r>
        <w:t xml:space="preserve">o </w:t>
      </w:r>
      <w:r w:rsidR="003A345E">
        <w:t xml:space="preserve">dani z přidané hodnoty, ve znění pozdějších předpisů, </w:t>
      </w:r>
      <w:r>
        <w:t xml:space="preserve">je kupující oprávněn uhradit prodávajícímu za zdanitelné plnění částku bez DPH a úhradu samotné DPH provést přímo na příslušný účet daného finančního úřadu, dle § 109a zákona o </w:t>
      </w:r>
      <w:r w:rsidR="003A345E">
        <w:t>dani z přidané hodnoty</w:t>
      </w:r>
      <w:r>
        <w:t>. Zaplacením částky ve výši daně na účet správce daně prodávajícího a zaplacením ceny bez DPH prodávajícímu je splněn závazek kupujícího uhradit sjednanou cenu.</w:t>
      </w:r>
    </w:p>
    <w:p w14:paraId="37603CD2" w14:textId="77777777" w:rsidR="000C5D90" w:rsidRDefault="00BE5489">
      <w:pPr>
        <w:pStyle w:val="Zkladntextodsazen-slo"/>
        <w:numPr>
          <w:ilvl w:val="0"/>
          <w:numId w:val="4"/>
        </w:numPr>
        <w:outlineLvl w:val="9"/>
      </w:pPr>
      <w:r>
        <w:t>Povinnost zaplatit je splněna odepsáním příslušné částky z účtu kupujícího.</w:t>
      </w:r>
    </w:p>
    <w:p w14:paraId="020A0721" w14:textId="77777777" w:rsidR="000C5D90" w:rsidRDefault="00BE5489" w:rsidP="00942004">
      <w:pPr>
        <w:pStyle w:val="Nadpis1"/>
      </w:pPr>
      <w:r>
        <w:lastRenderedPageBreak/>
        <w:br/>
        <w:t>Sankční ujednání</w:t>
      </w:r>
    </w:p>
    <w:p w14:paraId="55C0315D" w14:textId="446940E9" w:rsidR="000C5D90" w:rsidRDefault="00BE5489" w:rsidP="00942004">
      <w:pPr>
        <w:pStyle w:val="Zkladntextodsazen-slo"/>
        <w:numPr>
          <w:ilvl w:val="0"/>
          <w:numId w:val="31"/>
        </w:numPr>
        <w:outlineLvl w:val="9"/>
      </w:pPr>
      <w:r>
        <w:t>Prodávající je povinen zaplatit kupujícímu smluvní pokutu ve výši 0,</w:t>
      </w:r>
      <w:r w:rsidR="00F6174D">
        <w:t xml:space="preserve">2 </w:t>
      </w:r>
      <w:r>
        <w:t>% z kupní ceny předmětu koupě bez DPH, ujednané v čl. III odst. 1 této smlouvy za každý i započatý den prodlení s odevzdáním zboží v termínu sjednaném v čl. IV odst. 1 této smlouvy.</w:t>
      </w:r>
    </w:p>
    <w:p w14:paraId="4932955A" w14:textId="77777777" w:rsidR="000C5D90" w:rsidRDefault="00BE5489" w:rsidP="00942004">
      <w:pPr>
        <w:pStyle w:val="Zkladntextodsazen-slo"/>
        <w:numPr>
          <w:ilvl w:val="0"/>
          <w:numId w:val="31"/>
        </w:numPr>
        <w:outlineLvl w:val="9"/>
      </w:pPr>
      <w:r>
        <w:t>Nebude-li faktura uhrazena v době splatnosti, je kupující povinen zaplatit prodávajícímu úrok z prodlení ve výši 0,015 % z dlužné částky za každý i započatý den prodlení.</w:t>
      </w:r>
    </w:p>
    <w:p w14:paraId="34988300" w14:textId="2A0A271E" w:rsidR="000C5D90" w:rsidRDefault="00BE5489" w:rsidP="00942004">
      <w:pPr>
        <w:pStyle w:val="Zkladntextodsazen-slo"/>
        <w:numPr>
          <w:ilvl w:val="0"/>
          <w:numId w:val="31"/>
        </w:numPr>
        <w:outlineLvl w:val="9"/>
      </w:pPr>
      <w:r>
        <w:t xml:space="preserve">V případě nedodržení termínů dle čl. V., odst. </w:t>
      </w:r>
      <w:r w:rsidR="00033EC2">
        <w:t xml:space="preserve">7. </w:t>
      </w:r>
      <w:r w:rsidR="001931E0">
        <w:t xml:space="preserve"> této smlouvy</w:t>
      </w:r>
      <w:r>
        <w:t>, k odstranění vady, která se projevila v</w:t>
      </w:r>
      <w:r w:rsidR="00B3736E">
        <w:t> </w:t>
      </w:r>
      <w:r>
        <w:t>záruční době, je prodávající povinen zaplatit kup</w:t>
      </w:r>
      <w:r w:rsidR="00CC0640">
        <w:t>ujícímu smluvní pokutu ve výši 5</w:t>
      </w:r>
      <w:r>
        <w:t>00,- Kč za každý i započatý den prodlení a za každý jednotlivý případ.</w:t>
      </w:r>
    </w:p>
    <w:p w14:paraId="59E660A7" w14:textId="77777777" w:rsidR="000C5D90" w:rsidRDefault="00BE5489" w:rsidP="00942004">
      <w:pPr>
        <w:pStyle w:val="Zkladntextodsazen-slo"/>
        <w:numPr>
          <w:ilvl w:val="0"/>
          <w:numId w:val="31"/>
        </w:numPr>
        <w:outlineLvl w:val="9"/>
      </w:pPr>
      <w:r w:rsidRPr="00942004">
        <w:t>Smluvní strany se dohodly, že smluvní strana, která má právo na smluvní pokutu dle této smlouvy, má právo také na náhradu škody vzniklé z porušení povinností, ke kterému se smluvní pokuta vztahuje.</w:t>
      </w:r>
    </w:p>
    <w:p w14:paraId="7616D5B5" w14:textId="77777777" w:rsidR="000C5D90" w:rsidRDefault="00BE5489" w:rsidP="00942004">
      <w:pPr>
        <w:pStyle w:val="Zkladntextodsazen-slo"/>
        <w:numPr>
          <w:ilvl w:val="0"/>
          <w:numId w:val="31"/>
        </w:numPr>
        <w:outlineLvl w:val="9"/>
      </w:pPr>
      <w:r>
        <w:t>Smluvní pokuty sjednané touto smlouvou zaplatí povinná strana nezávisle na zavinění a na tom, zda a v jaké výši vznikne druhé straně škoda, kterou lze vymáhat samostatně.</w:t>
      </w:r>
    </w:p>
    <w:p w14:paraId="6511884C" w14:textId="77777777" w:rsidR="000C5D90" w:rsidRDefault="00BE5489" w:rsidP="00942004">
      <w:pPr>
        <w:pStyle w:val="Zkladntextodsazen-slo"/>
        <w:numPr>
          <w:ilvl w:val="0"/>
          <w:numId w:val="31"/>
        </w:numPr>
        <w:outlineLvl w:val="9"/>
      </w:pPr>
      <w:r>
        <w:t>Smluvní pokuty je kupující oprávněn započíst proti pohledávce prodávajícího.</w:t>
      </w:r>
    </w:p>
    <w:p w14:paraId="6CA6BC13" w14:textId="77777777" w:rsidR="000C5D90" w:rsidRDefault="00BE5489" w:rsidP="00942004">
      <w:pPr>
        <w:pStyle w:val="Nadpis1"/>
      </w:pPr>
      <w:r>
        <w:br/>
        <w:t>Závěrečná ujednání</w:t>
      </w:r>
    </w:p>
    <w:p w14:paraId="538A1764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Tato smlouva </w:t>
      </w:r>
      <w:r w:rsidRPr="008815B2">
        <w:t>nabývá účinnosti dnem uveřejnění prostřednictvím registru smluv.</w:t>
      </w:r>
      <w:r>
        <w:t xml:space="preserve">  </w:t>
      </w:r>
    </w:p>
    <w:p w14:paraId="73B04625" w14:textId="7ADD2B8F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Doložka platnosti právního jednání dle § 41 zákona č. 128/2000 Sb., o obcích (obecní zřízení), ve znění pozdějších předpisů: O uzavření této smlouvy rozhodla rada města usnesením č. </w:t>
      </w:r>
      <w:r w:rsidR="00126A39">
        <w:t>03012</w:t>
      </w:r>
      <w:r>
        <w:t>/</w:t>
      </w:r>
      <w:r w:rsidR="009123A7">
        <w:t>RM2226</w:t>
      </w:r>
      <w:r>
        <w:t>/</w:t>
      </w:r>
      <w:r w:rsidR="00126A39">
        <w:t>50</w:t>
      </w:r>
      <w:r>
        <w:t xml:space="preserve"> ze dne </w:t>
      </w:r>
      <w:r w:rsidR="00126A39">
        <w:t>05</w:t>
      </w:r>
      <w:r>
        <w:t xml:space="preserve">. </w:t>
      </w:r>
      <w:r w:rsidR="00126A39">
        <w:t>12</w:t>
      </w:r>
      <w:r>
        <w:t>. 202</w:t>
      </w:r>
      <w:r w:rsidR="00E92FED">
        <w:t>3</w:t>
      </w:r>
      <w:r>
        <w:t>, kterým bylo rozhodnuto o zadání veřejné zakázky malého rozsahu</w:t>
      </w:r>
      <w:r w:rsidR="00E92FED">
        <w:t xml:space="preserve"> „</w:t>
      </w:r>
      <w:r w:rsidR="006E0ED5">
        <w:t>Switche pro vybudování nové strukturované kabeláže</w:t>
      </w:r>
      <w:r w:rsidR="00E92FED">
        <w:t>“</w:t>
      </w:r>
      <w:r>
        <w:t>.</w:t>
      </w:r>
    </w:p>
    <w:p w14:paraId="6290B82B" w14:textId="5D7C1712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Smluvní strany se dále dohodly ve smyslu § 1740 odst. 2. a 3.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67A9CF3C" w14:textId="77777777" w:rsidR="00D120A1" w:rsidRPr="0062273D" w:rsidRDefault="00D120A1" w:rsidP="00033EC2">
      <w:pPr>
        <w:pStyle w:val="Textkomente"/>
        <w:numPr>
          <w:ilvl w:val="0"/>
          <w:numId w:val="32"/>
        </w:numPr>
        <w:jc w:val="both"/>
        <w:rPr>
          <w:rFonts w:ascii="Times New Roman" w:hAnsi="Times New Roman"/>
          <w:sz w:val="22"/>
          <w:szCs w:val="22"/>
        </w:rPr>
      </w:pPr>
      <w:r w:rsidRPr="0062273D">
        <w:rPr>
          <w:rFonts w:ascii="Times New Roman" w:hAnsi="Times New Roman"/>
          <w:sz w:val="22"/>
          <w:szCs w:val="22"/>
        </w:rPr>
        <w:t>Nad rámec ujednání uvedených v této smlouvě si smluvní strany sjednávají, že žádná ze smluvních stran nenese odpovědnost za prodlení anebo nesplnění závazků založených touto smlouvou, z důvodu okolností vylučujících odpovědnost, mezi něž mimo jiné patří válka, mobilizace, stávka, požár, záplavy, pandemie a jiné objektivní skutkové a právní okolnosti ležící mimo kontrolu té které smluvní strany. Smluvní strany se dohodly, že o dobu trvání těchto okolností se prodlužuje doba plnění příslušných závazků.</w:t>
      </w:r>
    </w:p>
    <w:p w14:paraId="64F641F4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 Zaslání smlouvy do registru smluv zajistí kupující.</w:t>
      </w:r>
    </w:p>
    <w:p w14:paraId="6840DC05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Vady zboží, které jej činí neupotřebitelnými nebo pokud nemá vlastnosti, které si kupující vymínil nebo o kterých ho prodávající ujistil, se považují za podstatné porušení smlouvy a kupující může z tohoto důvodu od smlouvy okamžitě odstoupit.</w:t>
      </w:r>
    </w:p>
    <w:p w14:paraId="1B459F6F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Smluvní strany mohou ukončit smluvní vztah písemnou dohodou. </w:t>
      </w:r>
    </w:p>
    <w:p w14:paraId="59022337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Smlouvu lze rovněž ukončit jednostranným odstoupením od smlouvy v případě, kdy jedna ze smluvních stran poruší smlouvu podstatným způsobem. Podstatným porušením této smlouvy se rozumí zejména</w:t>
      </w:r>
    </w:p>
    <w:p w14:paraId="420DD02B" w14:textId="5610C3EA" w:rsidR="000C5D90" w:rsidRDefault="00BE5489">
      <w:pPr>
        <w:pStyle w:val="Odstavecseseznamem"/>
        <w:numPr>
          <w:ilvl w:val="0"/>
          <w:numId w:val="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porušení ustanovení čl. II., odst. 3. a čl. IV. odst. 1</w:t>
      </w:r>
      <w:r w:rsidR="001931E0">
        <w:rPr>
          <w:rFonts w:ascii="Times New Roman" w:hAnsi="Times New Roman"/>
        </w:rPr>
        <w:t xml:space="preserve"> této smlouvy</w:t>
      </w:r>
      <w:r>
        <w:rPr>
          <w:rFonts w:ascii="Times New Roman" w:hAnsi="Times New Roman"/>
        </w:rPr>
        <w:t xml:space="preserve">, </w:t>
      </w:r>
    </w:p>
    <w:p w14:paraId="26F7DDA3" w14:textId="77777777" w:rsidR="000C5D90" w:rsidRDefault="00BE5489">
      <w:pPr>
        <w:pStyle w:val="Odstavecseseznamem"/>
        <w:numPr>
          <w:ilvl w:val="0"/>
          <w:numId w:val="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zjištění nedodržení vlastností či parametrů prodávajícím dodaného předmětu koupě od těch, které jsou uvedeny v příloze č. 1 této smlouvy,</w:t>
      </w:r>
    </w:p>
    <w:p w14:paraId="0DFE6BCB" w14:textId="77777777" w:rsidR="000C5D90" w:rsidRDefault="00BE54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přičemž smluvní strana, která smlouvu porušila, neprovedla nápravu ani po písemném upozornění ve lhůtě třiceti (30) dnů.</w:t>
      </w:r>
    </w:p>
    <w:p w14:paraId="7479F959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Prodávající nemůže bez souhlasu kupujícího postoupit kterákoliv svá práva, ani převést kterékoliv své povinnosti plynoucí z této smlouvy třetí osobě, ani není oprávněn tuto smlouvu postoupit. </w:t>
      </w:r>
    </w:p>
    <w:p w14:paraId="065FCACA" w14:textId="78EFFDE9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lastRenderedPageBreak/>
        <w:t>Tato smlouva obsahuje úplné ujednání o předmětu smlouvy a všech náležitostech, které strany měly a chtěly ve smlouvě ujednat, a které považují za důležité pro závaznost této smlouvy. Žádný projev smluvních stran učiněný při jednání o této smlouvě ani projev učiněný po uzavření této smlouvy nesmí být vykládán v</w:t>
      </w:r>
      <w:r w:rsidR="00942004">
        <w:t> </w:t>
      </w:r>
      <w:r>
        <w:t>rozporu s výslovnými ustanoveními této smlouvy a nezakládá žádný závazek žádné ze smluvních stran.</w:t>
      </w:r>
    </w:p>
    <w:p w14:paraId="23F359D0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Ukáže-li se některé z ustanovení této smlouvy zdánlivým (nicotným), posoudí se vliv této vady na ostatní ustanovení smlouvy obdobně podle § 576 občanského zákoníku</w:t>
      </w:r>
    </w:p>
    <w:p w14:paraId="49C93D67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Písemnosti se považují za doručené i v případě, že kterákoliv ze smluvních stran její doručení odmítne či jinak znemožní.</w:t>
      </w:r>
    </w:p>
    <w:p w14:paraId="48458524" w14:textId="77777777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Smluvní strany shodně prohlašují, že si tuto smlouvu před jejím podepsáním přečetly, a že s jejím obsahem souhlasí.</w:t>
      </w:r>
    </w:p>
    <w:p w14:paraId="2E117F0F" w14:textId="12BA6E0B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Smlouva bude uzavřena v elektronické podobě.</w:t>
      </w:r>
    </w:p>
    <w:p w14:paraId="1ADC14F7" w14:textId="77453D12" w:rsidR="001227D9" w:rsidRDefault="00BE5489" w:rsidP="00942004">
      <w:pPr>
        <w:pStyle w:val="Zkladntextodsazen-slo"/>
        <w:keepNext/>
        <w:numPr>
          <w:ilvl w:val="0"/>
          <w:numId w:val="32"/>
        </w:numPr>
        <w:outlineLvl w:val="9"/>
      </w:pPr>
      <w:r>
        <w:t>Nedílnou součástí této smlouvy j</w:t>
      </w:r>
      <w:r w:rsidR="001227D9">
        <w:t xml:space="preserve">sou </w:t>
      </w:r>
      <w:r>
        <w:t>příloh</w:t>
      </w:r>
      <w:r w:rsidR="001227D9">
        <w:t>y:</w:t>
      </w:r>
    </w:p>
    <w:p w14:paraId="70443923" w14:textId="776780B9" w:rsidR="000C5D90" w:rsidRDefault="001227D9" w:rsidP="00942004">
      <w:pPr>
        <w:pStyle w:val="Odstavecseseznamem"/>
        <w:keepNext/>
        <w:numPr>
          <w:ilvl w:val="0"/>
          <w:numId w:val="9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</w:rPr>
      </w:pPr>
      <w:r w:rsidRPr="001942F5">
        <w:rPr>
          <w:rFonts w:ascii="Times New Roman" w:hAnsi="Times New Roman"/>
        </w:rPr>
        <w:t xml:space="preserve">příloha </w:t>
      </w:r>
      <w:r w:rsidR="00BE5489" w:rsidRPr="001942F5">
        <w:rPr>
          <w:rFonts w:ascii="Times New Roman" w:hAnsi="Times New Roman"/>
        </w:rPr>
        <w:t>č. 1 – Specifikace předmětu plnění</w:t>
      </w:r>
      <w:r w:rsidR="00526765">
        <w:rPr>
          <w:rFonts w:ascii="Times New Roman" w:hAnsi="Times New Roman"/>
        </w:rPr>
        <w:t xml:space="preserve"> a kalkulace kupní ceny</w:t>
      </w:r>
    </w:p>
    <w:p w14:paraId="31932592" w14:textId="77777777" w:rsidR="000C5D90" w:rsidRDefault="000C5D90">
      <w:pPr>
        <w:tabs>
          <w:tab w:val="left" w:pos="0"/>
          <w:tab w:val="left" w:pos="4990"/>
        </w:tabs>
        <w:spacing w:before="0"/>
        <w:jc w:val="both"/>
        <w:rPr>
          <w:b/>
        </w:rPr>
      </w:pPr>
    </w:p>
    <w:p w14:paraId="75151087" w14:textId="77777777" w:rsidR="000C5D90" w:rsidRDefault="000C5D90">
      <w:pPr>
        <w:tabs>
          <w:tab w:val="left" w:pos="0"/>
          <w:tab w:val="left" w:pos="4990"/>
        </w:tabs>
        <w:spacing w:before="0"/>
        <w:jc w:val="both"/>
        <w:rPr>
          <w:b/>
        </w:rPr>
      </w:pPr>
    </w:p>
    <w:p w14:paraId="4427F79D" w14:textId="77777777" w:rsidR="000C5D90" w:rsidRDefault="000C5D90">
      <w:pPr>
        <w:tabs>
          <w:tab w:val="left" w:pos="0"/>
          <w:tab w:val="left" w:pos="4990"/>
        </w:tabs>
        <w:spacing w:before="0"/>
        <w:jc w:val="both"/>
        <w:rPr>
          <w:b/>
        </w:rPr>
      </w:pPr>
    </w:p>
    <w:p w14:paraId="4C532384" w14:textId="77777777" w:rsidR="000C5D90" w:rsidRDefault="00BE5489">
      <w:pPr>
        <w:keepNext/>
        <w:tabs>
          <w:tab w:val="left" w:pos="0"/>
          <w:tab w:val="left" w:pos="4990"/>
        </w:tabs>
        <w:spacing w:before="0"/>
        <w:jc w:val="both"/>
        <w:rPr>
          <w:rFonts w:cs="Arial"/>
          <w:b/>
        </w:rPr>
      </w:pPr>
      <w:r>
        <w:rPr>
          <w:b/>
        </w:rPr>
        <w:t>Za kupujícího</w:t>
      </w:r>
      <w:r>
        <w:rPr>
          <w:rFonts w:cs="Arial"/>
          <w:b/>
        </w:rPr>
        <w:tab/>
      </w:r>
      <w:r>
        <w:rPr>
          <w:b/>
        </w:rPr>
        <w:t>Za prodávajícího</w:t>
      </w:r>
    </w:p>
    <w:p w14:paraId="2C8664DB" w14:textId="77777777" w:rsidR="000C5D90" w:rsidRDefault="00BE5489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3AD80099" w14:textId="77777777" w:rsidR="000C5D90" w:rsidRDefault="000C5D9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7A9A7CEF" w14:textId="4C299858" w:rsidR="000C5D90" w:rsidRDefault="000C5D9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72C63ECF" w14:textId="77777777" w:rsidR="00AD0DA6" w:rsidRDefault="00AD0DA6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13B7DBAE" w14:textId="77777777" w:rsidR="000C5D90" w:rsidRDefault="000C5D9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0F73699F" w14:textId="77777777" w:rsidR="000C5D90" w:rsidRDefault="00BE5489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9A7B035" w14:textId="0C630CC3" w:rsidR="000C5D90" w:rsidRDefault="00BE5489">
      <w:pPr>
        <w:tabs>
          <w:tab w:val="left" w:pos="0"/>
          <w:tab w:val="left" w:pos="4990"/>
        </w:tabs>
        <w:spacing w:befor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Mgr. </w:t>
      </w:r>
      <w:r w:rsidR="004C223B">
        <w:rPr>
          <w:rFonts w:ascii="Times New Roman" w:hAnsi="Times New Roman"/>
          <w:b/>
          <w:sz w:val="22"/>
        </w:rPr>
        <w:t>Andrea Hoffmannová Ph.D.</w:t>
      </w:r>
      <w:r>
        <w:rPr>
          <w:rFonts w:ascii="Times New Roman" w:hAnsi="Times New Roman"/>
          <w:b/>
          <w:sz w:val="22"/>
          <w:szCs w:val="22"/>
        </w:rPr>
        <w:tab/>
      </w:r>
      <w:r w:rsidR="006E0ED5">
        <w:rPr>
          <w:b/>
        </w:rPr>
        <w:t>Lukáš Reif</w:t>
      </w:r>
    </w:p>
    <w:p w14:paraId="0EB3A3F5" w14:textId="6A0D84E6" w:rsidR="006E0ED5" w:rsidRDefault="00BE5489" w:rsidP="006E0ED5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náměst</w:t>
      </w:r>
      <w:r w:rsidR="007F254C">
        <w:rPr>
          <w:rFonts w:ascii="Times New Roman" w:hAnsi="Times New Roman"/>
          <w:sz w:val="22"/>
        </w:rPr>
        <w:t>kyně</w:t>
      </w:r>
      <w:r>
        <w:rPr>
          <w:rFonts w:ascii="Times New Roman" w:hAnsi="Times New Roman"/>
          <w:sz w:val="22"/>
        </w:rPr>
        <w:t xml:space="preserve"> primátora</w:t>
      </w:r>
      <w:r>
        <w:tab/>
      </w:r>
      <w:r w:rsidR="006E0ED5">
        <w:t>p</w:t>
      </w:r>
      <w:r w:rsidR="006E0ED5">
        <w:rPr>
          <w:rFonts w:ascii="Times New Roman" w:hAnsi="Times New Roman"/>
          <w:sz w:val="22"/>
        </w:rPr>
        <w:t>rokurista</w:t>
      </w:r>
    </w:p>
    <w:p w14:paraId="0BBABDFA" w14:textId="3A64790B" w:rsidR="000C5D90" w:rsidRDefault="00BE5489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základě plné moci </w:t>
      </w:r>
    </w:p>
    <w:p w14:paraId="3B847FED" w14:textId="652C7446" w:rsidR="00AD0DA6" w:rsidRDefault="00AD0DA6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</w:p>
    <w:p w14:paraId="75757EB6" w14:textId="219BD163" w:rsidR="00AD0DA6" w:rsidRDefault="00AD0DA6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„podepsáno elektronicky“</w:t>
      </w:r>
      <w:r>
        <w:rPr>
          <w:rFonts w:ascii="Times New Roman" w:hAnsi="Times New Roman"/>
          <w:sz w:val="22"/>
          <w:szCs w:val="22"/>
        </w:rPr>
        <w:tab/>
        <w:t>„podepsáno elektronicky“</w:t>
      </w:r>
    </w:p>
    <w:p w14:paraId="71BC7803" w14:textId="77777777" w:rsidR="00AD0DA6" w:rsidRDefault="00AD0DA6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</w:p>
    <w:p w14:paraId="3CA30151" w14:textId="2A506922" w:rsidR="001227D9" w:rsidRDefault="004C223B" w:rsidP="001227D9">
      <w:pPr>
        <w:pageBreakBefore/>
        <w:spacing w:after="120"/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</w:t>
      </w:r>
      <w:r w:rsidR="001227D9">
        <w:rPr>
          <w:rFonts w:ascii="Times New Roman" w:hAnsi="Times New Roman"/>
          <w:sz w:val="22"/>
          <w:szCs w:val="22"/>
        </w:rPr>
        <w:t xml:space="preserve">říloha č. </w:t>
      </w:r>
      <w:r w:rsidR="009A1CE4">
        <w:rPr>
          <w:rFonts w:ascii="Times New Roman" w:hAnsi="Times New Roman"/>
          <w:sz w:val="22"/>
          <w:szCs w:val="22"/>
        </w:rPr>
        <w:t>1</w:t>
      </w:r>
      <w:r w:rsidR="001227D9">
        <w:rPr>
          <w:rFonts w:ascii="Times New Roman" w:hAnsi="Times New Roman"/>
          <w:sz w:val="22"/>
          <w:szCs w:val="22"/>
        </w:rPr>
        <w:t xml:space="preserve"> ke smlouvě č.: </w:t>
      </w:r>
      <w:r w:rsidR="00950306">
        <w:rPr>
          <w:rFonts w:ascii="Times New Roman" w:hAnsi="Times New Roman"/>
          <w:sz w:val="22"/>
          <w:szCs w:val="22"/>
        </w:rPr>
        <w:t>2803</w:t>
      </w:r>
      <w:r w:rsidR="001227D9">
        <w:rPr>
          <w:rFonts w:ascii="Times New Roman" w:hAnsi="Times New Roman"/>
          <w:sz w:val="22"/>
          <w:szCs w:val="22"/>
        </w:rPr>
        <w:t>/202</w:t>
      </w:r>
      <w:r w:rsidR="00E92FED">
        <w:rPr>
          <w:rFonts w:ascii="Times New Roman" w:hAnsi="Times New Roman"/>
          <w:sz w:val="22"/>
          <w:szCs w:val="22"/>
        </w:rPr>
        <w:t>3</w:t>
      </w:r>
      <w:r w:rsidR="001227D9">
        <w:rPr>
          <w:rFonts w:ascii="Times New Roman" w:hAnsi="Times New Roman"/>
          <w:sz w:val="22"/>
          <w:szCs w:val="22"/>
        </w:rPr>
        <w:t>/IT</w:t>
      </w:r>
    </w:p>
    <w:p w14:paraId="36409E9B" w14:textId="74CDB5C8" w:rsidR="00E92FED" w:rsidRDefault="00E92FED" w:rsidP="00E92FED">
      <w:pPr>
        <w:pStyle w:val="Nadpis1"/>
        <w:numPr>
          <w:ilvl w:val="0"/>
          <w:numId w:val="0"/>
        </w:numPr>
        <w:rPr>
          <w:sz w:val="36"/>
          <w:szCs w:val="36"/>
        </w:rPr>
      </w:pPr>
      <w:r w:rsidRPr="00354392">
        <w:rPr>
          <w:sz w:val="36"/>
          <w:szCs w:val="36"/>
        </w:rPr>
        <w:t xml:space="preserve">Specifikace předmětu </w:t>
      </w:r>
      <w:r w:rsidR="000F2C70">
        <w:rPr>
          <w:sz w:val="36"/>
          <w:szCs w:val="36"/>
        </w:rPr>
        <w:t>plnění</w:t>
      </w:r>
      <w:r w:rsidRPr="00354392">
        <w:rPr>
          <w:sz w:val="36"/>
          <w:szCs w:val="36"/>
        </w:rPr>
        <w:t xml:space="preserve"> a kalkulace kupní ceny</w:t>
      </w:r>
    </w:p>
    <w:p w14:paraId="32FDCB2A" w14:textId="77777777" w:rsidR="00E92FED" w:rsidRDefault="00E92FED" w:rsidP="00E92FED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Specifikace předmětu koupě: </w:t>
      </w:r>
    </w:p>
    <w:p w14:paraId="141AE2E1" w14:textId="77777777" w:rsidR="00B671D4" w:rsidRDefault="00B671D4" w:rsidP="00B671D4">
      <w:pPr>
        <w:pStyle w:val="Odstavecseseznamem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 xml:space="preserve">1) </w:t>
      </w:r>
      <w:r>
        <w:rPr>
          <w:rFonts w:asciiTheme="minorHAnsi" w:hAnsiTheme="minorHAnsi" w:cstheme="minorHAnsi"/>
          <w:sz w:val="20"/>
        </w:rPr>
        <w:t>dodavatel uvede konkrétní hodnotu nabízeného parametru, popřípadě zvolí hodnotu ANO/NE</w:t>
      </w:r>
    </w:p>
    <w:p w14:paraId="2C9A9D0B" w14:textId="77777777" w:rsidR="004C223B" w:rsidRDefault="004C223B" w:rsidP="00E92FED">
      <w:pPr>
        <w:pStyle w:val="Odstavecseseznamem"/>
        <w:spacing w:after="40"/>
        <w:ind w:left="0"/>
        <w:rPr>
          <w:rFonts w:ascii="Times New Roman" w:hAnsi="Times New Roman"/>
          <w:iCs/>
          <w:sz w:val="18"/>
          <w:szCs w:val="18"/>
        </w:rPr>
      </w:pPr>
    </w:p>
    <w:p w14:paraId="5E860C41" w14:textId="0B6E96C4" w:rsidR="00E92FED" w:rsidRDefault="00E92FED" w:rsidP="00E92FED">
      <w:pPr>
        <w:pStyle w:val="Odstavecseseznamem"/>
        <w:spacing w:after="40"/>
        <w:ind w:left="0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Tab1. Specifikace předmětu koupě</w:t>
      </w:r>
    </w:p>
    <w:tbl>
      <w:tblPr>
        <w:tblW w:w="970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842"/>
        <w:gridCol w:w="1416"/>
        <w:gridCol w:w="4882"/>
      </w:tblGrid>
      <w:tr w:rsidR="006E0ED5" w14:paraId="5F287576" w14:textId="77777777" w:rsidTr="005325B0">
        <w:trPr>
          <w:trHeight w:val="210"/>
        </w:trPr>
        <w:tc>
          <w:tcPr>
            <w:tcW w:w="1561" w:type="dxa"/>
            <w:vMerge w:val="restart"/>
            <w:shd w:val="clear" w:color="000000" w:fill="FCD5B4"/>
            <w:noWrap/>
            <w:vAlign w:val="center"/>
            <w:hideMark/>
          </w:tcPr>
          <w:p w14:paraId="326A198F" w14:textId="4C1EC7AE" w:rsidR="006E0ED5" w:rsidRDefault="006E0ED5" w:rsidP="00B671D4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Switch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635A8B" w14:textId="77777777" w:rsidR="006E0ED5" w:rsidRPr="006E0ED5" w:rsidRDefault="006E0ED5" w:rsidP="00291D20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0ED5">
              <w:rPr>
                <w:rFonts w:asciiTheme="minorHAnsi" w:hAnsiTheme="minorHAnsi" w:cstheme="minorHAnsi"/>
                <w:color w:val="000000"/>
              </w:rPr>
              <w:t>výrobce</w:t>
            </w:r>
          </w:p>
        </w:tc>
        <w:tc>
          <w:tcPr>
            <w:tcW w:w="62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CF20C2" w14:textId="57D0F54E" w:rsidR="006E0ED5" w:rsidRPr="006E0ED5" w:rsidRDefault="006E0ED5" w:rsidP="006E0ED5">
            <w:pPr>
              <w:spacing w:after="6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6E0ED5">
              <w:rPr>
                <w:rFonts w:asciiTheme="minorHAnsi" w:hAnsiTheme="minorHAnsi" w:cstheme="minorHAnsi"/>
                <w:color w:val="000000"/>
              </w:rPr>
              <w:t xml:space="preserve">Huawei Technologies Co., Ltd. </w:t>
            </w:r>
          </w:p>
        </w:tc>
      </w:tr>
      <w:tr w:rsidR="006E0ED5" w14:paraId="5FADCFC7" w14:textId="77777777" w:rsidTr="006E0ED5">
        <w:trPr>
          <w:trHeight w:val="220"/>
        </w:trPr>
        <w:tc>
          <w:tcPr>
            <w:tcW w:w="1561" w:type="dxa"/>
            <w:vMerge/>
            <w:vAlign w:val="center"/>
            <w:hideMark/>
          </w:tcPr>
          <w:p w14:paraId="2E2F188C" w14:textId="77777777" w:rsidR="006E0ED5" w:rsidRDefault="006E0ED5" w:rsidP="006E0ED5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CD73D2" w14:textId="77777777" w:rsidR="006E0ED5" w:rsidRPr="006E0ED5" w:rsidRDefault="006E0ED5" w:rsidP="006E0ED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0ED5">
              <w:rPr>
                <w:rFonts w:asciiTheme="minorHAnsi" w:hAnsiTheme="minorHAnsi" w:cstheme="minorHAnsi"/>
                <w:color w:val="000000"/>
              </w:rPr>
              <w:t>typ</w:t>
            </w:r>
          </w:p>
        </w:tc>
        <w:tc>
          <w:tcPr>
            <w:tcW w:w="62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453D8B7" w14:textId="76151600" w:rsidR="006E0ED5" w:rsidRPr="006E0ED5" w:rsidRDefault="006E0ED5" w:rsidP="006E0ED5">
            <w:pPr>
              <w:spacing w:after="6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6E0ED5">
              <w:rPr>
                <w:rFonts w:asciiTheme="minorHAnsi" w:hAnsiTheme="minorHAnsi" w:cstheme="minorHAnsi"/>
                <w:color w:val="000000"/>
              </w:rPr>
              <w:t>S5731-S48P4X (48*10/100/1000BASE-T ports,4*10GE SFP+ ports,PoE+,without power module) + S57XX-S Series Basic SW,Per Device + 600W AC&amp;240V DC Power Module (Back to</w:t>
            </w:r>
            <w:r>
              <w:rPr>
                <w:rFonts w:asciiTheme="minorHAnsi" w:hAnsiTheme="minorHAnsi" w:cstheme="minorHAnsi"/>
                <w:color w:val="000000"/>
              </w:rPr>
              <w:t xml:space="preserve"> Front,Power panel side exhaust)</w:t>
            </w:r>
          </w:p>
        </w:tc>
      </w:tr>
      <w:tr w:rsidR="00B671D4" w14:paraId="274D0273" w14:textId="77777777" w:rsidTr="00291D20">
        <w:trPr>
          <w:trHeight w:val="220"/>
          <w:tblHeader/>
        </w:trPr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08E354" w14:textId="77777777" w:rsidR="00B671D4" w:rsidRDefault="00B671D4" w:rsidP="00291D20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min. požadované parametry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BFBFBF"/>
            <w:noWrap/>
            <w:hideMark/>
          </w:tcPr>
          <w:p w14:paraId="3205E5C8" w14:textId="77777777" w:rsidR="00B671D4" w:rsidRDefault="00B671D4" w:rsidP="00291D20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nabízené parametry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</w:rPr>
              <w:t>1)</w:t>
            </w:r>
          </w:p>
        </w:tc>
      </w:tr>
      <w:tr w:rsidR="00B671D4" w14:paraId="1F77D352" w14:textId="77777777" w:rsidTr="00291D20">
        <w:trPr>
          <w:trHeight w:val="623"/>
        </w:trPr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3F3F13" w14:textId="47FA9DCE" w:rsidR="00B671D4" w:rsidRPr="00B671D4" w:rsidRDefault="00B671D4" w:rsidP="00B671D4">
            <w:pPr>
              <w:jc w:val="center"/>
              <w:rPr>
                <w:rFonts w:asciiTheme="minorHAnsi" w:hAnsiTheme="minorHAnsi" w:cstheme="minorHAnsi"/>
              </w:rPr>
            </w:pPr>
            <w:r w:rsidRPr="00B671D4">
              <w:rPr>
                <w:rFonts w:asciiTheme="minorHAnsi" w:hAnsiTheme="minorHAnsi" w:cstheme="minorHAnsi"/>
              </w:rPr>
              <w:t>GE managovatelný PoE  L3+ switch s podporou Jumbo frame,</w:t>
            </w:r>
          </w:p>
          <w:p w14:paraId="766391D8" w14:textId="3DE487AB" w:rsidR="00B671D4" w:rsidRPr="00B671D4" w:rsidRDefault="00B671D4" w:rsidP="00B671D4">
            <w:pPr>
              <w:jc w:val="center"/>
              <w:rPr>
                <w:rFonts w:asciiTheme="minorHAnsi" w:hAnsiTheme="minorHAnsi" w:cstheme="minorHAnsi"/>
              </w:rPr>
            </w:pPr>
            <w:r w:rsidRPr="00B671D4">
              <w:rPr>
                <w:rFonts w:asciiTheme="minorHAnsi" w:hAnsiTheme="minorHAnsi" w:cstheme="minorHAnsi"/>
              </w:rPr>
              <w:t xml:space="preserve">Min: 32K MAC, 4094 VLAN, 16K arp záznamu, 2.5K ACLs, </w:t>
            </w:r>
            <w:r w:rsidRPr="00B671D4">
              <w:rPr>
                <w:rFonts w:asciiTheme="minorHAnsi" w:hAnsiTheme="minorHAnsi" w:cstheme="minorHAnsi"/>
              </w:rPr>
              <w:br/>
              <w:t xml:space="preserve">Advanced L3+ funkcionality - OSPF, BGP, VRP, ISIS, IGMP, </w:t>
            </w:r>
            <w:r w:rsidR="0020631C" w:rsidRPr="00B41271">
              <w:rPr>
                <w:rFonts w:asciiTheme="minorHAnsi" w:hAnsiTheme="minorHAnsi" w:cstheme="minorHAnsi"/>
              </w:rPr>
              <w:t>HW s podporou VXLAN</w:t>
            </w:r>
            <w:r w:rsidRPr="00B671D4">
              <w:rPr>
                <w:rFonts w:asciiTheme="minorHAnsi" w:hAnsiTheme="minorHAnsi" w:cstheme="minorHAnsi"/>
              </w:rPr>
              <w:t>, NetStream, ECA, Telemetry</w:t>
            </w:r>
          </w:p>
          <w:p w14:paraId="64DEF26B" w14:textId="37093DB9" w:rsidR="00B671D4" w:rsidRPr="00B671D4" w:rsidRDefault="00B671D4" w:rsidP="00B671D4">
            <w:pPr>
              <w:jc w:val="center"/>
              <w:rPr>
                <w:rFonts w:asciiTheme="minorHAnsi" w:hAnsiTheme="minorHAnsi" w:cstheme="minorHAnsi"/>
              </w:rPr>
            </w:pPr>
            <w:r w:rsidRPr="00B671D4">
              <w:rPr>
                <w:rFonts w:asciiTheme="minorHAnsi" w:hAnsiTheme="minorHAnsi" w:cstheme="minorHAnsi"/>
              </w:rPr>
              <w:t>Management: Remote configuration and maintenance using Telnet, CLI, SSH, SNMP v1/v2c/v3, RMON, Web-based NMS, HTTPS, NetStream</w:t>
            </w:r>
            <w:r w:rsidRPr="00B671D4">
              <w:rPr>
                <w:rFonts w:asciiTheme="minorHAnsi" w:hAnsiTheme="minorHAnsi" w:cstheme="minorHAnsi"/>
              </w:rPr>
              <w:br/>
              <w:t>19" Rackmount s fixními porty</w:t>
            </w:r>
            <w:r w:rsidRPr="00B671D4">
              <w:rPr>
                <w:rFonts w:asciiTheme="minorHAnsi" w:hAnsiTheme="minorHAnsi" w:cstheme="minorHAnsi"/>
              </w:rPr>
              <w:br/>
              <w:t>10GE SFP+ uplink porty</w:t>
            </w:r>
            <w:r w:rsidRPr="00B671D4">
              <w:rPr>
                <w:rFonts w:asciiTheme="minorHAnsi" w:hAnsiTheme="minorHAnsi" w:cstheme="minorHAnsi"/>
              </w:rPr>
              <w:br/>
              <w:t xml:space="preserve">Podpora Stack </w:t>
            </w:r>
          </w:p>
          <w:p w14:paraId="689C1AAB" w14:textId="77777777" w:rsidR="00B671D4" w:rsidRDefault="00B671D4" w:rsidP="00B671D4">
            <w:pPr>
              <w:jc w:val="center"/>
              <w:rPr>
                <w:rFonts w:asciiTheme="minorHAnsi" w:hAnsiTheme="minorHAnsi" w:cstheme="minorHAnsi"/>
              </w:rPr>
            </w:pPr>
            <w:r w:rsidRPr="00B671D4">
              <w:rPr>
                <w:rFonts w:asciiTheme="minorHAnsi" w:hAnsiTheme="minorHAnsi" w:cstheme="minorHAnsi"/>
              </w:rPr>
              <w:t>Dual hot-swap power supply</w:t>
            </w:r>
            <w:r w:rsidRPr="00B671D4">
              <w:rPr>
                <w:rFonts w:asciiTheme="minorHAnsi" w:hAnsiTheme="minorHAnsi" w:cstheme="minorHAnsi"/>
              </w:rPr>
              <w:br/>
              <w:t>PoE power min 760 W</w:t>
            </w:r>
            <w:r w:rsidRPr="00B671D4">
              <w:rPr>
                <w:rFonts w:asciiTheme="minorHAnsi" w:hAnsiTheme="minorHAnsi" w:cstheme="minorHAnsi"/>
              </w:rPr>
              <w:br/>
              <w:t>Switching Capacity min: 672 Gbps</w:t>
            </w:r>
            <w:r w:rsidRPr="00B671D4">
              <w:rPr>
                <w:rFonts w:asciiTheme="minorHAnsi" w:hAnsiTheme="minorHAnsi" w:cstheme="minorHAnsi"/>
              </w:rPr>
              <w:br/>
              <w:t>Forwarding capacity min: 85 Mpps</w:t>
            </w:r>
          </w:p>
          <w:p w14:paraId="55152817" w14:textId="14E31FB4" w:rsidR="0078485D" w:rsidRDefault="0078485D" w:rsidP="00B671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E41CC">
              <w:rPr>
                <w:rFonts w:asciiTheme="minorHAnsi" w:hAnsiTheme="minorHAnsi" w:cstheme="minorHAnsi"/>
              </w:rPr>
              <w:t>in 48x GE PoE+ RJ-45 port a 4x 10GE SFP+ port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FD47F" w14:textId="06FA46B9" w:rsidR="00B671D4" w:rsidRDefault="006E0ED5" w:rsidP="00291D20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ANO - splňuje</w:t>
            </w:r>
          </w:p>
        </w:tc>
      </w:tr>
    </w:tbl>
    <w:p w14:paraId="559499D0" w14:textId="16712462" w:rsidR="00E92FED" w:rsidRDefault="00E92FED"/>
    <w:p w14:paraId="64583161" w14:textId="77777777" w:rsidR="00F318E7" w:rsidRPr="007C7828" w:rsidRDefault="00F318E7" w:rsidP="00F318E7">
      <w:pPr>
        <w:pStyle w:val="Nadpis1"/>
        <w:numPr>
          <w:ilvl w:val="0"/>
          <w:numId w:val="0"/>
        </w:numPr>
        <w:rPr>
          <w:sz w:val="36"/>
          <w:szCs w:val="36"/>
        </w:rPr>
      </w:pPr>
      <w:r w:rsidRPr="007C7828">
        <w:rPr>
          <w:sz w:val="36"/>
          <w:szCs w:val="36"/>
        </w:rPr>
        <w:t>Kalkulace kupní ceny:</w:t>
      </w:r>
    </w:p>
    <w:p w14:paraId="6B3FFE56" w14:textId="77777777" w:rsidR="00F318E7" w:rsidRDefault="00F318E7"/>
    <w:tbl>
      <w:tblPr>
        <w:tblStyle w:val="Mkatabulky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518"/>
        <w:gridCol w:w="2869"/>
        <w:gridCol w:w="567"/>
        <w:gridCol w:w="1843"/>
        <w:gridCol w:w="1843"/>
      </w:tblGrid>
      <w:tr w:rsidR="00B671D4" w:rsidRPr="00366727" w14:paraId="5B98F617" w14:textId="77777777" w:rsidTr="00B671D4">
        <w:trPr>
          <w:trHeight w:val="427"/>
          <w:jc w:val="center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420B0F4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  <w:lang w:eastAsia="x-none"/>
              </w:rPr>
            </w:pPr>
            <w:r w:rsidRPr="006E0ED5">
              <w:rPr>
                <w:rFonts w:asciiTheme="minorHAnsi" w:hAnsiTheme="minorHAnsi" w:cstheme="minorHAnsi"/>
                <w:b/>
                <w:lang w:eastAsia="x-none"/>
              </w:rPr>
              <w:t>Pol.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5314CB1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  <w:lang w:eastAsia="x-none"/>
              </w:rPr>
            </w:pPr>
            <w:r w:rsidRPr="006E0ED5">
              <w:rPr>
                <w:rFonts w:asciiTheme="minorHAnsi" w:hAnsiTheme="minorHAnsi" w:cstheme="minorHAnsi"/>
                <w:b/>
                <w:bCs/>
                <w:color w:val="000000"/>
              </w:rPr>
              <w:t>Popis</w:t>
            </w: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0F580A28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0ED5">
              <w:rPr>
                <w:rFonts w:asciiTheme="minorHAnsi" w:hAnsiTheme="minorHAnsi" w:cstheme="minorHAnsi"/>
                <w:b/>
              </w:rPr>
              <w:t>Výrobce / Typ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8A4A91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0ED5"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5B72B2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0ED5">
              <w:rPr>
                <w:rFonts w:asciiTheme="minorHAnsi" w:hAnsiTheme="minorHAnsi" w:cstheme="minorHAnsi"/>
                <w:b/>
              </w:rPr>
              <w:t>Cena v Kč bez DPH/ks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4BDE38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0ED5">
              <w:rPr>
                <w:rFonts w:asciiTheme="minorHAnsi" w:hAnsiTheme="minorHAnsi" w:cstheme="minorHAnsi"/>
                <w:b/>
              </w:rPr>
              <w:t>Celkem v Kč bez DPH</w:t>
            </w:r>
          </w:p>
        </w:tc>
      </w:tr>
      <w:tr w:rsidR="006E0ED5" w:rsidRPr="00366727" w14:paraId="1A94AAAB" w14:textId="77777777" w:rsidTr="00B671D4">
        <w:trPr>
          <w:trHeight w:hRule="exact" w:val="562"/>
          <w:jc w:val="center"/>
        </w:trPr>
        <w:tc>
          <w:tcPr>
            <w:tcW w:w="595" w:type="dxa"/>
            <w:vAlign w:val="center"/>
          </w:tcPr>
          <w:p w14:paraId="1625B1D7" w14:textId="77777777" w:rsidR="006E0ED5" w:rsidRPr="006E0ED5" w:rsidRDefault="006E0ED5" w:rsidP="006E0E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0ED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518" w:type="dxa"/>
            <w:vAlign w:val="center"/>
          </w:tcPr>
          <w:p w14:paraId="3F2444A5" w14:textId="7037E124" w:rsidR="006E0ED5" w:rsidRPr="006E0ED5" w:rsidRDefault="006E0ED5" w:rsidP="006E0E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E0ED5">
              <w:rPr>
                <w:rFonts w:asciiTheme="minorHAnsi" w:hAnsiTheme="minorHAnsi" w:cstheme="minorHAnsi"/>
                <w:sz w:val="22"/>
                <w:szCs w:val="22"/>
              </w:rPr>
              <w:t>Switch</w:t>
            </w:r>
          </w:p>
        </w:tc>
        <w:tc>
          <w:tcPr>
            <w:tcW w:w="2869" w:type="dxa"/>
            <w:vAlign w:val="center"/>
          </w:tcPr>
          <w:p w14:paraId="6D6A48FA" w14:textId="36A24C8A" w:rsidR="006E0ED5" w:rsidRPr="006E0ED5" w:rsidRDefault="006E0ED5" w:rsidP="006E0ED5">
            <w:pPr>
              <w:jc w:val="center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    Huawei S5731-S48P4X (48*10/100/1000BASE-T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E9343" w14:textId="3837D329" w:rsidR="006E0ED5" w:rsidRPr="006E0ED5" w:rsidRDefault="006E0ED5" w:rsidP="006E0ED5">
            <w:pPr>
              <w:jc w:val="center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3" w:type="dxa"/>
            <w:vAlign w:val="center"/>
          </w:tcPr>
          <w:p w14:paraId="0FE42F4F" w14:textId="62FB7292" w:rsidR="006E0ED5" w:rsidRPr="006E0ED5" w:rsidRDefault="006E0ED5" w:rsidP="006E0ED5">
            <w:pPr>
              <w:ind w:right="182"/>
              <w:jc w:val="right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  53 487,00</w:t>
            </w:r>
          </w:p>
        </w:tc>
        <w:tc>
          <w:tcPr>
            <w:tcW w:w="1843" w:type="dxa"/>
            <w:vAlign w:val="center"/>
          </w:tcPr>
          <w:p w14:paraId="3FF7A57E" w14:textId="006D65EB" w:rsidR="006E0ED5" w:rsidRPr="006E0ED5" w:rsidRDefault="006E0ED5" w:rsidP="006E0ED5">
            <w:pPr>
              <w:ind w:right="175"/>
              <w:jc w:val="right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  320 922,00</w:t>
            </w:r>
          </w:p>
        </w:tc>
      </w:tr>
      <w:tr w:rsidR="00B671D4" w:rsidRPr="00366727" w14:paraId="04C8FBA1" w14:textId="77777777" w:rsidTr="00B671D4">
        <w:trPr>
          <w:cantSplit/>
          <w:trHeight w:hRule="exact" w:val="113"/>
          <w:jc w:val="center"/>
        </w:trPr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14:paraId="6E78BD78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909A7A5" w14:textId="77777777" w:rsidR="00B671D4" w:rsidRPr="006E0ED5" w:rsidRDefault="00B671D4" w:rsidP="00291D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9" w:type="dxa"/>
            <w:tcBorders>
              <w:left w:val="nil"/>
              <w:right w:val="nil"/>
            </w:tcBorders>
          </w:tcPr>
          <w:p w14:paraId="727132F0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BC24C2" w14:textId="77777777" w:rsidR="00B671D4" w:rsidRPr="006E0ED5" w:rsidRDefault="00B671D4" w:rsidP="00291D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BDB252D" w14:textId="77777777" w:rsidR="00B671D4" w:rsidRPr="006E0ED5" w:rsidRDefault="00B671D4" w:rsidP="00291D20">
            <w:pPr>
              <w:ind w:right="18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12E358C" w14:textId="77777777" w:rsidR="00B671D4" w:rsidRPr="006E0ED5" w:rsidRDefault="00B671D4" w:rsidP="00291D20">
            <w:pPr>
              <w:ind w:right="175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E0ED5" w:rsidRPr="00366727" w14:paraId="4575466D" w14:textId="77777777" w:rsidTr="00B671D4">
        <w:trPr>
          <w:trHeight w:hRule="exact" w:val="356"/>
          <w:jc w:val="center"/>
        </w:trPr>
        <w:tc>
          <w:tcPr>
            <w:tcW w:w="595" w:type="dxa"/>
          </w:tcPr>
          <w:p w14:paraId="2D69F2B5" w14:textId="77777777" w:rsidR="006E0ED5" w:rsidRPr="006E0ED5" w:rsidRDefault="006E0ED5" w:rsidP="006E0E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  <w:gridSpan w:val="4"/>
            <w:vAlign w:val="center"/>
          </w:tcPr>
          <w:p w14:paraId="5490CB77" w14:textId="77777777" w:rsidR="006E0ED5" w:rsidRPr="006E0ED5" w:rsidRDefault="006E0ED5" w:rsidP="006E0ED5">
            <w:pPr>
              <w:jc w:val="right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Celkem v Kč bez DPH:</w:t>
            </w:r>
          </w:p>
        </w:tc>
        <w:tc>
          <w:tcPr>
            <w:tcW w:w="1843" w:type="dxa"/>
            <w:vAlign w:val="center"/>
          </w:tcPr>
          <w:p w14:paraId="51DA7988" w14:textId="7B67388A" w:rsidR="006E0ED5" w:rsidRPr="006E0ED5" w:rsidRDefault="006E0ED5" w:rsidP="006E0ED5">
            <w:pPr>
              <w:ind w:right="175"/>
              <w:jc w:val="right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   320 922,00</w:t>
            </w:r>
          </w:p>
        </w:tc>
      </w:tr>
      <w:tr w:rsidR="006E0ED5" w:rsidRPr="00366727" w14:paraId="34C3105B" w14:textId="77777777" w:rsidTr="00B671D4">
        <w:trPr>
          <w:trHeight w:hRule="exact" w:val="418"/>
          <w:jc w:val="center"/>
        </w:trPr>
        <w:tc>
          <w:tcPr>
            <w:tcW w:w="595" w:type="dxa"/>
          </w:tcPr>
          <w:p w14:paraId="3F1B8C47" w14:textId="77777777" w:rsidR="006E0ED5" w:rsidRPr="006E0ED5" w:rsidRDefault="006E0ED5" w:rsidP="006E0E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  <w:gridSpan w:val="4"/>
            <w:vAlign w:val="center"/>
          </w:tcPr>
          <w:p w14:paraId="1EE160FA" w14:textId="63DEE27A" w:rsidR="006E0ED5" w:rsidRPr="006E0ED5" w:rsidRDefault="006E0ED5" w:rsidP="006E0ED5">
            <w:pPr>
              <w:jc w:val="right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DPH 21% v Kč:</w:t>
            </w:r>
          </w:p>
        </w:tc>
        <w:tc>
          <w:tcPr>
            <w:tcW w:w="1843" w:type="dxa"/>
            <w:vAlign w:val="center"/>
          </w:tcPr>
          <w:p w14:paraId="475220D9" w14:textId="46DF9920" w:rsidR="006E0ED5" w:rsidRPr="006E0ED5" w:rsidRDefault="006E0ED5" w:rsidP="006E0ED5">
            <w:pPr>
              <w:ind w:right="175"/>
              <w:jc w:val="right"/>
              <w:rPr>
                <w:rFonts w:asciiTheme="minorHAnsi" w:hAnsiTheme="minorHAnsi" w:cstheme="minorHAnsi"/>
              </w:rPr>
            </w:pPr>
            <w:r w:rsidRPr="006E0ED5">
              <w:rPr>
                <w:rFonts w:asciiTheme="minorHAnsi" w:hAnsiTheme="minorHAnsi" w:cstheme="minorHAnsi"/>
              </w:rPr>
              <w:t>   67 393,62</w:t>
            </w:r>
          </w:p>
        </w:tc>
      </w:tr>
      <w:tr w:rsidR="006E0ED5" w:rsidRPr="00366727" w14:paraId="0FC3F835" w14:textId="77777777" w:rsidTr="00B671D4">
        <w:trPr>
          <w:trHeight w:hRule="exact" w:val="418"/>
          <w:jc w:val="center"/>
        </w:trPr>
        <w:tc>
          <w:tcPr>
            <w:tcW w:w="595" w:type="dxa"/>
          </w:tcPr>
          <w:p w14:paraId="3A573FA3" w14:textId="77777777" w:rsidR="006E0ED5" w:rsidRPr="006E0ED5" w:rsidRDefault="006E0ED5" w:rsidP="006E0ED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7" w:type="dxa"/>
            <w:gridSpan w:val="4"/>
            <w:vAlign w:val="center"/>
          </w:tcPr>
          <w:p w14:paraId="40311C1E" w14:textId="58F16FC1" w:rsidR="006E0ED5" w:rsidRDefault="006E0ED5" w:rsidP="006E0ED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6E0ED5">
              <w:rPr>
                <w:rFonts w:asciiTheme="minorHAnsi" w:hAnsiTheme="minorHAnsi" w:cstheme="minorHAnsi"/>
                <w:b/>
              </w:rPr>
              <w:t>Cena celkem v Kč s DPH:</w:t>
            </w:r>
          </w:p>
          <w:p w14:paraId="381E58AE" w14:textId="77777777" w:rsidR="006E0ED5" w:rsidRPr="006E0ED5" w:rsidRDefault="006E0ED5" w:rsidP="006E0ED5">
            <w:pPr>
              <w:rPr>
                <w:rFonts w:asciiTheme="minorHAnsi" w:hAnsiTheme="minorHAnsi" w:cstheme="minorHAnsi"/>
              </w:rPr>
            </w:pPr>
          </w:p>
          <w:p w14:paraId="41592BFC" w14:textId="14F93977" w:rsidR="006E0ED5" w:rsidRPr="006E0ED5" w:rsidRDefault="006E0ED5" w:rsidP="006E0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71084D0" w14:textId="5A8D3D8D" w:rsidR="006E0ED5" w:rsidRPr="006E0ED5" w:rsidRDefault="006E0ED5" w:rsidP="006E0ED5">
            <w:pPr>
              <w:ind w:right="175"/>
              <w:jc w:val="right"/>
              <w:rPr>
                <w:rFonts w:asciiTheme="minorHAnsi" w:hAnsiTheme="minorHAnsi" w:cstheme="minorHAnsi"/>
                <w:b/>
              </w:rPr>
            </w:pPr>
            <w:r w:rsidRPr="006E0ED5">
              <w:rPr>
                <w:rFonts w:asciiTheme="minorHAnsi" w:hAnsiTheme="minorHAnsi" w:cstheme="minorHAnsi"/>
                <w:b/>
              </w:rPr>
              <w:t>  388 315,62</w:t>
            </w:r>
          </w:p>
        </w:tc>
      </w:tr>
    </w:tbl>
    <w:p w14:paraId="5F0A6B35" w14:textId="77777777" w:rsidR="004E2FCF" w:rsidRDefault="004E2FCF" w:rsidP="006E0ED5">
      <w:pPr>
        <w:tabs>
          <w:tab w:val="left" w:pos="2268"/>
          <w:tab w:val="left" w:pos="4536"/>
          <w:tab w:val="left" w:leader="underscore" w:pos="6237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4E2FCF" w:rsidSect="00E37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97" w:right="991" w:bottom="1276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E1E9" w14:textId="77777777" w:rsidR="00DC262C" w:rsidRDefault="00DC262C">
      <w:r>
        <w:separator/>
      </w:r>
    </w:p>
  </w:endnote>
  <w:endnote w:type="continuationSeparator" w:id="0">
    <w:p w14:paraId="73197BA4" w14:textId="77777777" w:rsidR="00DC262C" w:rsidRDefault="00DC262C">
      <w:r>
        <w:continuationSeparator/>
      </w:r>
    </w:p>
  </w:endnote>
  <w:endnote w:type="continuationNotice" w:id="1">
    <w:p w14:paraId="7EA7AD82" w14:textId="77777777" w:rsidR="00DC262C" w:rsidRDefault="00DC26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0845" w14:textId="77777777" w:rsidR="005D2A5A" w:rsidRDefault="005D2A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12DA" w14:textId="5B889981" w:rsidR="000C5D90" w:rsidRDefault="00BE5489">
    <w:pPr>
      <w:ind w:left="-426"/>
      <w:jc w:val="both"/>
      <w:rPr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1975F4">
      <w:rPr>
        <w:rStyle w:val="slostrnky"/>
        <w:rFonts w:cs="Arial"/>
        <w:noProof/>
        <w:color w:val="003C69"/>
        <w:sz w:val="16"/>
      </w:rPr>
      <w:t>7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1975F4">
      <w:rPr>
        <w:rStyle w:val="slostrnky"/>
        <w:rFonts w:cs="Arial"/>
        <w:noProof/>
        <w:color w:val="003C69"/>
        <w:sz w:val="16"/>
      </w:rPr>
      <w:t>7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Kupní smlouva – „</w:t>
    </w:r>
    <w:r w:rsidR="00B671D4">
      <w:rPr>
        <w:rStyle w:val="slostrnky"/>
        <w:rFonts w:cs="Arial"/>
        <w:b/>
        <w:color w:val="003C69"/>
        <w:sz w:val="16"/>
      </w:rPr>
      <w:t>Nákup switchů</w:t>
    </w:r>
    <w:r w:rsidR="00A83EF3">
      <w:rPr>
        <w:rStyle w:val="slostrnky"/>
        <w:rFonts w:cs="Arial"/>
        <w:b/>
        <w:color w:val="003C69"/>
        <w:sz w:val="16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0423" w14:textId="77777777" w:rsidR="005D2A5A" w:rsidRDefault="005D2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7105" w14:textId="77777777" w:rsidR="00DC262C" w:rsidRDefault="00DC262C">
      <w:r>
        <w:separator/>
      </w:r>
    </w:p>
  </w:footnote>
  <w:footnote w:type="continuationSeparator" w:id="0">
    <w:p w14:paraId="5F3C4355" w14:textId="77777777" w:rsidR="00DC262C" w:rsidRDefault="00DC262C">
      <w:r>
        <w:continuationSeparator/>
      </w:r>
    </w:p>
  </w:footnote>
  <w:footnote w:type="continuationNotice" w:id="1">
    <w:p w14:paraId="0505E967" w14:textId="77777777" w:rsidR="00DC262C" w:rsidRDefault="00DC262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0C3D" w14:textId="77777777" w:rsidR="005D2A5A" w:rsidRDefault="005D2A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698" w14:textId="77777777" w:rsidR="000C5D90" w:rsidRDefault="00BE5489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1DF798" wp14:editId="1EB049C7">
              <wp:simplePos x="0" y="0"/>
              <wp:positionH relativeFrom="column">
                <wp:posOffset>2416810</wp:posOffset>
              </wp:positionH>
              <wp:positionV relativeFrom="paragraph">
                <wp:posOffset>-54610</wp:posOffset>
              </wp:positionV>
              <wp:extent cx="3943350" cy="419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E31D" w14:textId="04A44510" w:rsidR="000C5D90" w:rsidRDefault="00BE5489">
                          <w:pPr>
                            <w:tabs>
                              <w:tab w:val="left" w:pos="142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 w:rsidR="006E0ED5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DF79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90.3pt;margin-top:-4.3pt;width:310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uL4AEAAKEDAAAOAAAAZHJzL2Uyb0RvYy54bWysU9uO0zAQfUfiHyy/0yRtF2jUdLXsahHS&#10;cpEWPsBx7MQi8Zix26R8PWOn2y3whnix7JnJmXPOTLbX09Czg0JvwFa8WOScKSuhMbat+Lev96/e&#10;cu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" filled="f" stroked="f">
              <v:textbox>
                <w:txbxContent>
                  <w:p w14:paraId="183CE31D" w14:textId="04A44510" w:rsidR="000C5D90" w:rsidRDefault="00BE5489">
                    <w:pPr>
                      <w:tabs>
                        <w:tab w:val="left" w:pos="142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 w:rsidR="006E0ED5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0B1CAD" wp14:editId="0157FA5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A4FEB" w14:textId="77777777" w:rsidR="000C5D90" w:rsidRDefault="00BE5489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B1CAD" id="Textové pole 2" o:spid="_x0000_s1027" type="#_x0000_t202" style="position:absolute;margin-left:333pt;margin-top:-.55pt;width:2in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543A4FEB" w14:textId="77777777" w:rsidR="000C5D90" w:rsidRDefault="00BE5489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</w:t>
    </w:r>
    <w:r>
      <w:rPr>
        <w:rFonts w:cs="Arial"/>
        <w:b/>
      </w:rPr>
      <w:t xml:space="preserve"> </w:t>
    </w:r>
    <w:r>
      <w:rPr>
        <w:rFonts w:cs="Arial"/>
        <w:b/>
        <w:noProof/>
        <w:color w:val="003C69"/>
      </w:rPr>
      <w:t>město Ostrava</w:t>
    </w:r>
  </w:p>
  <w:p w14:paraId="739049F7" w14:textId="77777777" w:rsidR="000C5D90" w:rsidRDefault="00BE5489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545E" w14:textId="77777777" w:rsidR="005D2A5A" w:rsidRDefault="005D2A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B5D57"/>
    <w:multiLevelType w:val="multilevel"/>
    <w:tmpl w:val="4A36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3700DAB"/>
    <w:multiLevelType w:val="multilevel"/>
    <w:tmpl w:val="00BA6006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AB43D2"/>
    <w:multiLevelType w:val="hybridMultilevel"/>
    <w:tmpl w:val="71F43F2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Odstavecslov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7BA4"/>
    <w:multiLevelType w:val="hybridMultilevel"/>
    <w:tmpl w:val="B5F888B2"/>
    <w:lvl w:ilvl="0" w:tplc="892CDDBA">
      <w:start w:val="1"/>
      <w:numFmt w:val="upperRoman"/>
      <w:pStyle w:val="Nadpis1"/>
      <w:lvlText w:val="čl. 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70BE5"/>
    <w:multiLevelType w:val="multilevel"/>
    <w:tmpl w:val="5E045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803547C"/>
    <w:multiLevelType w:val="hybridMultilevel"/>
    <w:tmpl w:val="1F984E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4CC4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01EAF"/>
    <w:multiLevelType w:val="hybridMultilevel"/>
    <w:tmpl w:val="B3B49BC0"/>
    <w:lvl w:ilvl="0" w:tplc="C7AEF0FE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E6D3A2F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051C3"/>
    <w:multiLevelType w:val="hybridMultilevel"/>
    <w:tmpl w:val="BE10272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0F9750F"/>
    <w:multiLevelType w:val="hybridMultilevel"/>
    <w:tmpl w:val="1F984E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C6FCD"/>
    <w:multiLevelType w:val="multilevel"/>
    <w:tmpl w:val="F3C2E908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10"/>
        </w:tabs>
        <w:ind w:left="4110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 w15:restartNumberingAfterBreak="0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52EF9"/>
    <w:multiLevelType w:val="hybridMultilevel"/>
    <w:tmpl w:val="9B78B6D2"/>
    <w:lvl w:ilvl="0" w:tplc="C7AEF0F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0BF16F4"/>
    <w:multiLevelType w:val="hybridMultilevel"/>
    <w:tmpl w:val="AD8E93C8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41CF2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106C43"/>
    <w:multiLevelType w:val="hybridMultilevel"/>
    <w:tmpl w:val="9A206E0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E5394"/>
    <w:multiLevelType w:val="multilevel"/>
    <w:tmpl w:val="60A64E76"/>
    <w:lvl w:ilvl="0">
      <w:start w:val="1"/>
      <w:numFmt w:val="none"/>
      <w:pStyle w:val="Nadpis4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611A7E2F"/>
    <w:multiLevelType w:val="hybridMultilevel"/>
    <w:tmpl w:val="73423B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6E78"/>
    <w:multiLevelType w:val="multilevel"/>
    <w:tmpl w:val="A45492D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A562547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EE26B8"/>
    <w:multiLevelType w:val="hybridMultilevel"/>
    <w:tmpl w:val="26BEBBF6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015076"/>
    <w:multiLevelType w:val="hybridMultilevel"/>
    <w:tmpl w:val="2DDCA670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8433">
    <w:abstractNumId w:val="3"/>
  </w:num>
  <w:num w:numId="2" w16cid:durableId="435515957">
    <w:abstractNumId w:val="22"/>
  </w:num>
  <w:num w:numId="3" w16cid:durableId="2083259105">
    <w:abstractNumId w:val="17"/>
  </w:num>
  <w:num w:numId="4" w16cid:durableId="2118208674">
    <w:abstractNumId w:val="8"/>
  </w:num>
  <w:num w:numId="5" w16cid:durableId="1449397133">
    <w:abstractNumId w:val="14"/>
  </w:num>
  <w:num w:numId="6" w16cid:durableId="716317202">
    <w:abstractNumId w:val="0"/>
  </w:num>
  <w:num w:numId="7" w16cid:durableId="1625188720">
    <w:abstractNumId w:val="10"/>
  </w:num>
  <w:num w:numId="8" w16cid:durableId="280306885">
    <w:abstractNumId w:val="18"/>
  </w:num>
  <w:num w:numId="9" w16cid:durableId="408892012">
    <w:abstractNumId w:val="9"/>
  </w:num>
  <w:num w:numId="10" w16cid:durableId="759525704">
    <w:abstractNumId w:val="7"/>
  </w:num>
  <w:num w:numId="11" w16cid:durableId="281805437">
    <w:abstractNumId w:val="13"/>
  </w:num>
  <w:num w:numId="12" w16cid:durableId="520971167">
    <w:abstractNumId w:val="19"/>
  </w:num>
  <w:num w:numId="13" w16cid:durableId="1757244928">
    <w:abstractNumId w:val="4"/>
  </w:num>
  <w:num w:numId="14" w16cid:durableId="743913034">
    <w:abstractNumId w:val="1"/>
  </w:num>
  <w:num w:numId="15" w16cid:durableId="654840638">
    <w:abstractNumId w:val="5"/>
  </w:num>
  <w:num w:numId="16" w16cid:durableId="426583917">
    <w:abstractNumId w:val="4"/>
  </w:num>
  <w:num w:numId="17" w16cid:durableId="883950746">
    <w:abstractNumId w:val="4"/>
  </w:num>
  <w:num w:numId="18" w16cid:durableId="371151730">
    <w:abstractNumId w:val="4"/>
  </w:num>
  <w:num w:numId="19" w16cid:durableId="1469282641">
    <w:abstractNumId w:val="4"/>
  </w:num>
  <w:num w:numId="20" w16cid:durableId="450635837">
    <w:abstractNumId w:val="4"/>
  </w:num>
  <w:num w:numId="21" w16cid:durableId="784928285">
    <w:abstractNumId w:val="4"/>
  </w:num>
  <w:num w:numId="22" w16cid:durableId="1747528538">
    <w:abstractNumId w:val="4"/>
  </w:num>
  <w:num w:numId="23" w16cid:durableId="924341536">
    <w:abstractNumId w:val="21"/>
  </w:num>
  <w:num w:numId="24" w16cid:durableId="847140677">
    <w:abstractNumId w:val="4"/>
  </w:num>
  <w:num w:numId="25" w16cid:durableId="317073513">
    <w:abstractNumId w:val="11"/>
  </w:num>
  <w:num w:numId="26" w16cid:durableId="1412971358">
    <w:abstractNumId w:val="15"/>
  </w:num>
  <w:num w:numId="27" w16cid:durableId="1966108988">
    <w:abstractNumId w:val="23"/>
  </w:num>
  <w:num w:numId="28" w16cid:durableId="907224900">
    <w:abstractNumId w:val="3"/>
  </w:num>
  <w:num w:numId="29" w16cid:durableId="1271157739">
    <w:abstractNumId w:val="20"/>
  </w:num>
  <w:num w:numId="30" w16cid:durableId="487674795">
    <w:abstractNumId w:val="24"/>
  </w:num>
  <w:num w:numId="31" w16cid:durableId="952440664">
    <w:abstractNumId w:val="6"/>
  </w:num>
  <w:num w:numId="32" w16cid:durableId="1292788164">
    <w:abstractNumId w:val="12"/>
  </w:num>
  <w:num w:numId="33" w16cid:durableId="2068456977">
    <w:abstractNumId w:val="16"/>
  </w:num>
  <w:num w:numId="34" w16cid:durableId="236407707">
    <w:abstractNumId w:val="2"/>
  </w:num>
  <w:num w:numId="35" w16cid:durableId="1904410673">
    <w:abstractNumId w:val="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90"/>
    <w:rsid w:val="00001B22"/>
    <w:rsid w:val="00005580"/>
    <w:rsid w:val="00033EC2"/>
    <w:rsid w:val="0005564F"/>
    <w:rsid w:val="000711E9"/>
    <w:rsid w:val="000C5D90"/>
    <w:rsid w:val="000D0644"/>
    <w:rsid w:val="000F2C70"/>
    <w:rsid w:val="001227D9"/>
    <w:rsid w:val="00126A39"/>
    <w:rsid w:val="001361FD"/>
    <w:rsid w:val="00143B71"/>
    <w:rsid w:val="00145DA7"/>
    <w:rsid w:val="00174D87"/>
    <w:rsid w:val="00180A09"/>
    <w:rsid w:val="001931E0"/>
    <w:rsid w:val="001942F5"/>
    <w:rsid w:val="001975F4"/>
    <w:rsid w:val="001A48C3"/>
    <w:rsid w:val="001D44EE"/>
    <w:rsid w:val="00201E64"/>
    <w:rsid w:val="0020543E"/>
    <w:rsid w:val="0020631C"/>
    <w:rsid w:val="00224624"/>
    <w:rsid w:val="00253144"/>
    <w:rsid w:val="00261B62"/>
    <w:rsid w:val="00286CDB"/>
    <w:rsid w:val="002916F3"/>
    <w:rsid w:val="002F0E44"/>
    <w:rsid w:val="003460D1"/>
    <w:rsid w:val="003557C8"/>
    <w:rsid w:val="00371E44"/>
    <w:rsid w:val="003A345E"/>
    <w:rsid w:val="003B5A2A"/>
    <w:rsid w:val="003C7F58"/>
    <w:rsid w:val="003D24BB"/>
    <w:rsid w:val="003E1836"/>
    <w:rsid w:val="0040545D"/>
    <w:rsid w:val="004074AA"/>
    <w:rsid w:val="004514F9"/>
    <w:rsid w:val="004626A7"/>
    <w:rsid w:val="00462D35"/>
    <w:rsid w:val="004C223B"/>
    <w:rsid w:val="004C7D14"/>
    <w:rsid w:val="004E11F3"/>
    <w:rsid w:val="004E2FCF"/>
    <w:rsid w:val="00526765"/>
    <w:rsid w:val="005374FF"/>
    <w:rsid w:val="005466A2"/>
    <w:rsid w:val="0057594B"/>
    <w:rsid w:val="005778A6"/>
    <w:rsid w:val="005A2AB9"/>
    <w:rsid w:val="005C0655"/>
    <w:rsid w:val="005C2759"/>
    <w:rsid w:val="005D2A5A"/>
    <w:rsid w:val="00611B0F"/>
    <w:rsid w:val="0062273D"/>
    <w:rsid w:val="00674BD7"/>
    <w:rsid w:val="00697AFE"/>
    <w:rsid w:val="006A4C15"/>
    <w:rsid w:val="006E0ED5"/>
    <w:rsid w:val="006E5CBE"/>
    <w:rsid w:val="006F45E1"/>
    <w:rsid w:val="0076615D"/>
    <w:rsid w:val="00777558"/>
    <w:rsid w:val="0078485D"/>
    <w:rsid w:val="00786A38"/>
    <w:rsid w:val="007974D5"/>
    <w:rsid w:val="007C25A5"/>
    <w:rsid w:val="007F254C"/>
    <w:rsid w:val="008101C2"/>
    <w:rsid w:val="00830632"/>
    <w:rsid w:val="00863DFC"/>
    <w:rsid w:val="008700EC"/>
    <w:rsid w:val="008815B2"/>
    <w:rsid w:val="0089258D"/>
    <w:rsid w:val="008A35AB"/>
    <w:rsid w:val="008B20C4"/>
    <w:rsid w:val="008F0AE3"/>
    <w:rsid w:val="008F1871"/>
    <w:rsid w:val="008F7BB4"/>
    <w:rsid w:val="009013F3"/>
    <w:rsid w:val="0090339C"/>
    <w:rsid w:val="00903D89"/>
    <w:rsid w:val="009123A7"/>
    <w:rsid w:val="009137D6"/>
    <w:rsid w:val="00926390"/>
    <w:rsid w:val="00942004"/>
    <w:rsid w:val="00950306"/>
    <w:rsid w:val="00962F3E"/>
    <w:rsid w:val="0097133A"/>
    <w:rsid w:val="009A1CE4"/>
    <w:rsid w:val="009B1E9C"/>
    <w:rsid w:val="009D53C1"/>
    <w:rsid w:val="00A05821"/>
    <w:rsid w:val="00A33CFC"/>
    <w:rsid w:val="00A64ABC"/>
    <w:rsid w:val="00A83EF3"/>
    <w:rsid w:val="00AC01EC"/>
    <w:rsid w:val="00AD0199"/>
    <w:rsid w:val="00AD0579"/>
    <w:rsid w:val="00AD0DA6"/>
    <w:rsid w:val="00B0157A"/>
    <w:rsid w:val="00B027BD"/>
    <w:rsid w:val="00B3736E"/>
    <w:rsid w:val="00B671D4"/>
    <w:rsid w:val="00B868B2"/>
    <w:rsid w:val="00B92A2B"/>
    <w:rsid w:val="00B9789F"/>
    <w:rsid w:val="00BA33FE"/>
    <w:rsid w:val="00BB564A"/>
    <w:rsid w:val="00BD3F50"/>
    <w:rsid w:val="00BD4DF0"/>
    <w:rsid w:val="00BE5489"/>
    <w:rsid w:val="00BE6CF5"/>
    <w:rsid w:val="00C34B41"/>
    <w:rsid w:val="00C64AB3"/>
    <w:rsid w:val="00C81EE4"/>
    <w:rsid w:val="00C94C94"/>
    <w:rsid w:val="00CA7B26"/>
    <w:rsid w:val="00CC0640"/>
    <w:rsid w:val="00CE73C4"/>
    <w:rsid w:val="00CE7E69"/>
    <w:rsid w:val="00CF1585"/>
    <w:rsid w:val="00CF5C8C"/>
    <w:rsid w:val="00D02870"/>
    <w:rsid w:val="00D1121A"/>
    <w:rsid w:val="00D120A1"/>
    <w:rsid w:val="00D15A23"/>
    <w:rsid w:val="00D15EEA"/>
    <w:rsid w:val="00D30F73"/>
    <w:rsid w:val="00DA40D1"/>
    <w:rsid w:val="00DB5DFE"/>
    <w:rsid w:val="00DB7DE9"/>
    <w:rsid w:val="00DC262C"/>
    <w:rsid w:val="00DE107C"/>
    <w:rsid w:val="00E37AAE"/>
    <w:rsid w:val="00E42717"/>
    <w:rsid w:val="00E53EDE"/>
    <w:rsid w:val="00E74B99"/>
    <w:rsid w:val="00E80E49"/>
    <w:rsid w:val="00E92FED"/>
    <w:rsid w:val="00ED435A"/>
    <w:rsid w:val="00F04111"/>
    <w:rsid w:val="00F2088A"/>
    <w:rsid w:val="00F318E7"/>
    <w:rsid w:val="00F338C9"/>
    <w:rsid w:val="00F34E8E"/>
    <w:rsid w:val="00F44848"/>
    <w:rsid w:val="00F54351"/>
    <w:rsid w:val="00F6174D"/>
    <w:rsid w:val="00F92352"/>
    <w:rsid w:val="00FB3890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95C46"/>
  <w15:docId w15:val="{782359E2-3B64-4739-B6F1-69D623F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942004"/>
    <w:pPr>
      <w:keepNext/>
      <w:numPr>
        <w:numId w:val="13"/>
      </w:numPr>
      <w:tabs>
        <w:tab w:val="clear" w:pos="284"/>
        <w:tab w:val="num" w:pos="851"/>
      </w:tabs>
      <w:spacing w:before="360" w:after="120"/>
      <w:ind w:left="0" w:firstLine="0"/>
      <w:outlineLvl w:val="0"/>
    </w:pPr>
    <w:rPr>
      <w:rFonts w:cs="Arial"/>
      <w:b/>
      <w:bCs/>
      <w:sz w:val="24"/>
      <w:szCs w:val="24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unhideWhenUsed/>
    <w:qFormat/>
    <w:pPr>
      <w:outlineLvl w:val="2"/>
    </w:pPr>
    <w:rPr>
      <w:b w:val="0"/>
      <w:bCs w:val="0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3Char">
    <w:name w:val="Nadpis 3 Char"/>
    <w:basedOn w:val="Standardnpsmoodstavce"/>
    <w:link w:val="Nadpis3"/>
    <w:rPr>
      <w:rFonts w:ascii="Arial" w:hAnsi="Arial" w:cs="Arial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Pr>
      <w:rFonts w:ascii="Arial" w:hAnsi="Arial"/>
      <w:sz w:val="16"/>
      <w:szCs w:val="16"/>
    </w:rPr>
  </w:style>
  <w:style w:type="paragraph" w:customStyle="1" w:styleId="smlouvy">
    <w:name w:val="Č. smlouvy"/>
    <w:next w:val="Nadpis1"/>
    <w:pPr>
      <w:tabs>
        <w:tab w:val="left" w:pos="6804"/>
      </w:tabs>
      <w:ind w:left="4111"/>
    </w:pPr>
    <w:rPr>
      <w:noProof/>
      <w:sz w:val="24"/>
    </w:rPr>
  </w:style>
  <w:style w:type="paragraph" w:styleId="Prosttext">
    <w:name w:val="Plain Text"/>
    <w:basedOn w:val="Normln"/>
    <w:link w:val="Prost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rPr>
      <w:rFonts w:ascii="Arial" w:hAnsi="Arial" w:cs="Arial"/>
      <w:b/>
      <w:bCs/>
      <w:iCs/>
      <w:sz w:val="24"/>
      <w:szCs w:val="28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character" w:styleId="Zdraznn">
    <w:name w:val="Emphasis"/>
    <w:basedOn w:val="Standardnpsmoodstavce"/>
    <w:qFormat/>
    <w:rPr>
      <w:i/>
      <w:iCs/>
    </w:rPr>
  </w:style>
  <w:style w:type="paragraph" w:customStyle="1" w:styleId="Nadpis30">
    <w:name w:val="Nadpis3"/>
    <w:basedOn w:val="Nadpis3"/>
    <w:link w:val="Nadpis3Char0"/>
    <w:qFormat/>
    <w:pPr>
      <w:spacing w:before="0" w:after="0" w:line="360" w:lineRule="auto"/>
    </w:pPr>
    <w:rPr>
      <w:bCs/>
      <w:iCs w:val="0"/>
      <w:kern w:val="32"/>
      <w:szCs w:val="32"/>
    </w:rPr>
  </w:style>
  <w:style w:type="paragraph" w:customStyle="1" w:styleId="Nadpis20">
    <w:name w:val="Nadpis2"/>
    <w:basedOn w:val="Nadpis2"/>
    <w:link w:val="Nadpis2Char0"/>
    <w:qFormat/>
    <w:pPr>
      <w:tabs>
        <w:tab w:val="num" w:pos="0"/>
      </w:tabs>
      <w:spacing w:before="480" w:after="0"/>
    </w:pPr>
  </w:style>
  <w:style w:type="character" w:customStyle="1" w:styleId="Nadpis3Char0">
    <w:name w:val="Nadpis3 Char"/>
    <w:basedOn w:val="Nadpis3Char"/>
    <w:link w:val="Nadpis30"/>
    <w:rPr>
      <w:rFonts w:ascii="Arial" w:hAnsi="Arial" w:cs="Arial"/>
      <w:b/>
      <w:bCs/>
      <w:iCs w:val="0"/>
      <w:kern w:val="32"/>
      <w:sz w:val="24"/>
      <w:szCs w:val="32"/>
    </w:rPr>
  </w:style>
  <w:style w:type="paragraph" w:customStyle="1" w:styleId="Nadpis4">
    <w:name w:val="Nadpis4"/>
    <w:next w:val="Normln"/>
    <w:link w:val="Nadpis4Char"/>
    <w:autoRedefine/>
    <w:qFormat/>
    <w:pPr>
      <w:numPr>
        <w:numId w:val="12"/>
      </w:numPr>
      <w:spacing w:before="24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Nadpis2Char0">
    <w:name w:val="Nadpis2 Char"/>
    <w:basedOn w:val="Nadpis2Char"/>
    <w:link w:val="Nadpis20"/>
    <w:rPr>
      <w:rFonts w:ascii="Arial" w:hAnsi="Arial" w:cs="Arial"/>
      <w:b/>
      <w:bCs/>
      <w:iCs/>
      <w:sz w:val="24"/>
      <w:szCs w:val="28"/>
    </w:rPr>
  </w:style>
  <w:style w:type="character" w:customStyle="1" w:styleId="Nadpis4Char">
    <w:name w:val="Nadpis4 Char"/>
    <w:basedOn w:val="Nadpis2Char"/>
    <w:link w:val="Nadpis4"/>
    <w:rPr>
      <w:rFonts w:ascii="Arial" w:hAnsi="Arial" w:cs="Arial"/>
      <w:b/>
      <w:bCs/>
      <w:iCs w:val="0"/>
      <w:kern w:val="32"/>
      <w:sz w:val="24"/>
      <w:szCs w:val="32"/>
    </w:r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Pontechtext">
    <w:name w:val="Pontech text"/>
    <w:basedOn w:val="Normln"/>
    <w:link w:val="PontechtextChar"/>
    <w:qFormat/>
    <w:pPr>
      <w:jc w:val="both"/>
    </w:pPr>
    <w:rPr>
      <w:color w:val="737373"/>
      <w:sz w:val="22"/>
      <w:szCs w:val="22"/>
    </w:rPr>
  </w:style>
  <w:style w:type="character" w:customStyle="1" w:styleId="PontechtextChar">
    <w:name w:val="Pontech text Char"/>
    <w:link w:val="Pontechtext"/>
    <w:rPr>
      <w:rFonts w:ascii="Arial" w:hAnsi="Arial"/>
      <w:color w:val="737373"/>
      <w:sz w:val="22"/>
      <w:szCs w:val="22"/>
    </w:rPr>
  </w:style>
  <w:style w:type="paragraph" w:customStyle="1" w:styleId="RLTextlnkuslovan">
    <w:name w:val="RL Text článku číslovaný"/>
    <w:basedOn w:val="Normln"/>
    <w:link w:val="RLTextlnkuslovanChar"/>
    <w:pPr>
      <w:numPr>
        <w:ilvl w:val="1"/>
        <w:numId w:val="11"/>
      </w:numPr>
      <w:spacing w:after="120" w:line="280" w:lineRule="exact"/>
      <w:jc w:val="both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rPr>
      <w:rFonts w:ascii="Garamond" w:hAnsi="Garamond"/>
      <w:sz w:val="24"/>
      <w:szCs w:val="24"/>
    </w:rPr>
  </w:style>
  <w:style w:type="character" w:styleId="Hypertextovodkaz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Odstavecslovan">
    <w:name w:val="Odstavec číslovaný"/>
    <w:basedOn w:val="Zkladntextodsazen-slo"/>
    <w:link w:val="OdstavecslovanChar"/>
    <w:qFormat/>
    <w:pPr>
      <w:numPr>
        <w:ilvl w:val="2"/>
        <w:numId w:val="1"/>
      </w:numPr>
      <w:spacing w:before="0" w:after="120"/>
      <w:outlineLvl w:val="9"/>
    </w:pPr>
  </w:style>
  <w:style w:type="character" w:customStyle="1" w:styleId="OdstavecslovanChar">
    <w:name w:val="Odstavec číslovaný Char"/>
    <w:basedOn w:val="Standardnpsmoodstavce"/>
    <w:link w:val="Odstavecslovan"/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</w:rPr>
  </w:style>
  <w:style w:type="character" w:customStyle="1" w:styleId="OdstavecseseznamemChar">
    <w:name w:val="Odstavec se seznamem Char"/>
    <w:aliases w:val="Nad Char"/>
    <w:link w:val="Odstavecseseznamem"/>
    <w:uiPriority w:val="34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B1E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D15EEA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D15EEA"/>
    <w:rPr>
      <w:rFonts w:ascii="Arial" w:hAnsi="Arial"/>
    </w:rPr>
  </w:style>
  <w:style w:type="character" w:styleId="Znakapoznpodarou">
    <w:name w:val="footnote reference"/>
    <w:basedOn w:val="Standardnpsmoodstavce"/>
    <w:semiHidden/>
    <w:unhideWhenUsed/>
    <w:rsid w:val="00D15EEA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D15EEA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rsid w:val="00D15EEA"/>
    <w:rPr>
      <w:rFonts w:ascii="Arial" w:hAnsi="Arial"/>
    </w:rPr>
  </w:style>
  <w:style w:type="character" w:styleId="Odkaznavysvtlivky">
    <w:name w:val="endnote reference"/>
    <w:basedOn w:val="Standardnpsmoodstavce"/>
    <w:semiHidden/>
    <w:unhideWhenUsed/>
    <w:rsid w:val="00D15EE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F318E7"/>
    <w:rPr>
      <w:rFonts w:ascii="Arial" w:hAnsi="Arial" w:cs="Arial"/>
      <w:b/>
      <w:bCs/>
      <w:sz w:val="24"/>
      <w:szCs w:val="24"/>
    </w:rPr>
  </w:style>
  <w:style w:type="paragraph" w:customStyle="1" w:styleId="SBSSmlouva">
    <w:name w:val="SBS Smlouva"/>
    <w:basedOn w:val="Normln"/>
    <w:uiPriority w:val="99"/>
    <w:rsid w:val="00B671D4"/>
    <w:pPr>
      <w:numPr>
        <w:ilvl w:val="1"/>
        <w:numId w:val="34"/>
      </w:numPr>
      <w:spacing w:before="120"/>
      <w:jc w:val="both"/>
    </w:pPr>
    <w:rPr>
      <w:sz w:val="22"/>
      <w:szCs w:val="24"/>
    </w:rPr>
  </w:style>
  <w:style w:type="character" w:customStyle="1" w:styleId="radekformulare">
    <w:name w:val="radekformulare"/>
    <w:basedOn w:val="Standardnpsmoodstavce"/>
    <w:rsid w:val="006E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88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262301508">
                          <w:marLeft w:val="414"/>
                          <w:marRight w:val="414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8386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42022177188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a@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a@alternetiv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DDA9-13DD-42F9-BE7A-CDF39F69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2723</Words>
  <Characters>16068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smlouva_vzor</vt:lpstr>
      <vt:lpstr>smlouva_vzor</vt:lpstr>
    </vt:vector>
  </TitlesOfParts>
  <Company>MMO</Company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Honajzer Martin</dc:creator>
  <cp:lastModifiedBy>Lhotová Kateřina</cp:lastModifiedBy>
  <cp:revision>5</cp:revision>
  <cp:lastPrinted>2023-12-06T10:12:00Z</cp:lastPrinted>
  <dcterms:created xsi:type="dcterms:W3CDTF">2023-12-05T13:49:00Z</dcterms:created>
  <dcterms:modified xsi:type="dcterms:W3CDTF">2023-12-14T09:53:00Z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