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C5A6" w14:textId="01AE67E3" w:rsidR="00660644" w:rsidRPr="00660644" w:rsidRDefault="00660644" w:rsidP="009A5B35">
      <w:pPr>
        <w:pStyle w:val="Nzev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660644">
        <w:rPr>
          <w:rFonts w:ascii="Arial" w:hAnsi="Arial" w:cs="Arial"/>
          <w:b w:val="0"/>
          <w:bCs w:val="0"/>
          <w:sz w:val="22"/>
          <w:szCs w:val="22"/>
        </w:rPr>
        <w:t>Č.J.: SPU 497852/2023/144/</w:t>
      </w:r>
      <w:proofErr w:type="spellStart"/>
      <w:r w:rsidRPr="00660644">
        <w:rPr>
          <w:rFonts w:ascii="Arial" w:hAnsi="Arial" w:cs="Arial"/>
          <w:b w:val="0"/>
          <w:bCs w:val="0"/>
          <w:sz w:val="22"/>
          <w:szCs w:val="22"/>
        </w:rPr>
        <w:t>Bre</w:t>
      </w:r>
      <w:proofErr w:type="spellEnd"/>
    </w:p>
    <w:p w14:paraId="47A01C07" w14:textId="1AD41109" w:rsidR="00660644" w:rsidRPr="00660644" w:rsidRDefault="00660644" w:rsidP="009A5B35">
      <w:pPr>
        <w:pStyle w:val="Nzev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660644"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660644">
        <w:rPr>
          <w:rFonts w:ascii="Arial" w:hAnsi="Arial" w:cs="Arial"/>
          <w:b w:val="0"/>
          <w:bCs w:val="0"/>
          <w:sz w:val="22"/>
          <w:szCs w:val="22"/>
        </w:rPr>
        <w:t xml:space="preserve"> UID: spuess8c199069</w:t>
      </w:r>
    </w:p>
    <w:p w14:paraId="2607B942" w14:textId="228AF32F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115AEA3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7D77C78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50CEEE8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2DA23A5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3A5E2E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4DFE2E4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B413CE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0C9E96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1001951849</w:t>
      </w:r>
    </w:p>
    <w:p w14:paraId="5D0B971D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0B1220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674555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7F9E34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913FB6" w14:textId="393DB4F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Kubelka Martin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86</w:t>
      </w:r>
      <w:r w:rsidR="00CB4C79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B4C79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>, Chrudim IV, PSČ 53701</w:t>
      </w:r>
    </w:p>
    <w:p w14:paraId="0745FB0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2BB906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9EE7D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B307CE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E341E9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086E9B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1/23</w:t>
      </w:r>
    </w:p>
    <w:p w14:paraId="12C1D1C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1001951849</w:t>
      </w:r>
    </w:p>
    <w:p w14:paraId="309A6CA8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F4731F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95393E9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16.4.2018 kupní smlouvu č. 1001951849 (dále jen "smlouva").</w:t>
      </w:r>
    </w:p>
    <w:p w14:paraId="765E35AC" w14:textId="450B5552" w:rsidR="00BB1A88" w:rsidRPr="003511C8" w:rsidRDefault="00BB1A88" w:rsidP="00660644">
      <w:pPr>
        <w:pStyle w:val="Default"/>
        <w:rPr>
          <w:sz w:val="22"/>
          <w:szCs w:val="22"/>
        </w:rPr>
      </w:pPr>
      <w:r w:rsidRPr="003511C8">
        <w:rPr>
          <w:sz w:val="22"/>
          <w:szCs w:val="22"/>
        </w:rPr>
        <w:t>Předmětem smlouvy byl převod pozemků</w:t>
      </w:r>
      <w:r w:rsidR="00660644">
        <w:rPr>
          <w:sz w:val="22"/>
          <w:szCs w:val="22"/>
        </w:rPr>
        <w:t xml:space="preserve"> </w:t>
      </w:r>
      <w:r w:rsidRPr="003511C8">
        <w:rPr>
          <w:sz w:val="22"/>
          <w:szCs w:val="22"/>
        </w:rPr>
        <w:t xml:space="preserve"> ve smyslu</w:t>
      </w:r>
      <w:r w:rsidR="00660644">
        <w:rPr>
          <w:sz w:val="22"/>
          <w:szCs w:val="22"/>
        </w:rPr>
        <w:t xml:space="preserve">  </w:t>
      </w:r>
      <w:r w:rsidR="00660644" w:rsidRPr="00660644">
        <w:rPr>
          <w:sz w:val="22"/>
          <w:szCs w:val="22"/>
        </w:rPr>
        <w:t>§10 odst.5</w:t>
      </w:r>
      <w:r w:rsidR="00660644">
        <w:rPr>
          <w:sz w:val="22"/>
          <w:szCs w:val="22"/>
        </w:rPr>
        <w:t xml:space="preserve"> </w:t>
      </w:r>
      <w:r w:rsidR="00B762CE">
        <w:rPr>
          <w:sz w:val="22"/>
          <w:szCs w:val="22"/>
        </w:rPr>
        <w:t>zákona č. 503/2012 Sb., ve znění pozdějších předpisů</w:t>
      </w:r>
      <w:r w:rsidR="00E63994">
        <w:rPr>
          <w:sz w:val="22"/>
          <w:szCs w:val="22"/>
        </w:rPr>
        <w:t>.</w:t>
      </w:r>
    </w:p>
    <w:p w14:paraId="173DF422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ECB7E8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FC15058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15.4.2028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946 810,00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devět set čtyřicet šest tisíc osm set deset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633F0E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1AD727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60DCB1A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645 116,00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šest set čtyřicet pět tisíc jedno sto šestnáct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A3565EF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426 064,00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čtyři sta dvacet šest tisíc šedesát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D945239" w14:textId="5ED50573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D3F04BD" w14:textId="77777777" w:rsidR="00660644" w:rsidRPr="004A15EF" w:rsidRDefault="00660644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E232AB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62AE920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73E5C5E" w14:textId="05185941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224D35B" w14:textId="29CCFB23" w:rsidR="00660644" w:rsidRDefault="0066064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7CB4695" w14:textId="77777777" w:rsidR="00660644" w:rsidRPr="00D87E4D" w:rsidRDefault="0066064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E6A89F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483CBB40" w14:textId="47A230CA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Tento dodatek je sepsán ve </w:t>
      </w:r>
      <w:r w:rsidR="00660644"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14:paraId="5CE8684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AF475EE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F5D1003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03C3A26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18FB5C6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13D2AF9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2A65539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220249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6296F5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A2408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191D9D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35F4834" w14:textId="516C5825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Pardubicích dne </w:t>
      </w:r>
      <w:r w:rsidR="00CB4C79">
        <w:rPr>
          <w:rFonts w:ascii="Arial" w:hAnsi="Arial" w:cs="Arial"/>
          <w:sz w:val="22"/>
          <w:szCs w:val="22"/>
        </w:rPr>
        <w:t>14.12.2023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CB4C79">
        <w:rPr>
          <w:rFonts w:ascii="Arial" w:hAnsi="Arial" w:cs="Arial"/>
          <w:sz w:val="22"/>
          <w:szCs w:val="22"/>
        </w:rPr>
        <w:t>Pardubicích</w:t>
      </w:r>
      <w:r w:rsidR="00C32239">
        <w:rPr>
          <w:rFonts w:ascii="Arial" w:hAnsi="Arial" w:cs="Arial"/>
          <w:sz w:val="22"/>
          <w:szCs w:val="22"/>
        </w:rPr>
        <w:t xml:space="preserve"> dne</w:t>
      </w:r>
      <w:r w:rsidR="00CB4C79">
        <w:rPr>
          <w:rFonts w:ascii="Arial" w:hAnsi="Arial" w:cs="Arial"/>
          <w:sz w:val="22"/>
          <w:szCs w:val="22"/>
        </w:rPr>
        <w:t xml:space="preserve"> 14.12.2023</w:t>
      </w:r>
      <w:r w:rsidR="00C32239">
        <w:rPr>
          <w:rFonts w:ascii="Arial" w:hAnsi="Arial" w:cs="Arial"/>
          <w:sz w:val="22"/>
          <w:szCs w:val="22"/>
        </w:rPr>
        <w:t xml:space="preserve"> </w:t>
      </w:r>
    </w:p>
    <w:p w14:paraId="3961BBB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6B70F6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5D97585" w14:textId="77777777" w:rsidR="007470D6" w:rsidRDefault="007470D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27E355F" w14:textId="77777777" w:rsidR="007470D6" w:rsidRDefault="007470D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ED27758" w14:textId="77777777" w:rsidR="007470D6" w:rsidRPr="00D87E4D" w:rsidRDefault="007470D6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B39524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116F3A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Kubelka Martin</w:t>
      </w:r>
    </w:p>
    <w:p w14:paraId="688EBA9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6991A0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Pardubický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A888EC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Miroslav Kučera</w:t>
      </w:r>
      <w:r w:rsidRPr="00D87E4D">
        <w:rPr>
          <w:rFonts w:ascii="Arial" w:hAnsi="Arial" w:cs="Arial"/>
          <w:sz w:val="22"/>
          <w:szCs w:val="22"/>
        </w:rPr>
        <w:tab/>
      </w:r>
    </w:p>
    <w:p w14:paraId="63DA5B6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AF0987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B14F8B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96AA9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51B7DC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7AB639F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Martina Tomášová</w:t>
      </w:r>
    </w:p>
    <w:p w14:paraId="3BDA119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7E2BB6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03D4D6C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ACFCF4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4F7C4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Jaroslav Brebera</w:t>
      </w:r>
    </w:p>
    <w:p w14:paraId="515EC2E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68B47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AE1410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E88A206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ABCC362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6A03C2E" w14:textId="77777777" w:rsidR="007470D6" w:rsidRDefault="007470D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C315F51" w14:textId="77777777" w:rsidR="007470D6" w:rsidRDefault="007470D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D227F85" w14:textId="77777777" w:rsidR="007470D6" w:rsidRDefault="007470D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F82C3AB" w14:textId="77777777" w:rsidR="007470D6" w:rsidRDefault="007470D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99535B" w14:textId="77777777" w:rsidR="007470D6" w:rsidRDefault="007470D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31FBAE7" w14:textId="77777777" w:rsidR="007470D6" w:rsidRDefault="007470D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351F887" w14:textId="77777777" w:rsidR="007470D6" w:rsidRDefault="007470D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AB806E5" w14:textId="77777777" w:rsidR="007470D6" w:rsidRDefault="007470D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0ED4D58" w14:textId="77777777" w:rsidR="007470D6" w:rsidRDefault="007470D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1DEE5E6" w14:textId="77777777" w:rsidR="007470D6" w:rsidRPr="00D87E4D" w:rsidRDefault="007470D6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F26722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0F56A6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200BCE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15BB39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604D71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2BC21C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669F29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98C7660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CA633D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F1EA4F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5ABF2A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08980E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622341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93650D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FFBA0F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35B09A3" w14:textId="6E81EC18" w:rsidR="00F52E8C" w:rsidRPr="00D87E4D" w:rsidRDefault="00660644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Brebera</w:t>
      </w:r>
    </w:p>
    <w:p w14:paraId="568D66E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9B106E8" w14:textId="65D6C0E2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660644">
        <w:rPr>
          <w:rFonts w:ascii="Arial" w:hAnsi="Arial" w:cs="Arial"/>
          <w:sz w:val="22"/>
          <w:szCs w:val="22"/>
        </w:rPr>
        <w:t xml:space="preserve"> Pardubicích   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762B018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500A834D" w14:textId="307E72DF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</w:t>
      </w:r>
      <w:r w:rsidR="00660644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4779" w14:textId="77777777" w:rsidR="00A47B06" w:rsidRDefault="00A47B06">
      <w:r>
        <w:separator/>
      </w:r>
    </w:p>
  </w:endnote>
  <w:endnote w:type="continuationSeparator" w:id="0">
    <w:p w14:paraId="732077F2" w14:textId="77777777" w:rsidR="00A47B06" w:rsidRDefault="00A4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D875" w14:textId="77777777" w:rsidR="00A47B06" w:rsidRDefault="00A47B06">
      <w:r>
        <w:separator/>
      </w:r>
    </w:p>
  </w:footnote>
  <w:footnote w:type="continuationSeparator" w:id="0">
    <w:p w14:paraId="60985A08" w14:textId="77777777" w:rsidR="00A47B06" w:rsidRDefault="00A47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2280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41CC8"/>
    <w:rsid w:val="00560A0B"/>
    <w:rsid w:val="0057529F"/>
    <w:rsid w:val="00616E7E"/>
    <w:rsid w:val="00626B85"/>
    <w:rsid w:val="00660644"/>
    <w:rsid w:val="006A7DE4"/>
    <w:rsid w:val="006D62BE"/>
    <w:rsid w:val="006F41FC"/>
    <w:rsid w:val="00732F2D"/>
    <w:rsid w:val="00741254"/>
    <w:rsid w:val="007470D6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47B06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B4C79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59174"/>
  <w14:defaultImageDpi w14:val="0"/>
  <w15:docId w15:val="{2A2B8C0D-D328-4AD9-B95C-C742CA29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Default">
    <w:name w:val="Default"/>
    <w:rsid w:val="006606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612</Words>
  <Characters>3612</Characters>
  <Application>Microsoft Office Word</Application>
  <DocSecurity>0</DocSecurity>
  <Lines>30</Lines>
  <Paragraphs>8</Paragraphs>
  <ScaleCrop>false</ScaleCrop>
  <Company>Pozemkový Fond ČR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Brebera Jaroslav</dc:creator>
  <cp:keywords/>
  <dc:description/>
  <cp:lastModifiedBy>Brebera Jaroslav</cp:lastModifiedBy>
  <cp:revision>5</cp:revision>
  <cp:lastPrinted>2023-12-14T07:28:00Z</cp:lastPrinted>
  <dcterms:created xsi:type="dcterms:W3CDTF">2023-12-14T07:12:00Z</dcterms:created>
  <dcterms:modified xsi:type="dcterms:W3CDTF">2023-12-14T08:50:00Z</dcterms:modified>
</cp:coreProperties>
</file>